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苏银理财恒源1年定开43期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苏银理财恒源1年定开43期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（2026年4月版）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w:t>
      </w:r>
      <w:r>
        <w:rPr>
          <w:rFonts w:hint="eastAsia" w:ascii="楷体" w:hAnsi="楷体" w:eastAsia="楷体"/>
          <w:b w:val="0"/>
          <w:bCs w:val="0"/>
          <w:sz w:val="21"/>
          <w:szCs w:val="21"/>
          <w:highlight w:val="none"/>
          <w:lang w:eastAsia="zh-CN"/>
        </w:rPr>
        <w:t>苏银理财恒源1年定开38期</w:t>
      </w:r>
      <w:r>
        <w:rPr>
          <w:rFonts w:hint="eastAsia" w:ascii="楷体" w:hAnsi="楷体" w:eastAsia="楷体"/>
          <w:sz w:val="21"/>
          <w:szCs w:val="21"/>
          <w:highlight w:val="none"/>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bookmarkStart w:id="0" w:name="_GoBack"/>
      <w:bookmarkEnd w:id="0"/>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苏银理财恒源1年定开43期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Z7003123000030</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A份额:苏银理财恒源1年定开43期A/J02328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B份额:苏银理财恒源1年定开43期B/J02329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C份额:苏银理财恒源1年定开43期C/J18109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D份额:苏银理财恒源1年定开43期D/J03215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F份额:苏银理财恒源1年定开43期F/J02330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G份额:苏银理财恒源1年定开43期G/J02331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J份额:苏银理财恒源1年定开43期J/J03216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M份额:苏银理财恒源1年定开43期M/J03217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N份额:苏银理财恒源1年定开43期N/J03239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P份额:苏银理财恒源1年定开43期P/J03932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GS份额:苏银理财恒源1年定开43期GS/J18110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LM份额:苏银理财恒源1年定开43期LM（兰马专属）/J18532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U份额:苏银理财恒源1年定开43期U/J18111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Z份额:苏银理财恒源1年定开43期Z/J18112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ZA份额:苏银理财恒源1年定开43期ZA鑫福款（自动赎回）/J03218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ZF份额:苏银理财恒源1年定开43期ZF（自动赎回）/J03219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ZJ份额:苏银理财恒源1年定开43期ZJ（自动赎回）/J18113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ZL份额:苏银理财恒源1年定开43期ZL（自动赎回）/J18114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ZN份额:苏银理财恒源1年定开43期ZN（自动赎回）/J03933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ZQ份额:苏银理财恒源1年定开43期ZQ（自动赎回）/J03934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ZC份额:苏银理财恒源1年定开43期ZC鑫福优享（自动赎回）/J18115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ZK份额:苏银理财恒源1年定开43期ZK鑫福尊享（自动赎回）/J18116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N份额:200,000元/10,000元的整数倍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2023年3月31日至2023年4月6日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2023年4月7日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2033年4月28日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最新投资周期（2026年5月13日-2027年6月3日）开放申购与赎回时间为：2026年4月30日至2026年5月12日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各类份额最新投资周期（2026年5月13日-2027年6月3日）业绩比较基准如下：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2023年4月7日</w:t>
                  </w:r>
                </w:p>
              </w:tc>
              <w:tc>
                <w:tcPr>
                  <w:tcW w:w="1803" w:type="dxa"/>
                  <w:vAlign w:val="center"/>
                </w:tcPr>
                <w:p>
                  <w:pPr>
                    <w:spacing w:before="0" w:after="0" w:line="0" w:lineRule="atLeast"/>
                    <w:jc w:val="center"/>
                  </w:pPr>
                  <w:r>
                    <w:rPr>
                      <w:rFonts w:ascii="楷体" w:hAnsi="楷体" w:eastAsia="楷体"/>
                      <w:sz w:val="18"/>
                    </w:rPr>
                    <w:t>2024年4月11日</w:t>
                  </w:r>
                </w:p>
              </w:tc>
              <w:tc>
                <w:tcPr>
                  <w:tcW w:w="2701" w:type="dxa"/>
                  <w:vAlign w:val="center"/>
                </w:tcPr>
                <w:p>
                  <w:pPr>
                    <w:spacing w:before="0" w:after="0" w:line="0" w:lineRule="atLeast"/>
                    <w:jc w:val="center"/>
                  </w:pPr>
                  <w:r>
                    <w:rPr>
                      <w:rFonts w:ascii="楷体" w:hAnsi="楷体" w:eastAsia="楷体"/>
                      <w:sz w:val="18"/>
                    </w:rPr>
                    <w:t>A份额 4.00%</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F份额 4.00%</w:t>
                  </w:r>
                  <w:r>
                    <w:rPr>
                      <w:rFonts w:ascii="楷体" w:hAnsi="楷体" w:eastAsia="楷体"/>
                      <w:sz w:val="18"/>
                    </w:rPr>
                    <w:br w:type="textWrapping"/>
                  </w:r>
                  <w:r>
                    <w:rPr>
                      <w:rFonts w:ascii="楷体" w:hAnsi="楷体" w:eastAsia="楷体"/>
                      <w:sz w:val="18"/>
                    </w:rPr>
                    <w:t>G份额 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2024年4月12日</w:t>
                  </w:r>
                </w:p>
              </w:tc>
              <w:tc>
                <w:tcPr>
                  <w:tcW w:w="1803" w:type="dxa"/>
                  <w:vAlign w:val="center"/>
                </w:tcPr>
                <w:p>
                  <w:pPr>
                    <w:spacing w:before="0" w:after="0" w:line="0" w:lineRule="atLeast"/>
                    <w:jc w:val="center"/>
                  </w:pPr>
                  <w:r>
                    <w:rPr>
                      <w:rFonts w:ascii="楷体" w:hAnsi="楷体" w:eastAsia="楷体"/>
                      <w:sz w:val="18"/>
                    </w:rPr>
                    <w:t>2025年4月17日</w:t>
                  </w:r>
                </w:p>
              </w:tc>
              <w:tc>
                <w:tcPr>
                  <w:tcW w:w="2701" w:type="dxa"/>
                  <w:vAlign w:val="center"/>
                </w:tcPr>
                <w:p>
                  <w:pPr>
                    <w:spacing w:before="0" w:after="0" w:line="0" w:lineRule="atLeast"/>
                    <w:jc w:val="center"/>
                  </w:pPr>
                  <w:r>
                    <w:rPr>
                      <w:rFonts w:ascii="楷体" w:hAnsi="楷体" w:eastAsia="楷体"/>
                      <w:sz w:val="18"/>
                    </w:rPr>
                    <w:t>A份额3.25%-3.85%</w:t>
                  </w:r>
                  <w:r>
                    <w:rPr>
                      <w:rFonts w:ascii="楷体" w:hAnsi="楷体" w:eastAsia="楷体"/>
                      <w:sz w:val="18"/>
                    </w:rPr>
                    <w:br w:type="textWrapping"/>
                  </w:r>
                  <w:r>
                    <w:rPr>
                      <w:rFonts w:ascii="楷体" w:hAnsi="楷体" w:eastAsia="楷体"/>
                      <w:sz w:val="18"/>
                    </w:rPr>
                    <w:t>B份额3.28%-3.88%</w:t>
                  </w:r>
                  <w:r>
                    <w:rPr>
                      <w:rFonts w:ascii="楷体" w:hAnsi="楷体" w:eastAsia="楷体"/>
                      <w:sz w:val="18"/>
                    </w:rPr>
                    <w:br w:type="textWrapping"/>
                  </w:r>
                  <w:r>
                    <w:rPr>
                      <w:rFonts w:ascii="楷体" w:hAnsi="楷体" w:eastAsia="楷体"/>
                      <w:sz w:val="18"/>
                    </w:rPr>
                    <w:t>D份额3.40%-4.00%</w:t>
                  </w:r>
                  <w:r>
                    <w:rPr>
                      <w:rFonts w:ascii="楷体" w:hAnsi="楷体" w:eastAsia="楷体"/>
                      <w:sz w:val="18"/>
                    </w:rPr>
                    <w:br w:type="textWrapping"/>
                  </w:r>
                  <w:r>
                    <w:rPr>
                      <w:rFonts w:ascii="楷体" w:hAnsi="楷体" w:eastAsia="楷体"/>
                      <w:sz w:val="18"/>
                    </w:rPr>
                    <w:t>F份额3.25%-3.85%</w:t>
                  </w:r>
                  <w:r>
                    <w:rPr>
                      <w:rFonts w:ascii="楷体" w:hAnsi="楷体" w:eastAsia="楷体"/>
                      <w:sz w:val="18"/>
                    </w:rPr>
                    <w:br w:type="textWrapping"/>
                  </w:r>
                  <w:r>
                    <w:rPr>
                      <w:rFonts w:ascii="楷体" w:hAnsi="楷体" w:eastAsia="楷体"/>
                      <w:sz w:val="18"/>
                    </w:rPr>
                    <w:t>G份额3.30%-3.90%</w:t>
                  </w:r>
                  <w:r>
                    <w:rPr>
                      <w:rFonts w:ascii="楷体" w:hAnsi="楷体" w:eastAsia="楷体"/>
                      <w:sz w:val="18"/>
                    </w:rPr>
                    <w:br w:type="textWrapping"/>
                  </w:r>
                  <w:r>
                    <w:rPr>
                      <w:rFonts w:ascii="楷体" w:hAnsi="楷体" w:eastAsia="楷体"/>
                      <w:sz w:val="18"/>
                    </w:rPr>
                    <w:t>J份额3.35%-3.95%</w:t>
                  </w:r>
                  <w:r>
                    <w:rPr>
                      <w:rFonts w:ascii="楷体" w:hAnsi="楷体" w:eastAsia="楷体"/>
                      <w:sz w:val="18"/>
                    </w:rPr>
                    <w:br w:type="textWrapping"/>
                  </w:r>
                  <w:r>
                    <w:rPr>
                      <w:rFonts w:ascii="楷体" w:hAnsi="楷体" w:eastAsia="楷体"/>
                      <w:sz w:val="18"/>
                    </w:rPr>
                    <w:t>M份额 3.35%-3.95%</w:t>
                  </w:r>
                  <w:r>
                    <w:rPr>
                      <w:rFonts w:ascii="楷体" w:hAnsi="楷体" w:eastAsia="楷体"/>
                      <w:sz w:val="18"/>
                    </w:rPr>
                    <w:br w:type="textWrapping"/>
                  </w:r>
                  <w:r>
                    <w:rPr>
                      <w:rFonts w:ascii="楷体" w:hAnsi="楷体" w:eastAsia="楷体"/>
                      <w:sz w:val="18"/>
                    </w:rPr>
                    <w:t>N份额 3.38%-3.98%</w:t>
                  </w:r>
                  <w:r>
                    <w:rPr>
                      <w:rFonts w:ascii="楷体" w:hAnsi="楷体" w:eastAsia="楷体"/>
                      <w:sz w:val="18"/>
                    </w:rPr>
                    <w:br w:type="textWrapping"/>
                  </w:r>
                  <w:r>
                    <w:rPr>
                      <w:rFonts w:ascii="楷体" w:hAnsi="楷体" w:eastAsia="楷体"/>
                      <w:sz w:val="18"/>
                    </w:rPr>
                    <w:t>ZA份额3.25%-3.85%</w:t>
                  </w:r>
                  <w:r>
                    <w:rPr>
                      <w:rFonts w:ascii="楷体" w:hAnsi="楷体" w:eastAsia="楷体"/>
                      <w:sz w:val="18"/>
                    </w:rPr>
                    <w:br w:type="textWrapping"/>
                  </w:r>
                  <w:r>
                    <w:rPr>
                      <w:rFonts w:ascii="楷体" w:hAnsi="楷体" w:eastAsia="楷体"/>
                      <w:sz w:val="18"/>
                    </w:rPr>
                    <w:t>ZF份额3.25%-3.85%</w:t>
                  </w:r>
                  <w:r>
                    <w:rPr>
                      <w:rFonts w:ascii="楷体" w:hAnsi="楷体" w:eastAsia="楷体"/>
                      <w:sz w:val="18"/>
                    </w:rPr>
                    <w:br w:type="textWrapping"/>
                  </w:r>
                  <w:r>
                    <w:rPr>
                      <w:rFonts w:ascii="楷体" w:hAnsi="楷体" w:eastAsia="楷体"/>
                      <w:sz w:val="18"/>
                    </w:rPr>
                    <w:t>ZS份额 3.35%-3.95%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2025年4月18日</w:t>
                  </w:r>
                </w:p>
              </w:tc>
              <w:tc>
                <w:tcPr>
                  <w:tcW w:w="1803" w:type="dxa"/>
                  <w:vAlign w:val="center"/>
                </w:tcPr>
                <w:p>
                  <w:pPr>
                    <w:spacing w:before="0" w:after="0" w:line="0" w:lineRule="atLeast"/>
                    <w:jc w:val="center"/>
                  </w:pPr>
                  <w:r>
                    <w:rPr>
                      <w:rFonts w:ascii="楷体" w:hAnsi="楷体" w:eastAsia="楷体"/>
                      <w:sz w:val="18"/>
                    </w:rPr>
                    <w:t>2026年5月12日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N份额 2.73%-3.33%</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ZS份额 2.70%-3.30%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eastAsia" w:eastAsia="宋体"/>
                      <w:lang w:eastAsia="zh-CN"/>
                    </w:rPr>
                  </w:pPr>
                  <w:r>
                    <w:rPr>
                      <w:rFonts w:hint="eastAsia" w:ascii="楷体" w:hAnsi="楷体" w:eastAsia="楷体"/>
                      <w:sz w:val="18"/>
                      <w:lang w:val="en-US" w:eastAsia="zh-CN"/>
                    </w:rPr>
                    <w:t>4</w:t>
                  </w:r>
                </w:p>
              </w:tc>
              <w:tc>
                <w:tcPr>
                  <w:tcW w:w="1871" w:type="dxa"/>
                  <w:vAlign w:val="center"/>
                </w:tcPr>
                <w:p>
                  <w:pPr>
                    <w:spacing w:before="0" w:after="0" w:line="0" w:lineRule="atLeast"/>
                    <w:jc w:val="center"/>
                  </w:pPr>
                  <w:r>
                    <w:rPr>
                      <w:rFonts w:ascii="楷体" w:hAnsi="楷体" w:eastAsia="楷体"/>
                      <w:sz w:val="18"/>
                    </w:rPr>
                    <w:t>2026年5月13日</w:t>
                  </w:r>
                </w:p>
              </w:tc>
              <w:tc>
                <w:tcPr>
                  <w:tcW w:w="1803" w:type="dxa"/>
                  <w:vAlign w:val="center"/>
                </w:tcPr>
                <w:p>
                  <w:pPr>
                    <w:spacing w:before="0" w:after="0" w:line="0" w:lineRule="atLeast"/>
                    <w:jc w:val="center"/>
                  </w:pPr>
                  <w:r>
                    <w:rPr>
                      <w:rFonts w:ascii="楷体" w:hAnsi="楷体" w:eastAsia="楷体"/>
                      <w:sz w:val="18"/>
                    </w:rPr>
                    <w:t>2027年6月3日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N份额2.43%-3.03%</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LM份额2.65%-3.25%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0.55%，N份额 0.50%，P份额 0.45%，GS份额 0.55%，LM份额 0.50%，U份额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0.65%，N份额 0.82%，P份额 0.65%，GS份额 0.65%，LM份额 0.60%，U份额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宜兴农村商业银行股份有限公司/江苏阜宁农村商业银行股份有限公司/江苏靖江农村商业银行股份有限公司/江苏泰兴农村商业银行股份有限公司/江苏南通农村商业银行股份有限公司/江苏紫金农村商业银行股份有限公司/江苏溧水农村商业银行股份有限公司/江苏扬中农村商业银行股份有限公司/江苏东台农村商业银行股份有限公司/九江银行股份有限公司/江苏新沂农村商业银行股份有限公司/江苏淮安农村商业银行股份有限公司/江苏句容农村商业银行股份有限公司/江苏仪征农村商业银行股份有限公司/江苏如东农村商业银行股份有限公司/江苏洪泽农村商业银行股份有限公司/江苏高淳农村商业银行股份有限公司/江苏邳州农村商业银行股份有限公司/江苏沭阳农村商业银行股份有限公司/江苏海安农村商业银行股份有限公司/江苏涟水农村商业银行股份有限公司/江苏扬州农村商业银行股份有限公司/江苏盱眙农村商业银行股份有限公司/江苏丹阳农村商业银行股份有限公司/江苏如皋农村商业银行股份有限公司/江苏银行股份有限公司/江苏江阴农村商业银行股份有限公司/江苏高邮农村商业银行股份有限公司/宁波东海银行股份有限公司/齐鲁银行股份有限公司/上海银行股份有限公司/苏银理财有限责任公司/上海农村商业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宜兴农村商业银行股份有限公司/江苏阜宁农村商业银行股份有限公司/江苏靖江农村商业银行股份有限公司/江苏泰兴农村商业银行股份有限公司/江苏南通农村商业银行股份有限公司/江苏紫金农村商业银行股份有限公司/江苏溧水农村商业银行股份有限公司/江苏扬中农村商业银行股份有限公司/江苏东台农村商业银行股份有限公司/江苏新沂农村商业银行股份有限公司/江苏淮安农村商业银行股份有限公司/江苏句容农村商业银行股份有限公司/江苏仪征农村商业银行股份有限公司/江苏如东农村商业银行股份有限公司/江苏洪泽农村商业银行股份有限公司/江苏高淳农村商业银行股份有限公司/江苏常熟农村商业银行股份有限公司/江苏邳州农村商业银行股份有限公司/江苏沭阳农村商业银行股份有限公司/江苏海安农村商业银行股份有限公司/江苏苏州农村商业银行股份有限公司/江苏涟水农村商业银行股份有限公司/江苏扬州农村商业银行股份有限公司/江苏盱眙农村商业银行股份有限公司/江苏丹阳农村商业银行股份有限公司/江苏如皋农村商业银行股份有限公司/江苏银行股份有限公司/江苏高邮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D份额:江苏江阴农村商业银行股份有限公司/江苏银行股份有限公司/上海银行股份有限公司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余姚农村商业银行股份有限公司/宁波通商银行股份有限公司/宁波镇海农村商业银行股份有限公司/日照银行股份有限公司/苏州银行股份有限公司/深圳农村商业银行股份有限公司/山西银行股份有限公司/天津滨海农村商业银行股份有限公司/台州银行股份有限公司/潍坊银行股份有限公司/兴业银行股份有限公司/浙江岱山农村商业银行股份有限公司/浙江开化农村商业银行股份有限公司/浙江杭州余杭农村商业银行股份有限公司/浙江上虞农村商业银行股份有限公司/浙江萧山农村商业银行股份有限公司/浙江泰顺农村商业银行股份有限公司/浙江临海农村商业银行股份有限公司/浙江桐庐农村商业银行股份有限公司/浙江武义农村商业银行股份有限公司/浙江永嘉农村商业银行股份有限公司/浙江绍兴瑞丰农村商业银行股份有限公司/浙江青田农村商业银行股份有限公司/浙江江山农村商业银行股份有限公司/浙江温州龙湾农村商业银行股份有限公司/中邮邮惠万家银行有限责任公司/浙江淳安农村商业银行股份有限公司/浙江嘉善农村商业银行股份有限公司/浙江海宁农村商业银行股份有限公司/浙江舟山定海海洋农村商业银行股份有限公司/浙江义乌农村商业银行股份有限公司/浙江温州瓯海农村商业银行股份有限公司/浙商银行股份有限公司/浙江长兴农村商业银行股份有限公司/浙江永康农村商业银行股份有限公司/浙江乐清农村商业银行股份有限公司/浙江德清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广州银行股份有限公司/徽商银行股份有限公司/杭州联合农村商业银行股份有限公司/九江银行股份有限公司/宁波余姚农村商业银行股份有限公司/宁波通商银行股份有限公司/深圳农村商业银行股份有限公司/山西银行股份有限公司/兴业银行股份有限公司/浙江岱山农村商业银行股份有限公司/浙江杭州余杭农村商业银行股份有限公司/浙江上虞农村商业银行股份有限公司/浙江桐庐农村商业银行股份有限公司/浙江永嘉农村商业银行股份有限公司/浙江绍兴瑞丰农村商业银行股份有限公司/浙江淳安农村商业银行股份有限公司/浙江嘉善农村商业银行股份有限公司/浙江衢州衢江农村商业银行股份有限公司/浙江海宁农村商业银行股份有限公司/浙江舟山定海海洋农村商业银行股份有限公司/浙商银行股份有限公司/浙江德清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M份额:徽商银行股份有限公司/宁波通商银行股份有限公司/深圳农村商业银行股份有限公司/兴业银行股份有限公司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N份额:江苏银行股份有限公司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LM份额:兰州银行股份有限公司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泗洪农村商业银行股份有限公司/江苏宜兴农村商业银行股份有限公司/江苏阜宁农村商业银行股份有限公司/江苏江都农村商业银行股份有限公司/江苏泰兴农村商业银行股份有限公司/江苏靖江农村商业银行股份有限公司/江苏南通农村商业银行股份有限公司/江苏紫金农村商业银行股份有限公司/江苏启东农村商业银行股份有限公司/江苏溧水农村商业银行股份有限公司/江苏扬中农村商业银行股份有限公司/江苏东台农村商业银行股份有限公司/江苏大丰农村商业银行股份有限公司/江苏丰县农村商业银行股份有限公司/江苏灌云农村商业银行股份有限公司/江苏新沂农村商业银行股份有限公司/江苏睢宁农村商业银行股份有限公司/江苏淮安农村商业银行股份有限公司/江苏句容农村商业银行股份有限公司/江苏东海农村商业银行股份有限公司/江苏仪征农村商业银行股份有限公司/江苏如东农村商业银行股份有限公司/江苏洪泽农村商业银行股份有限公司/江苏民丰农村商业银行股份有限公司/江苏姜堰农村商业银行股份有限公司/江苏高淳农村商业银行股份有限公司/江苏镇江农村商业银行股份有限公司/江苏常熟农村商业银行股份有限公司/江苏建湖农村商业银行股份有限公司/江苏邳州农村商业银行股份有限公司/江苏沭阳农村商业银行股份有限公司/江苏海安农村商业银行股份有限公司/江苏苏州农村商业银行股份有限公司/江苏盐城农村商业银行股份有限公司/江苏涟水农村商业银行股份有限公司/江苏扬州农村商业银行股份有限公司/江苏泗阳农村商业银行股份有限公司/江苏灌南农村商业银行股份有限公司/江苏盱眙农村商业银行股份有限公司/江苏丹阳农村商业银行股份有限公司/江苏如皋农村商业银行股份有限公司/江苏响水农村商业银行股份有限公司/江苏金湖农村商业银行股份有限公司/江苏高邮农村商业银行股份有限公司/连云港东方农村商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汉口银行股份有限公司/江苏江南农村商业银行股份有限公司/江苏张家港农村商业银行股份有限公司/嘉兴银行股份有限公司/莱商银行股份有限公司/宁波慈溪农村商业银行股份有限公司/宁波余姚农村商业银行股份有限公司/宁波甬城农村商业银行股份有限公司/宁波镇海农村商业银行股份有限公司/厦门银行股份有限公司/苏州银行股份有限公司/石嘴山银行股份有限公司/兴业银行股份有限公司/浙江民泰商业银行股份有限公司/浙江岱山农村商业银行股份有限公司/浙江开化农村商业银行股份有限公司/浙江杭州余杭农村商业银行股份有限公司/浙江衢州柯城农村商业银行股份有限公司/浙江新昌农村商业银行股份有限公司/浙江上虞农村商业银行股份有限公司/浙江萧山农村商业银行股份有限公司/浙江龙泉农村商业银行股份有限公司/浙江泰顺农村商业银行股份有限公司/浙江临海农村商业银行股份有限公司/浙江兰溪农村商业银行股份有限公司/浙江嵊州农村商业银行股份有限公司/浙江武义农村商业银行股份有限公司/浙江浦江农村商业银行股份有限公司/浙江南浔农村商业银行股份有限公司/浙江青田农村商业银行股份有限公司/浙江江山农村商业银行股份有限公司/浙江温岭农村商业银行股份有限公司/浙江温州龙湾农村商业银行股份有限公司/浙江嘉善农村商业银行股份有限公司/浙江衢州衢江农村商业银行股份有限公司/浙江义乌农村商业银行股份有限公司/浙江温州瓯海农村商业银行股份有限公司/浙江永康农村商业银行股份有限公司/浙江临安农村商业银行股份有限公司/浙江德清农村商业银行股份有限公司/中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ZJ份额:苏银理财有限责任公司/浙江嘉善农村商业银行股份有限公司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ZN份额:广西北部湾银行股份有限公司/河北银行股份有限公司/汉口银行股份有限公司/宁波通商银行股份有限公司/浙江萧山农村商业银行股份有限公司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宜兴农村商业银行股份有限公司/江苏阜宁农村商业银行股份有限公司/江苏江都农村商业银行股份有限公司/江苏泰兴农村商业银行股份有限公司/江苏紫金农村商业银行股份有限公司/江苏溧水农村商业银行股份有限公司/江苏东台农村商业银行股份有限公司/江苏大丰农村商业银行股份有限公司/江苏东海农村商业银行股份有限公司/江苏仪征农村商业银行股份有限公司/江苏如东农村商业银行股份有限公司/江苏民丰农村商业银行股份有限公司/江苏姜堰农村商业银行股份有限公司/江苏高淳农村商业银行股份有限公司/江苏常熟农村商业银行股份有限公司/江苏建湖农村商业银行股份有限公司/江苏海安农村商业银行股份有限公司/江苏盐城农村商业银行股份有限公司/江苏扬州农村商业银行股份有限公司/江苏泗阳农村商业银行股份有限公司/江苏灌南农村商业银行股份有限公司/江苏丹阳农村商业银行股份有限公司/江苏如皋农村商业银行股份有限公司/江苏响水农村商业银行股份有限公司/江苏高邮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宜兴农村商业银行股份有限公司/江苏阜宁农村商业银行股份有限公司/江苏江都农村商业银行股份有限公司/江苏泰兴农村商业银行股份有限公司/江苏南通农村商业银行股份有限公司/江苏紫金农村商业银行股份有限公司/江苏溧水农村商业银行股份有限公司/江苏沛县农村商业银行股份有限公司/江苏东台农村商业银行股份有限公司/江苏大丰农村商业银行股份有限公司/江苏仪征农村商业银行股份有限公司/江苏如东农村商业银行股份有限公司/江苏民丰农村商业银行股份有限公司/江苏姜堰农村商业银行股份有限公司/江苏高淳农村商业银行股份有限公司/江苏常熟农村商业银行股份有限公司/江苏建湖农村商业银行股份有限公司/江苏海安农村商业银行股份有限公司/江苏盐城农村商业银行股份有限公司/江苏扬州农村商业银行股份有限公司/江苏泗阳农村商业银行股份有限公司/江苏灌南农村商业银行股份有限公司/江苏丹阳农村商业银行股份有限公司/江苏如皋农村商业银行股份有限公司/江苏响水农村商业银行股份有限公司/江苏高邮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ind w:firstLine="420" w:firstLineChars="200"/>
        <w:rPr>
          <w:rFonts w:hint="eastAsia" w:ascii="楷体" w:hAnsi="楷体" w:eastAsia="楷体"/>
          <w:sz w:val="21"/>
          <w:szCs w:val="21"/>
        </w:rPr>
      </w:pPr>
      <w:r>
        <w:rPr>
          <w:rFonts w:hint="eastAsia" w:ascii="楷体" w:hAnsi="楷体" w:eastAsia="楷体"/>
          <w:sz w:val="21"/>
          <w:szCs w:val="21"/>
        </w:rPr>
        <w:t>本产品计划配置以下备选非标准化债权类资产：</w:t>
      </w:r>
    </w:p>
    <w:p>
      <w:pPr>
        <w:numPr>
          <w:ilvl w:val="0"/>
          <w:numId w:val="0"/>
        </w:numPr>
        <w:ind w:firstLine="420" w:firstLineChars="200"/>
        <w:rPr>
          <w:rFonts w:hint="eastAsia" w:ascii="楷体" w:hAnsi="楷体" w:eastAsia="楷体"/>
          <w:sz w:val="21"/>
          <w:szCs w:val="21"/>
        </w:rPr>
      </w:pPr>
      <w:r>
        <w:rPr>
          <w:rFonts w:hint="eastAsia" w:ascii="楷体" w:hAnsi="楷体" w:eastAsia="楷体"/>
          <w:sz w:val="21"/>
          <w:szCs w:val="21"/>
          <w:lang w:eastAsia="zh-CN"/>
        </w:rPr>
        <w:t>（</w:t>
      </w:r>
      <w:r>
        <w:rPr>
          <w:rFonts w:hint="eastAsia" w:ascii="楷体" w:hAnsi="楷体" w:eastAsia="楷体"/>
          <w:sz w:val="21"/>
          <w:szCs w:val="21"/>
          <w:lang w:val="en-US" w:eastAsia="zh-CN"/>
        </w:rPr>
        <w:t>1）</w:t>
      </w:r>
      <w:r>
        <w:rPr>
          <w:rFonts w:hint="eastAsia" w:ascii="楷体" w:hAnsi="楷体" w:eastAsia="楷体"/>
          <w:sz w:val="21"/>
          <w:szCs w:val="21"/>
        </w:rPr>
        <w:t>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如东县民泰城乡建设工程有限公司。融资人经营正常，是依法设立的国有公司，主要股东为如东县金鑫交通工程建设投资有限公司，实际控制人为如东县投资管理办公室。（4）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5）非标准化债权类资产：融资人为江苏钟吾城乡投资发展集团有限公司。融资人经营正常，是依法设立的国有公司，主要股东为徐州市人民政府，实际控制人为徐州市人民政府。（6）非标准化债权类资产：融资人为扬州高新国控集团有限公司。融资人经营正常，是依法设立的国有公司，主要股东为扬州市人民政府，实际控制人为扬州市人民政府。（7）非标准化债权类资产：融资人为盐城市海兴集团有限公司。融资人经营正常，是依法设立的国有公司，主要股东为盐城市海兴控股集团有限公司，实际控制人为盐城市人民政府。（8）非标准化债权类资产：融资人为扬州维扬发展投资有限公司。融资人经营正常，是依法设立的国有公司，主要股东为扬州维投控股集团有限公司，实际控制人为扬州市人民政府。（9）非标准化债权类资产：融资人为富皋万泰集团有限公司。融资人经营正常，是依法设立的国有公司，主要股东为如皋市人民政府，实际控制人为如皋市人民政府。（10）非标准化债权类资产：融资人为盐城市水务集团有限公司。融资人经营正常，是依法设立的国有公司，主要股东为盐城市市政公用投资有限公司，实际控制人为盐城市人民政府。（11）非标准化债权类资产：融资人为无锡市太湖新城资产经营管理有限公司。融资人经营正常，是依法设立的国有公司，主要股东为无锡市太湖新城发展集团有限公司，实际控制人为无锡市人民政府国有资产监督管理委员会。（12）非标准化债权类资产：融资人为靖江市北辰城乡投资建设有限公司。融资人经营正常，是依法设立的国有公司，主要股东为靖江经济技术开发区管理委员会，实际控制人为靖江经济技术开发区管理委员会。（13）非标准化债权类资产：融资人为盐城市城镇化建设投资集团有限公司。融资人经营正常，是依法设立的国有公司，主要股东为盐城市人民政府，实际控制人为盐城市人民政府。（14）非标准化债权类资产：融资人为扬州广合国有资本运营集团有限公司。融资人经营正常，是依法设立的国有公司，主要股东为扬州市人民政府，实际控制人为扬州市人民政府。（15）非标准化债权类资产：融资人为扬州江淮建设发展有限公司。融资人经营正常，是依法设立的国有公司，主要股东为扬州市国联控股集团有限公司，实际控制人为扬州市人民政府。（16）非标准化债权类资产：融资人为盐城市东亭产业发展集团有限公司。融资人经营正常，是依法设立的国有公司，主要股东为盐城市人民政府，实际控制人为盐城市人民政府。（17）非标准化债权类资产：融资人为江苏淮阴城市产业投资集团有限公司。融资人经营正常，是依法设立的国有公司，主要股东为淮安国控投资集团有限公司，实际控制人为淮安市人民政府。（18）非标准化债权类资产：融资人为仪征市扬子文旅控股集团有限公司。融资人经营正常，是依法设立的国有公司，主要股东为仪征市国有资产管理中心，实际控制人为仪征市财政局(仪征市政府国有资产监督管理办公室)。（19）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20）非标准化债权类资产：融资人为富港建设集团有限公司。融资人经营正常，是依法设立的国有公司，主要股东为如皋市人民政府、工银金融资产投资有限公司，实际控制人为如皋市人民政府。（21）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22）非标准化债权类资产：融资人为诸暨市城乡投资集团有限公司。融资人经营正常，是依法设立的国有公司，主要股东为诸暨市建设集团有限公司，实际控制人为诸暨市财政局。（23）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24）非标准化债权类资产：融资人为台州市黄岩国有资本投资运营集团有限公司。融资人经营正常，是依法设立的国有公司，主要股东为台州市黄岩区财政局，实际控制人为台州市黄岩区财政局。（25）非标准化债权类资产：融资人为镇江文化广电产业集团有限公司。融资人经营正常，是依法设立的国有公司，主要股东为镇江市广播电视台，实际控制人为江苏省镇江市人民政府。（26）非标准化债权类资产：融资人为绍兴市镜湖开发集团有限公司。融资人经营正常，是依法设立的国有公司，主要股东为绍兴市人民政府国有资产监督管理委员会，实际控制人为绍兴市人民政府国有资产监督管理委员会。（27）非标准化债权类资产：融资人为泰兴市城市投资发展集团有限公司。融资人经营正常，是依法设立的国有公司，主要股东为江苏平仲科技发展集团有限公司，实际控制人为泰兴市人民政府国有资产监督管理办公室。（28）非标准化债权类资产：融资人为江苏运东控股集团有限公司。融资人经营正常，是依法设立的国有公司，主要股东为宿迁市宿豫区财政局(宿迁市宿豫区政府国有资产监督管理办公室、宿迁市宿豫区政府金融工作办公室)，实际控制人为宿迁市宿豫区财政局(宿迁市宿豫区政府国有资产监督管理办公室、宿迁市宿豫区政府金融工作办公室)。（29）非标准化债权类资产：融资人为新沂市新源水务投资发展有限公司。融资人经营正常，是依法设立的国有公司，主要股东为新沂市交通投资有限公司，实际控制人为新沂市人民政府。（30）非标准化债权类资产：融资人为徐州市新沂经济技术开发有限责任公司。融资人经营正常，是依法设立的国有公司，主要股东为新沂经济开发区建设发展有限公司，实际控制人为新沂市人民政府。（31）非标准化债权类资产：融资人为淮安市宏信国有资产投资管理有限公司。融资人经营正常，是依法设立的国有公司，主要股东为淮安市翔宇控股集团有限公司，实际控制人为淮安市人民政府。（32）非标准化债权类资产：融资人为绍兴高新技术产业开发区投资发展集团有限公司。融资人经营正常，是依法设立的国有公司，主要股东为绍兴高新技术产业开发区控股集团有限公司、绍兴市新桥江水环境治理有限公司、绍兴袍江经济技术开发区投资发展集团有限公司，绍兴黄酒小镇建设投资有限公司，绍兴市越城区建设投资有限公司，绍兴市城南城中村改造建设有限公司，实际控制人为绍兴高新技术产业开发区管理委员会。（33）非标准化债权类资产：融资人为浙江省德清县交通水利投资集团有限公司。融资人经营正常，是依法设立的国有公司，主要股东为德清县财政局(德清县人民政府国有资产监督管理办公室)、浙江省财务开发有限责任公司，实际控制人为德清县财政局(德清县人民政府国有资产监督管理办公室)。（34）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35）非标准化债权类资产：融资人为湖州经开投资发展集团有限公司。融资人经营正常，是依法设立的国有公司，主要股东为湖州南太湖国有控股集团有限公司，实际控制人为湖州市人民政府国有资产监督管理委员会。（36）非标准化债权类资产：融资人为湖州吴兴城市投资发展集团有限公司。融资人经营正常，是依法设立的国有公司，主要股东为湖州吴兴国控投资运营发展集团有限公司，实际控制人为湖州市吴兴区财政局。（37）非标准化债权类资产：融资人为江苏皋开投资发展集团有限公司。融资人经营正常，是依法设立的国有公司，主要股东为如皋市人民政府，实际控制人为如皋市人民政府。（</w:t>
      </w:r>
      <w:r>
        <w:rPr>
          <w:rFonts w:hint="eastAsia" w:ascii="楷体" w:hAnsi="楷体" w:eastAsia="楷体"/>
          <w:sz w:val="21"/>
          <w:szCs w:val="21"/>
          <w:lang w:val="en-US" w:eastAsia="zh-CN"/>
        </w:rPr>
        <w:t>38</w:t>
      </w:r>
      <w:r>
        <w:rPr>
          <w:rFonts w:hint="eastAsia" w:ascii="楷体" w:hAnsi="楷体" w:eastAsia="楷体"/>
          <w:sz w:val="21"/>
          <w:szCs w:val="21"/>
        </w:rPr>
        <w:t>）同业借款：融资人为中国中信金融资产管理股份有限公司。融资人经营正常，是依法成立的国有公司，主要股东为中国中信集团有限公司、财政局、中国融信私募基金有限公司，实际控制人为财政部。（</w:t>
      </w:r>
      <w:r>
        <w:rPr>
          <w:rFonts w:hint="eastAsia" w:ascii="楷体" w:hAnsi="楷体" w:eastAsia="楷体"/>
          <w:sz w:val="21"/>
          <w:szCs w:val="21"/>
          <w:lang w:val="en-US" w:eastAsia="zh-CN"/>
        </w:rPr>
        <w:t>39</w:t>
      </w:r>
      <w:r>
        <w:rPr>
          <w:rFonts w:hint="eastAsia" w:ascii="楷体" w:hAnsi="楷体" w:eastAsia="楷体"/>
          <w:sz w:val="21"/>
          <w:szCs w:val="21"/>
        </w:rPr>
        <w:t>）同业借款：融资人为中国东方资产管理股份有限公司。融资人经营正常，是依法成立的国有公司，主要股东为中央汇金投资有限责任公司、全国社会保障基金理事会、中国电信集团有限公司，实际控制人为国务院。（4</w:t>
      </w:r>
      <w:r>
        <w:rPr>
          <w:rFonts w:hint="eastAsia" w:ascii="楷体" w:hAnsi="楷体" w:eastAsia="楷体"/>
          <w:sz w:val="21"/>
          <w:szCs w:val="21"/>
          <w:lang w:val="en-US" w:eastAsia="zh-CN"/>
        </w:rPr>
        <w:t>0</w:t>
      </w:r>
      <w:r>
        <w:rPr>
          <w:rFonts w:hint="eastAsia" w:ascii="楷体" w:hAnsi="楷体" w:eastAsia="楷体"/>
          <w:sz w:val="21"/>
          <w:szCs w:val="21"/>
        </w:rPr>
        <w:t>）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4</w:t>
      </w:r>
      <w:r>
        <w:rPr>
          <w:rFonts w:hint="eastAsia" w:ascii="楷体" w:hAnsi="楷体" w:eastAsia="楷体"/>
          <w:sz w:val="21"/>
          <w:szCs w:val="21"/>
          <w:lang w:val="en-US" w:eastAsia="zh-CN"/>
        </w:rPr>
        <w:t>1</w:t>
      </w:r>
      <w:r>
        <w:rPr>
          <w:rFonts w:hint="eastAsia" w:ascii="楷体" w:hAnsi="楷体" w:eastAsia="楷体"/>
          <w:sz w:val="21"/>
          <w:szCs w:val="21"/>
        </w:rPr>
        <w:t>）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4</w:t>
      </w:r>
      <w:r>
        <w:rPr>
          <w:rFonts w:hint="eastAsia" w:ascii="楷体" w:hAnsi="楷体" w:eastAsia="楷体"/>
          <w:sz w:val="21"/>
          <w:szCs w:val="21"/>
          <w:lang w:val="en-US" w:eastAsia="zh-CN"/>
        </w:rPr>
        <w:t>2</w:t>
      </w:r>
      <w:r>
        <w:rPr>
          <w:rFonts w:hint="eastAsia" w:ascii="楷体" w:hAnsi="楷体" w:eastAsia="楷体"/>
          <w:sz w:val="21"/>
          <w:szCs w:val="21"/>
        </w:rPr>
        <w:t>）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4</w:t>
      </w:r>
      <w:r>
        <w:rPr>
          <w:rFonts w:hint="eastAsia" w:ascii="楷体" w:hAnsi="楷体" w:eastAsia="楷体"/>
          <w:sz w:val="21"/>
          <w:szCs w:val="21"/>
          <w:lang w:val="en-US" w:eastAsia="zh-CN"/>
        </w:rPr>
        <w:t>3</w:t>
      </w:r>
      <w:r>
        <w:rPr>
          <w:rFonts w:hint="eastAsia" w:ascii="楷体" w:hAnsi="楷体" w:eastAsia="楷体"/>
          <w:sz w:val="21"/>
          <w:szCs w:val="21"/>
        </w:rPr>
        <w:t>）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4</w:t>
      </w:r>
      <w:r>
        <w:rPr>
          <w:rFonts w:hint="eastAsia" w:ascii="楷体" w:hAnsi="楷体" w:eastAsia="楷体"/>
          <w:sz w:val="21"/>
          <w:szCs w:val="21"/>
          <w:lang w:val="en-US" w:eastAsia="zh-CN"/>
        </w:rPr>
        <w:t>4</w:t>
      </w:r>
      <w:r>
        <w:rPr>
          <w:rFonts w:hint="eastAsia" w:ascii="楷体" w:hAnsi="楷体" w:eastAsia="楷体"/>
          <w:sz w:val="21"/>
          <w:szCs w:val="21"/>
        </w:rPr>
        <w:t>）收益凭证：融资人为华泰证券股份有限公司。融资人经营正常，是依法设立的国有公司，主要股东为江苏省国信集团有限公司、香港中央结算（代理人）有限公司、江苏交通控股有限公司，无实际控制人。（4</w:t>
      </w:r>
      <w:r>
        <w:rPr>
          <w:rFonts w:hint="eastAsia" w:ascii="楷体" w:hAnsi="楷体" w:eastAsia="楷体"/>
          <w:sz w:val="21"/>
          <w:szCs w:val="21"/>
          <w:lang w:val="en-US" w:eastAsia="zh-CN"/>
        </w:rPr>
        <w:t>5</w:t>
      </w:r>
      <w:r>
        <w:rPr>
          <w:rFonts w:hint="eastAsia" w:ascii="楷体" w:hAnsi="楷体" w:eastAsia="楷体"/>
          <w:sz w:val="21"/>
          <w:szCs w:val="21"/>
        </w:rPr>
        <w:t>）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w:t>
      </w:r>
      <w:r>
        <w:rPr>
          <w:rFonts w:hint="eastAsia" w:ascii="楷体" w:hAnsi="楷体" w:eastAsia="楷体"/>
          <w:sz w:val="21"/>
          <w:szCs w:val="21"/>
          <w:lang w:val="en-US" w:eastAsia="zh-CN"/>
        </w:rPr>
        <w:t>6</w:t>
      </w:r>
      <w:r>
        <w:rPr>
          <w:rFonts w:hint="eastAsia" w:ascii="楷体" w:hAnsi="楷体" w:eastAsia="楷体"/>
          <w:sz w:val="21"/>
          <w:szCs w:val="21"/>
        </w:rPr>
        <w:t>）收益凭证：融资人为申万宏源证券有限公司。融资人经营正常，是依法设立的国有公司，主要股东为申万宏源集团股份有限公司，实际控制人为中央汇金投资有限责任公司。（4</w:t>
      </w:r>
      <w:r>
        <w:rPr>
          <w:rFonts w:hint="eastAsia" w:ascii="楷体" w:hAnsi="楷体" w:eastAsia="楷体"/>
          <w:sz w:val="21"/>
          <w:szCs w:val="21"/>
          <w:lang w:val="en-US" w:eastAsia="zh-CN"/>
        </w:rPr>
        <w:t>7</w:t>
      </w:r>
      <w:r>
        <w:rPr>
          <w:rFonts w:hint="eastAsia" w:ascii="楷体" w:hAnsi="楷体" w:eastAsia="楷体"/>
          <w:sz w:val="21"/>
          <w:szCs w:val="21"/>
        </w:rPr>
        <w:t>）收益凭证：融资人为东方证券股份有限公司。融资人经营正常，是依法设立的国有公司，主要股东为申能（集团）有限公司、香港中央结算（代理人）有限公司、上海海烟投资管理有限公司，实际控制人为上海市国有资产监督管理委员会。（</w:t>
      </w:r>
      <w:r>
        <w:rPr>
          <w:rFonts w:hint="eastAsia" w:ascii="楷体" w:hAnsi="楷体" w:eastAsia="楷体"/>
          <w:sz w:val="21"/>
          <w:szCs w:val="21"/>
          <w:lang w:val="en-US" w:eastAsia="zh-CN"/>
        </w:rPr>
        <w:t>48</w:t>
      </w:r>
      <w:r>
        <w:rPr>
          <w:rFonts w:hint="eastAsia" w:ascii="楷体" w:hAnsi="楷体" w:eastAsia="楷体"/>
          <w:sz w:val="21"/>
          <w:szCs w:val="21"/>
        </w:rPr>
        <w:t>）收益凭证：融资人为浙商证券股份有限公司。融资人经营正常，是依法设立的国有公司，主要股东为浙江上三高速公路有限公司、台州市金融投资集团有限公司，实际控制人为浙江省交通投资集团有限公司。（</w:t>
      </w:r>
      <w:r>
        <w:rPr>
          <w:rFonts w:hint="eastAsia" w:ascii="楷体" w:hAnsi="楷体" w:eastAsia="楷体"/>
          <w:sz w:val="21"/>
          <w:szCs w:val="21"/>
          <w:lang w:val="en-US" w:eastAsia="zh-CN"/>
        </w:rPr>
        <w:t>49</w:t>
      </w:r>
      <w:r>
        <w:rPr>
          <w:rFonts w:hint="eastAsia" w:ascii="楷体" w:hAnsi="楷体" w:eastAsia="楷体"/>
          <w:sz w:val="21"/>
          <w:szCs w:val="21"/>
        </w:rPr>
        <w:t>）收益凭证：融资人为国投证券股份有限公司。融资人经营正常，是依法设立的国有公司，主要股东为国投资本股份有限公司、上海毅胜投资有限公司，实际控制人为国家开发投资集团有限公司。</w:t>
      </w:r>
    </w:p>
    <w:p>
      <w:pPr>
        <w:ind w:firstLine="420" w:firstLineChars="200"/>
        <w:rPr>
          <w:rFonts w:hint="eastAsia" w:ascii="楷体" w:hAnsi="楷体" w:eastAsia="楷体"/>
          <w:sz w:val="21"/>
          <w:szCs w:val="21"/>
        </w:rPr>
      </w:pPr>
      <w:r>
        <w:rPr>
          <w:rFonts w:hint="eastAsia" w:ascii="楷体" w:hAnsi="楷体" w:eastAsia="楷体"/>
          <w:sz w:val="21"/>
          <w:szCs w:val="21"/>
        </w:rPr>
        <w:t>（1）-（2）各资产到期日不超过理财产品投资周期终止日，循环期不还本、摊还期过手摊还本息；（3）-（</w:t>
      </w:r>
      <w:r>
        <w:rPr>
          <w:rFonts w:hint="eastAsia" w:ascii="楷体" w:hAnsi="楷体" w:eastAsia="楷体"/>
          <w:sz w:val="21"/>
          <w:szCs w:val="21"/>
          <w:lang w:val="en-US" w:eastAsia="zh-CN"/>
        </w:rPr>
        <w:t>39</w:t>
      </w:r>
      <w:r>
        <w:rPr>
          <w:rFonts w:hint="eastAsia" w:ascii="楷体" w:hAnsi="楷体" w:eastAsia="楷体"/>
          <w:sz w:val="21"/>
          <w:szCs w:val="21"/>
        </w:rPr>
        <w:t>）各资产到期日不超过理财产品投资周期终止日，定期付息、到期一次性还本；（</w:t>
      </w:r>
      <w:r>
        <w:rPr>
          <w:rFonts w:hint="eastAsia" w:ascii="楷体" w:hAnsi="楷体" w:eastAsia="楷体"/>
          <w:sz w:val="21"/>
          <w:szCs w:val="21"/>
          <w:lang w:val="en-US" w:eastAsia="zh-CN"/>
        </w:rPr>
        <w:t>40</w:t>
      </w:r>
      <w:r>
        <w:rPr>
          <w:rFonts w:hint="eastAsia" w:ascii="楷体" w:hAnsi="楷体" w:eastAsia="楷体"/>
          <w:sz w:val="21"/>
          <w:szCs w:val="21"/>
        </w:rPr>
        <w:t>）-（</w:t>
      </w:r>
      <w:r>
        <w:rPr>
          <w:rFonts w:hint="eastAsia" w:ascii="楷体" w:hAnsi="楷体" w:eastAsia="楷体"/>
          <w:sz w:val="21"/>
          <w:szCs w:val="21"/>
          <w:lang w:val="en-US" w:eastAsia="zh-CN"/>
        </w:rPr>
        <w:t>49</w:t>
      </w:r>
      <w:r>
        <w:rPr>
          <w:rFonts w:hint="eastAsia" w:ascii="楷体" w:hAnsi="楷体" w:eastAsia="楷体"/>
          <w:sz w:val="21"/>
          <w:szCs w:val="21"/>
        </w:rPr>
        <w:t>）各资产到期日不超过理财产品投资周期终止日，到期一次性还本付息。</w:t>
      </w:r>
    </w:p>
    <w:p>
      <w:pPr>
        <w:ind w:firstLine="420" w:firstLineChars="200"/>
        <w:rPr>
          <w:rFonts w:hint="eastAsia" w:ascii="楷体" w:hAnsi="楷体" w:eastAsia="楷体"/>
          <w:sz w:val="21"/>
          <w:szCs w:val="21"/>
          <w:lang w:val="en-US" w:eastAsia="zh-CN"/>
        </w:rPr>
      </w:pPr>
      <w:r>
        <w:rPr>
          <w:rFonts w:hint="eastAsia" w:ascii="楷体" w:hAnsi="楷体" w:eastAsia="楷体"/>
          <w:sz w:val="21"/>
          <w:szCs w:val="21"/>
          <w:lang w:val="en-US" w:eastAsia="zh-CN"/>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9C6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2026-04-23T01:53:43Z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