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黑体" w:hAnsi="黑体" w:eastAsia="黑体"/>
          <w:b/>
          <w:sz w:val="28"/>
          <w:szCs w:val="28"/>
        </w:rPr>
      </w:pPr>
      <w:bookmarkStart w:id="235" w:name="_GoBack"/>
      <w:bookmarkEnd w:id="235"/>
      <w:r>
        <w:rPr>
          <w:rFonts w:ascii="黑体" w:hAnsi="黑体" w:eastAsia="黑体"/>
          <w:b/>
          <w:sz w:val="28"/>
          <w:szCs w:val="28"/>
        </w:rPr>
        <w:drawing>
          <wp:inline distT="0" distB="0" distL="0" distR="0">
            <wp:extent cx="3619500" cy="1257300"/>
            <wp:effectExtent l="0" t="0" r="0" b="0"/>
            <wp:docPr id="1" name="图片 1"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子公司理财产品说明书\标(定）-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widowControl/>
        <w:spacing w:line="360" w:lineRule="auto"/>
        <w:jc w:val="center"/>
        <w:rPr>
          <w:rFonts w:ascii="黑体" w:hAnsi="黑体" w:eastAsia="黑体"/>
          <w:b/>
          <w:sz w:val="44"/>
          <w:szCs w:val="44"/>
        </w:rPr>
      </w:pPr>
      <w:r>
        <w:rPr>
          <w:rFonts w:hint="eastAsia" w:ascii="黑体" w:hAnsi="黑体" w:eastAsia="黑体"/>
          <w:b/>
          <w:sz w:val="44"/>
          <w:szCs w:val="44"/>
        </w:rPr>
        <w:t>兴银理财【添利】理财产品</w:t>
      </w:r>
    </w:p>
    <w:p>
      <w:pPr>
        <w:widowControl/>
        <w:spacing w:line="360" w:lineRule="auto"/>
        <w:jc w:val="center"/>
        <w:rPr>
          <w:b/>
          <w:szCs w:val="21"/>
        </w:rPr>
      </w:pPr>
      <w:r>
        <w:rPr>
          <w:rFonts w:hint="eastAsia" w:ascii="黑体" w:hAnsi="黑体" w:eastAsia="黑体"/>
          <w:b/>
          <w:sz w:val="44"/>
          <w:szCs w:val="44"/>
        </w:rPr>
        <w:t>销售文件</w:t>
      </w:r>
    </w:p>
    <w:tbl>
      <w:tblPr>
        <w:tblStyle w:val="9"/>
        <w:tblW w:w="8789"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93"/>
        <w:gridCol w:w="5689"/>
        <w:gridCol w:w="210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4"/>
              <w:widowControl/>
              <w:spacing w:line="360" w:lineRule="auto"/>
              <w:ind w:firstLine="0" w:firstLineChars="0"/>
              <w:jc w:val="center"/>
              <w:rPr>
                <w:rFonts w:ascii="宋体" w:hAnsi="宋体"/>
                <w:b/>
                <w:kern w:val="0"/>
                <w:szCs w:val="21"/>
              </w:rPr>
            </w:pPr>
            <w:r>
              <w:rPr>
                <w:rFonts w:hint="eastAsia" w:ascii="宋体" w:hAnsi="宋体"/>
                <w:b/>
                <w:kern w:val="0"/>
                <w:sz w:val="20"/>
                <w:szCs w:val="21"/>
              </w:rPr>
              <w:t>序号</w:t>
            </w:r>
          </w:p>
        </w:tc>
        <w:tc>
          <w:tcPr>
            <w:tcW w:w="5689" w:type="dxa"/>
          </w:tcPr>
          <w:p>
            <w:pPr>
              <w:pStyle w:val="14"/>
              <w:widowControl/>
              <w:spacing w:line="360" w:lineRule="auto"/>
              <w:ind w:firstLine="0" w:firstLineChars="0"/>
              <w:jc w:val="center"/>
              <w:rPr>
                <w:rFonts w:ascii="宋体" w:hAnsi="宋体"/>
                <w:b/>
                <w:kern w:val="0"/>
                <w:szCs w:val="21"/>
              </w:rPr>
            </w:pPr>
            <w:r>
              <w:rPr>
                <w:rFonts w:hint="eastAsia" w:ascii="宋体" w:hAnsi="宋体"/>
                <w:b/>
                <w:kern w:val="0"/>
                <w:sz w:val="20"/>
                <w:szCs w:val="21"/>
              </w:rPr>
              <w:t>理财产品销售文件中的具体文件名称</w:t>
            </w:r>
          </w:p>
        </w:tc>
        <w:tc>
          <w:tcPr>
            <w:tcW w:w="2107" w:type="dxa"/>
          </w:tcPr>
          <w:p>
            <w:pPr>
              <w:pStyle w:val="14"/>
              <w:widowControl/>
              <w:spacing w:line="360" w:lineRule="auto"/>
              <w:ind w:firstLine="0" w:firstLineChars="0"/>
              <w:jc w:val="center"/>
              <w:rPr>
                <w:rFonts w:ascii="宋体" w:hAnsi="宋体"/>
                <w:b/>
                <w:kern w:val="0"/>
                <w:szCs w:val="21"/>
              </w:rPr>
            </w:pPr>
            <w:r>
              <w:rPr>
                <w:rFonts w:hint="eastAsia" w:ascii="宋体" w:hAnsi="宋体"/>
                <w:b/>
                <w:kern w:val="0"/>
                <w:sz w:val="20"/>
                <w:szCs w:val="21"/>
              </w:rPr>
              <w:t>文件简称</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4"/>
              <w:widowControl/>
              <w:spacing w:line="360" w:lineRule="auto"/>
              <w:ind w:firstLine="0" w:firstLineChars="0"/>
              <w:jc w:val="center"/>
              <w:rPr>
                <w:rFonts w:ascii="宋体" w:hAnsi="宋体"/>
                <w:kern w:val="0"/>
                <w:szCs w:val="21"/>
              </w:rPr>
            </w:pPr>
            <w:r>
              <w:rPr>
                <w:rFonts w:ascii="宋体" w:hAnsi="宋体"/>
                <w:kern w:val="0"/>
                <w:sz w:val="20"/>
                <w:szCs w:val="21"/>
              </w:rPr>
              <w:t>1</w:t>
            </w:r>
          </w:p>
        </w:tc>
        <w:tc>
          <w:tcPr>
            <w:tcW w:w="5689" w:type="dxa"/>
          </w:tcPr>
          <w:p>
            <w:pPr>
              <w:widowControl/>
              <w:spacing w:line="360" w:lineRule="auto"/>
              <w:rPr>
                <w:rFonts w:ascii="宋体" w:hAnsi="宋体"/>
                <w:szCs w:val="21"/>
              </w:rPr>
            </w:pPr>
            <w:r>
              <w:rPr>
                <w:rFonts w:hint="eastAsia" w:ascii="宋体" w:hAnsi="宋体"/>
                <w:kern w:val="0"/>
                <w:sz w:val="20"/>
                <w:szCs w:val="21"/>
              </w:rPr>
              <w:t>兴银理财【添利】理财产品投资协议书</w:t>
            </w:r>
            <w:r>
              <w:rPr>
                <w:rFonts w:ascii="宋体" w:hAnsi="宋体"/>
                <w:kern w:val="0"/>
                <w:sz w:val="20"/>
                <w:szCs w:val="21"/>
              </w:rPr>
              <w:t xml:space="preserve"> </w:t>
            </w:r>
          </w:p>
        </w:tc>
        <w:tc>
          <w:tcPr>
            <w:tcW w:w="2107" w:type="dxa"/>
          </w:tcPr>
          <w:p>
            <w:pPr>
              <w:widowControl/>
              <w:spacing w:line="360" w:lineRule="auto"/>
              <w:jc w:val="center"/>
              <w:rPr>
                <w:rFonts w:ascii="宋体" w:hAnsi="宋体"/>
                <w:kern w:val="0"/>
                <w:szCs w:val="21"/>
              </w:rPr>
            </w:pPr>
            <w:r>
              <w:rPr>
                <w:rFonts w:hint="eastAsia" w:ascii="宋体" w:hAnsi="宋体"/>
                <w:kern w:val="0"/>
                <w:sz w:val="20"/>
                <w:szCs w:val="21"/>
              </w:rPr>
              <w:t>投资协议书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3" w:hRule="atLeast"/>
        </w:trPr>
        <w:tc>
          <w:tcPr>
            <w:tcW w:w="993" w:type="dxa"/>
          </w:tcPr>
          <w:p>
            <w:pPr>
              <w:pStyle w:val="14"/>
              <w:widowControl/>
              <w:spacing w:line="360" w:lineRule="auto"/>
              <w:ind w:firstLine="0" w:firstLineChars="0"/>
              <w:jc w:val="center"/>
              <w:rPr>
                <w:rFonts w:ascii="宋体" w:hAnsi="宋体"/>
                <w:kern w:val="0"/>
                <w:szCs w:val="21"/>
              </w:rPr>
            </w:pPr>
            <w:r>
              <w:rPr>
                <w:rFonts w:ascii="宋体" w:hAnsi="宋体"/>
                <w:kern w:val="0"/>
                <w:sz w:val="20"/>
                <w:szCs w:val="21"/>
              </w:rPr>
              <w:t>2</w:t>
            </w:r>
          </w:p>
        </w:tc>
        <w:tc>
          <w:tcPr>
            <w:tcW w:w="5689" w:type="dxa"/>
          </w:tcPr>
          <w:p>
            <w:pPr>
              <w:widowControl/>
              <w:spacing w:line="360" w:lineRule="auto"/>
              <w:rPr>
                <w:rFonts w:ascii="宋体" w:hAnsi="宋体"/>
                <w:szCs w:val="21"/>
              </w:rPr>
            </w:pPr>
            <w:r>
              <w:rPr>
                <w:rFonts w:hint="eastAsia" w:ascii="宋体" w:hAnsi="宋体"/>
                <w:kern w:val="0"/>
                <w:sz w:val="20"/>
                <w:szCs w:val="21"/>
              </w:rPr>
              <w:t>兴银理财【添利】理财产品产品说明书</w:t>
            </w:r>
          </w:p>
        </w:tc>
        <w:tc>
          <w:tcPr>
            <w:tcW w:w="2107" w:type="dxa"/>
          </w:tcPr>
          <w:p>
            <w:pPr>
              <w:pStyle w:val="14"/>
              <w:widowControl/>
              <w:spacing w:line="360" w:lineRule="auto"/>
              <w:ind w:firstLine="0" w:firstLineChars="0"/>
              <w:jc w:val="center"/>
              <w:rPr>
                <w:rFonts w:ascii="宋体" w:hAnsi="宋体"/>
                <w:kern w:val="0"/>
                <w:szCs w:val="21"/>
              </w:rPr>
            </w:pPr>
            <w:r>
              <w:rPr>
                <w:rFonts w:hint="eastAsia" w:ascii="宋体" w:hAnsi="宋体"/>
                <w:kern w:val="0"/>
                <w:sz w:val="20"/>
                <w:szCs w:val="21"/>
              </w:rPr>
              <w:t>产品说明书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4"/>
              <w:widowControl/>
              <w:spacing w:line="360" w:lineRule="auto"/>
              <w:ind w:firstLine="0" w:firstLineChars="0"/>
              <w:jc w:val="center"/>
              <w:rPr>
                <w:rFonts w:ascii="宋体" w:hAnsi="宋体"/>
                <w:kern w:val="0"/>
                <w:sz w:val="20"/>
                <w:szCs w:val="21"/>
              </w:rPr>
            </w:pPr>
            <w:r>
              <w:rPr>
                <w:rFonts w:hint="eastAsia" w:ascii="宋体" w:hAnsi="宋体"/>
                <w:kern w:val="0"/>
                <w:sz w:val="20"/>
                <w:szCs w:val="21"/>
              </w:rPr>
              <w:t>3</w:t>
            </w:r>
          </w:p>
        </w:tc>
        <w:tc>
          <w:tcPr>
            <w:tcW w:w="5689" w:type="dxa"/>
          </w:tcPr>
          <w:p>
            <w:pPr>
              <w:widowControl/>
              <w:spacing w:line="360" w:lineRule="auto"/>
              <w:rPr>
                <w:rFonts w:ascii="宋体" w:hAnsi="宋体"/>
                <w:kern w:val="0"/>
                <w:sz w:val="20"/>
                <w:szCs w:val="21"/>
              </w:rPr>
            </w:pPr>
            <w:r>
              <w:rPr>
                <w:rFonts w:hint="eastAsia" w:ascii="宋体" w:hAnsi="宋体"/>
                <w:kern w:val="0"/>
                <w:sz w:val="20"/>
                <w:szCs w:val="21"/>
              </w:rPr>
              <w:t>兴银理财【添利】理财产品（代理）销售协议书</w:t>
            </w:r>
          </w:p>
        </w:tc>
        <w:tc>
          <w:tcPr>
            <w:tcW w:w="2107" w:type="dxa"/>
          </w:tcPr>
          <w:p>
            <w:pPr>
              <w:pStyle w:val="14"/>
              <w:widowControl/>
              <w:spacing w:line="360" w:lineRule="auto"/>
              <w:ind w:firstLine="0" w:firstLineChars="0"/>
              <w:jc w:val="center"/>
              <w:rPr>
                <w:rFonts w:ascii="宋体" w:hAnsi="宋体"/>
                <w:kern w:val="0"/>
                <w:sz w:val="20"/>
                <w:szCs w:val="21"/>
              </w:rPr>
            </w:pPr>
            <w:r>
              <w:rPr>
                <w:rFonts w:hint="eastAsia" w:ascii="宋体" w:hAnsi="宋体"/>
                <w:kern w:val="0"/>
                <w:sz w:val="20"/>
                <w:szCs w:val="21"/>
              </w:rPr>
              <w:t>（代理）销售</w:t>
            </w:r>
            <w:r>
              <w:rPr>
                <w:rFonts w:ascii="宋体" w:hAnsi="宋体"/>
                <w:kern w:val="0"/>
                <w:sz w:val="20"/>
                <w:szCs w:val="21"/>
              </w:rPr>
              <w:t>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4"/>
              <w:widowControl/>
              <w:spacing w:line="360" w:lineRule="auto"/>
              <w:ind w:firstLine="0" w:firstLineChars="0"/>
              <w:jc w:val="center"/>
              <w:rPr>
                <w:rFonts w:ascii="宋体" w:hAnsi="宋体"/>
                <w:kern w:val="0"/>
                <w:szCs w:val="21"/>
              </w:rPr>
            </w:pPr>
            <w:r>
              <w:rPr>
                <w:rFonts w:ascii="宋体" w:hAnsi="宋体"/>
                <w:kern w:val="0"/>
                <w:sz w:val="20"/>
                <w:szCs w:val="21"/>
              </w:rPr>
              <w:t>4</w:t>
            </w:r>
          </w:p>
        </w:tc>
        <w:tc>
          <w:tcPr>
            <w:tcW w:w="5689" w:type="dxa"/>
          </w:tcPr>
          <w:p>
            <w:pPr>
              <w:widowControl/>
              <w:spacing w:line="360" w:lineRule="auto"/>
              <w:rPr>
                <w:rFonts w:ascii="宋体" w:hAnsi="宋体"/>
                <w:szCs w:val="21"/>
              </w:rPr>
            </w:pPr>
            <w:r>
              <w:rPr>
                <w:rFonts w:hint="eastAsia" w:ascii="宋体" w:hAnsi="宋体"/>
                <w:kern w:val="0"/>
                <w:sz w:val="20"/>
                <w:szCs w:val="21"/>
              </w:rPr>
              <w:t>兴银理财【添利】理财产品风险揭示书</w:t>
            </w:r>
          </w:p>
        </w:tc>
        <w:tc>
          <w:tcPr>
            <w:tcW w:w="2107" w:type="dxa"/>
          </w:tcPr>
          <w:p>
            <w:pPr>
              <w:widowControl/>
              <w:spacing w:line="360" w:lineRule="auto"/>
              <w:jc w:val="center"/>
              <w:rPr>
                <w:rFonts w:ascii="宋体" w:hAnsi="宋体"/>
                <w:kern w:val="0"/>
                <w:szCs w:val="21"/>
              </w:rPr>
            </w:pPr>
            <w:r>
              <w:rPr>
                <w:rFonts w:hint="eastAsia" w:ascii="宋体" w:hAnsi="宋体"/>
                <w:kern w:val="0"/>
                <w:sz w:val="20"/>
                <w:szCs w:val="21"/>
              </w:rPr>
              <w:t>风险揭示书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31" w:hRule="atLeast"/>
        </w:trPr>
        <w:tc>
          <w:tcPr>
            <w:tcW w:w="993" w:type="dxa"/>
          </w:tcPr>
          <w:p>
            <w:pPr>
              <w:pStyle w:val="14"/>
              <w:widowControl/>
              <w:spacing w:line="360" w:lineRule="auto"/>
              <w:ind w:firstLine="0" w:firstLineChars="0"/>
              <w:jc w:val="center"/>
              <w:rPr>
                <w:rFonts w:ascii="宋体" w:hAnsi="宋体"/>
                <w:kern w:val="0"/>
                <w:szCs w:val="21"/>
              </w:rPr>
            </w:pPr>
            <w:r>
              <w:rPr>
                <w:rFonts w:ascii="宋体" w:hAnsi="宋体"/>
                <w:kern w:val="0"/>
                <w:sz w:val="20"/>
                <w:szCs w:val="21"/>
              </w:rPr>
              <w:t>5</w:t>
            </w:r>
          </w:p>
        </w:tc>
        <w:tc>
          <w:tcPr>
            <w:tcW w:w="5689" w:type="dxa"/>
          </w:tcPr>
          <w:p>
            <w:pPr>
              <w:widowControl/>
              <w:spacing w:line="360" w:lineRule="auto"/>
              <w:rPr>
                <w:rFonts w:ascii="宋体" w:hAnsi="宋体"/>
                <w:kern w:val="0"/>
                <w:sz w:val="20"/>
                <w:szCs w:val="21"/>
              </w:rPr>
            </w:pPr>
            <w:r>
              <w:rPr>
                <w:rFonts w:hint="eastAsia" w:ascii="宋体" w:hAnsi="宋体"/>
                <w:kern w:val="0"/>
                <w:sz w:val="20"/>
                <w:szCs w:val="21"/>
              </w:rPr>
              <w:t>兴银理财【添利】理财产品投资者权益须知</w:t>
            </w:r>
          </w:p>
        </w:tc>
        <w:tc>
          <w:tcPr>
            <w:tcW w:w="2107" w:type="dxa"/>
          </w:tcPr>
          <w:p>
            <w:pPr>
              <w:widowControl/>
              <w:spacing w:line="360" w:lineRule="auto"/>
              <w:jc w:val="center"/>
              <w:rPr>
                <w:rFonts w:ascii="宋体" w:hAnsi="宋体"/>
                <w:kern w:val="0"/>
                <w:szCs w:val="21"/>
              </w:rPr>
            </w:pPr>
            <w:r>
              <w:rPr>
                <w:rFonts w:hint="eastAsia" w:ascii="宋体" w:hAnsi="宋体"/>
                <w:kern w:val="0"/>
                <w:sz w:val="20"/>
                <w:szCs w:val="21"/>
              </w:rPr>
              <w:t>投资者权益须知</w:t>
            </w:r>
          </w:p>
        </w:tc>
      </w:tr>
    </w:tbl>
    <w:p>
      <w:pPr>
        <w:widowControl/>
        <w:spacing w:line="360" w:lineRule="auto"/>
        <w:jc w:val="left"/>
        <w:rPr>
          <w:rFonts w:ascii="黑体" w:hAnsi="黑体" w:eastAsia="黑体"/>
          <w:b/>
          <w:szCs w:val="21"/>
        </w:rPr>
      </w:pPr>
      <w:r>
        <w:rPr>
          <w:rFonts w:hint="eastAsia" w:ascii="黑体" w:hAnsi="黑体" w:eastAsia="黑体"/>
          <w:b/>
          <w:szCs w:val="21"/>
        </w:rPr>
        <w:t>郑重提示：</w:t>
      </w:r>
    </w:p>
    <w:p>
      <w:pPr>
        <w:pStyle w:val="14"/>
        <w:widowControl/>
        <w:snapToGrid w:val="0"/>
        <w:spacing w:line="360" w:lineRule="auto"/>
        <w:rPr>
          <w:rFonts w:ascii="黑体" w:hAnsi="黑体" w:eastAsia="黑体"/>
          <w:kern w:val="0"/>
          <w:szCs w:val="21"/>
        </w:rPr>
      </w:pPr>
      <w:r>
        <w:rPr>
          <w:rFonts w:hint="eastAsia" w:ascii="黑体" w:hAnsi="黑体" w:eastAsia="黑体"/>
          <w:kern w:val="0"/>
          <w:szCs w:val="21"/>
        </w:rPr>
        <w:t>1.销售文件的组成和编制的提示</w:t>
      </w:r>
    </w:p>
    <w:p>
      <w:pPr>
        <w:pStyle w:val="14"/>
        <w:widowControl/>
        <w:snapToGrid w:val="0"/>
        <w:spacing w:line="360" w:lineRule="auto"/>
        <w:rPr>
          <w:rFonts w:ascii="黑体" w:hAnsi="黑体" w:eastAsia="黑体"/>
          <w:kern w:val="0"/>
          <w:szCs w:val="21"/>
        </w:rPr>
      </w:pPr>
      <w:r>
        <w:rPr>
          <w:rFonts w:hint="eastAsia" w:ascii="黑体" w:hAnsi="黑体" w:eastAsia="黑体"/>
          <w:kern w:val="0"/>
          <w:szCs w:val="21"/>
        </w:rPr>
        <w:t>《投资协议书》《产品说明书》《（代理）销售协议</w:t>
      </w:r>
      <w:r>
        <w:rPr>
          <w:rFonts w:ascii="黑体" w:hAnsi="黑体" w:eastAsia="黑体"/>
          <w:kern w:val="0"/>
          <w:szCs w:val="21"/>
        </w:rPr>
        <w:t>书</w:t>
      </w:r>
      <w:r>
        <w:rPr>
          <w:rFonts w:hint="eastAsia" w:ascii="黑体" w:hAnsi="黑体" w:eastAsia="黑体"/>
          <w:kern w:val="0"/>
          <w:szCs w:val="21"/>
        </w:rPr>
        <w:t>》《风险揭示书》《投资者权益须知》等文件共同构成一份完整且不可分割的理财产品销售文件。</w:t>
      </w:r>
    </w:p>
    <w:p>
      <w:pPr>
        <w:pStyle w:val="14"/>
        <w:widowControl/>
        <w:snapToGrid w:val="0"/>
        <w:spacing w:line="360" w:lineRule="auto"/>
        <w:rPr>
          <w:rFonts w:ascii="黑体" w:hAnsi="黑体" w:eastAsia="黑体"/>
          <w:kern w:val="0"/>
          <w:szCs w:val="21"/>
        </w:rPr>
      </w:pPr>
      <w:r>
        <w:rPr>
          <w:rFonts w:hint="eastAsia" w:ascii="黑体" w:hAnsi="黑体" w:eastAsia="黑体"/>
          <w:kern w:val="0"/>
          <w:szCs w:val="21"/>
        </w:rPr>
        <w:t>根据《理财公司理财产品销售管理暂行办法》（</w:t>
      </w:r>
      <w:r>
        <w:rPr>
          <w:rFonts w:ascii="黑体" w:hAnsi="黑体" w:eastAsia="黑体"/>
          <w:kern w:val="0"/>
          <w:szCs w:val="21"/>
        </w:rPr>
        <w:t>银保监会令</w:t>
      </w:r>
      <w:r>
        <w:rPr>
          <w:rFonts w:hint="eastAsia" w:ascii="黑体" w:hAnsi="黑体" w:eastAsia="黑体"/>
          <w:kern w:val="0"/>
          <w:szCs w:val="21"/>
        </w:rPr>
        <w:t>2</w:t>
      </w:r>
      <w:r>
        <w:rPr>
          <w:rFonts w:ascii="黑体" w:hAnsi="黑体" w:eastAsia="黑体"/>
          <w:kern w:val="0"/>
          <w:szCs w:val="21"/>
        </w:rPr>
        <w:t>021年第</w:t>
      </w:r>
      <w:r>
        <w:rPr>
          <w:rFonts w:hint="eastAsia" w:ascii="黑体" w:hAnsi="黑体" w:eastAsia="黑体"/>
          <w:kern w:val="0"/>
          <w:szCs w:val="21"/>
        </w:rPr>
        <w:t>4号）第2</w:t>
      </w:r>
      <w:r>
        <w:rPr>
          <w:rFonts w:ascii="黑体" w:hAnsi="黑体" w:eastAsia="黑体"/>
          <w:kern w:val="0"/>
          <w:szCs w:val="21"/>
        </w:rPr>
        <w:t>9条规定</w:t>
      </w:r>
      <w:r>
        <w:rPr>
          <w:rFonts w:hint="eastAsia" w:ascii="黑体" w:hAnsi="黑体" w:eastAsia="黑体"/>
          <w:kern w:val="0"/>
          <w:szCs w:val="21"/>
        </w:rPr>
        <w:t>，</w:t>
      </w:r>
      <w:r>
        <w:rPr>
          <w:rFonts w:ascii="黑体" w:hAnsi="黑体" w:eastAsia="黑体"/>
          <w:kern w:val="0"/>
          <w:szCs w:val="21"/>
        </w:rPr>
        <w:t>产品管理人统一编制本公司理财产品投资协议书和理财产品说明书</w:t>
      </w:r>
      <w:r>
        <w:rPr>
          <w:rFonts w:hint="eastAsia" w:ascii="黑体" w:hAnsi="黑体" w:eastAsia="黑体"/>
          <w:kern w:val="0"/>
          <w:szCs w:val="21"/>
        </w:rPr>
        <w:t>。代理销售机构可以接受理财公司委托编制代理销售协议书、风险揭示书、投资者权益须知等销售文件，并应当对其编制的销售文件进行合规性审核，使用前向理财公司备案。</w:t>
      </w:r>
    </w:p>
    <w:p>
      <w:pPr>
        <w:pStyle w:val="14"/>
        <w:widowControl/>
        <w:snapToGrid w:val="0"/>
        <w:spacing w:line="360" w:lineRule="auto"/>
        <w:rPr>
          <w:rFonts w:ascii="黑体" w:hAnsi="黑体" w:eastAsia="黑体"/>
          <w:kern w:val="0"/>
          <w:szCs w:val="21"/>
        </w:rPr>
      </w:pPr>
      <w:r>
        <w:rPr>
          <w:rFonts w:hint="eastAsia" w:ascii="黑体" w:hAnsi="黑体" w:eastAsia="黑体"/>
          <w:kern w:val="0"/>
          <w:szCs w:val="21"/>
        </w:rPr>
        <w:t>2.投资者适当性的提示</w:t>
      </w:r>
    </w:p>
    <w:p>
      <w:pPr>
        <w:pStyle w:val="14"/>
        <w:widowControl/>
        <w:snapToGrid w:val="0"/>
        <w:spacing w:line="360" w:lineRule="auto"/>
        <w:rPr>
          <w:rFonts w:ascii="黑体" w:hAnsi="黑体" w:eastAsia="黑体"/>
          <w:kern w:val="0"/>
          <w:szCs w:val="21"/>
        </w:rPr>
      </w:pPr>
      <w:r>
        <w:rPr>
          <w:rFonts w:hint="eastAsia" w:ascii="黑体" w:hAnsi="黑体" w:eastAsia="黑体"/>
          <w:kern w:val="0"/>
          <w:szCs w:val="21"/>
        </w:rPr>
        <w:t>在购买理财产品前，投资者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按销售机构政策重新完成风险承受能力评估。</w:t>
      </w:r>
    </w:p>
    <w:p>
      <w:pPr>
        <w:pStyle w:val="14"/>
        <w:widowControl/>
        <w:snapToGrid w:val="0"/>
        <w:spacing w:line="360" w:lineRule="auto"/>
        <w:rPr>
          <w:rFonts w:ascii="黑体" w:hAnsi="黑体" w:eastAsia="黑体"/>
          <w:kern w:val="0"/>
          <w:szCs w:val="21"/>
        </w:rPr>
      </w:pPr>
      <w:r>
        <w:rPr>
          <w:rFonts w:ascii="黑体" w:hAnsi="黑体" w:eastAsia="黑体"/>
          <w:kern w:val="0"/>
          <w:szCs w:val="21"/>
        </w:rPr>
        <w:t>3</w:t>
      </w:r>
      <w:r>
        <w:rPr>
          <w:rFonts w:hint="eastAsia" w:ascii="黑体" w:hAnsi="黑体" w:eastAsia="黑体"/>
          <w:kern w:val="0"/>
          <w:szCs w:val="21"/>
        </w:rPr>
        <w:t>.</w:t>
      </w:r>
      <w:r>
        <w:rPr>
          <w:rFonts w:ascii="黑体" w:hAnsi="黑体" w:eastAsia="黑体"/>
          <w:kern w:val="0"/>
          <w:szCs w:val="21"/>
        </w:rPr>
        <w:t>签署合同</w:t>
      </w:r>
      <w:r>
        <w:rPr>
          <w:rFonts w:hint="eastAsia" w:ascii="黑体" w:hAnsi="黑体" w:eastAsia="黑体"/>
          <w:kern w:val="0"/>
          <w:szCs w:val="21"/>
        </w:rPr>
        <w:t>前</w:t>
      </w:r>
      <w:r>
        <w:rPr>
          <w:rFonts w:ascii="黑体" w:hAnsi="黑体" w:eastAsia="黑体"/>
          <w:kern w:val="0"/>
          <w:szCs w:val="21"/>
        </w:rPr>
        <w:t>阅读全部条款的提示</w:t>
      </w:r>
    </w:p>
    <w:p>
      <w:pPr>
        <w:widowControl/>
        <w:snapToGrid w:val="0"/>
        <w:spacing w:line="360" w:lineRule="auto"/>
        <w:ind w:firstLine="420" w:firstLineChars="200"/>
        <w:rPr>
          <w:rFonts w:ascii="黑体" w:hAnsi="黑体" w:eastAsia="黑体"/>
          <w:kern w:val="0"/>
          <w:szCs w:val="21"/>
        </w:rPr>
        <w:sectPr>
          <w:headerReference r:id="rId3" w:type="default"/>
          <w:footerReference r:id="rId4" w:type="default"/>
          <w:pgSz w:w="11906" w:h="16838"/>
          <w:pgMar w:top="1440" w:right="1800" w:bottom="1440" w:left="1800" w:header="567" w:footer="964" w:gutter="0"/>
          <w:pgNumType w:fmt="decimal"/>
          <w:cols w:space="720" w:num="1"/>
          <w:titlePg/>
          <w:docGrid w:type="lines" w:linePitch="312" w:charSpace="0"/>
        </w:sectPr>
      </w:pPr>
      <w:r>
        <w:rPr>
          <w:rFonts w:hint="eastAsia" w:ascii="黑体" w:hAnsi="黑体" w:eastAsia="黑体"/>
          <w:kern w:val="0"/>
          <w:szCs w:val="21"/>
        </w:rPr>
        <w:t>为了维护您的权益，请在签署有关理财产品销售文件前，仔细阅读理财产品销售文件各条款（特别是</w:t>
      </w:r>
      <w:r>
        <w:rPr>
          <w:rFonts w:ascii="黑体" w:hAnsi="黑体" w:eastAsia="黑体"/>
          <w:kern w:val="0"/>
          <w:szCs w:val="21"/>
        </w:rPr>
        <w:t xml:space="preserve"> “</w:t>
      </w:r>
      <w:r>
        <w:rPr>
          <w:rFonts w:hint="eastAsia" w:ascii="黑体" w:hAnsi="黑体" w:eastAsia="黑体"/>
          <w:kern w:val="0"/>
          <w:szCs w:val="21"/>
        </w:rPr>
        <w:t>黑体字</w:t>
      </w:r>
      <w:r>
        <w:rPr>
          <w:rFonts w:ascii="黑体" w:hAnsi="黑体" w:eastAsia="黑体"/>
          <w:kern w:val="0"/>
          <w:szCs w:val="21"/>
        </w:rPr>
        <w:t>”</w:t>
      </w:r>
      <w:r>
        <w:rPr>
          <w:rFonts w:hint="eastAsia" w:ascii="黑体" w:hAnsi="黑体" w:eastAsia="黑体"/>
          <w:kern w:val="0"/>
          <w:szCs w:val="21"/>
        </w:rPr>
        <w:t>条款以及“★”标识以及“</w:t>
      </w:r>
      <w:r>
        <w:rPr>
          <w:rFonts w:asciiTheme="majorEastAsia" w:hAnsiTheme="majorEastAsia" w:eastAsiaTheme="majorEastAsia"/>
          <w:bCs/>
          <w:sz w:val="18"/>
          <w:szCs w:val="18"/>
        </w:rPr>
        <w:t>■</w:t>
      </w:r>
      <w:r>
        <w:rPr>
          <w:rFonts w:hint="eastAsia" w:ascii="黑体" w:hAnsi="黑体" w:eastAsia="黑体"/>
          <w:kern w:val="0"/>
          <w:szCs w:val="21"/>
        </w:rPr>
        <w:t>”标识，其中“黑体字”条款以及“★”标识表示强调，“</w:t>
      </w:r>
      <w:r>
        <w:rPr>
          <w:rFonts w:asciiTheme="majorEastAsia" w:hAnsiTheme="majorEastAsia" w:eastAsiaTheme="majorEastAsia"/>
          <w:bCs/>
          <w:sz w:val="18"/>
          <w:szCs w:val="18"/>
        </w:rPr>
        <w:t>■</w:t>
      </w:r>
      <w:r>
        <w:rPr>
          <w:rFonts w:hint="eastAsia" w:ascii="黑体" w:hAnsi="黑体" w:eastAsia="黑体"/>
          <w:kern w:val="0"/>
          <w:szCs w:val="21"/>
        </w:rPr>
        <w:t>”标识表示选择适用条款时适用的具体选项），充分了解理财业务的运作细则，各方的权利、义务和责任。如有疑问，可向理财产品管理人或销售机构咨询。</w:t>
      </w:r>
    </w:p>
    <w:p>
      <w:pPr>
        <w:tabs>
          <w:tab w:val="left" w:pos="6660"/>
        </w:tabs>
        <w:spacing w:line="360" w:lineRule="auto"/>
        <w:jc w:val="center"/>
        <w:rPr>
          <w:rFonts w:ascii="黑体" w:hAnsi="黑体" w:eastAsia="黑体"/>
          <w:kern w:val="0"/>
          <w:szCs w:val="21"/>
        </w:rPr>
      </w:pPr>
    </w:p>
    <w:p>
      <w:pPr>
        <w:tabs>
          <w:tab w:val="left" w:pos="6660"/>
        </w:tabs>
        <w:spacing w:line="360" w:lineRule="auto"/>
        <w:jc w:val="center"/>
        <w:rPr>
          <w:bCs/>
          <w:sz w:val="44"/>
        </w:rPr>
      </w:pPr>
    </w:p>
    <w:p>
      <w:pPr>
        <w:widowControl/>
        <w:spacing w:line="360" w:lineRule="auto"/>
        <w:jc w:val="center"/>
        <w:rPr>
          <w:rStyle w:val="11"/>
          <w:rFonts w:ascii="宋体" w:hAnsi="宋体"/>
          <w:sz w:val="30"/>
          <w:szCs w:val="30"/>
        </w:rPr>
      </w:pPr>
      <w:r>
        <w:rPr>
          <w:rFonts w:hint="eastAsia" w:ascii="宋体" w:hAnsi="宋体"/>
          <w:b/>
          <w:sz w:val="30"/>
          <w:szCs w:val="30"/>
        </w:rPr>
        <w:t>理财非存款、产品有风险、投资须谨慎！</w:t>
      </w:r>
    </w:p>
    <w:p>
      <w:pPr>
        <w:tabs>
          <w:tab w:val="left" w:pos="6660"/>
        </w:tabs>
        <w:spacing w:line="360" w:lineRule="auto"/>
        <w:jc w:val="center"/>
        <w:rPr>
          <w:bCs/>
          <w:sz w:val="44"/>
        </w:rPr>
      </w:pPr>
    </w:p>
    <w:p>
      <w:pPr>
        <w:spacing w:line="360" w:lineRule="auto"/>
        <w:jc w:val="center"/>
        <w:rPr>
          <w:b/>
          <w:sz w:val="52"/>
        </w:rPr>
      </w:pPr>
    </w:p>
    <w:p>
      <w:pPr>
        <w:spacing w:line="360" w:lineRule="auto"/>
        <w:jc w:val="center"/>
        <w:rPr>
          <w:b/>
        </w:rPr>
      </w:pPr>
      <w:r>
        <w:rPr>
          <w:rFonts w:ascii="黑体" w:hAnsi="黑体" w:eastAsia="黑体"/>
          <w:b/>
          <w:sz w:val="28"/>
          <w:szCs w:val="28"/>
        </w:rPr>
        <w:drawing>
          <wp:inline distT="0" distB="0" distL="0" distR="0">
            <wp:extent cx="3619500" cy="1257300"/>
            <wp:effectExtent l="0" t="0" r="0" b="0"/>
            <wp:docPr id="4" name="图片 4"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子公司理财产品说明书\标(定）-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spacing w:line="360" w:lineRule="auto"/>
        <w:jc w:val="center"/>
        <w:rPr>
          <w:b/>
          <w:sz w:val="52"/>
        </w:rPr>
      </w:pPr>
    </w:p>
    <w:p>
      <w:pPr>
        <w:adjustRightInd w:val="0"/>
        <w:spacing w:line="360" w:lineRule="auto"/>
        <w:jc w:val="center"/>
        <w:rPr>
          <w:rStyle w:val="11"/>
          <w:rFonts w:ascii="黑体" w:hAnsi="黑体" w:eastAsia="黑体" w:cs="宋体"/>
          <w:sz w:val="44"/>
          <w:szCs w:val="44"/>
        </w:rPr>
      </w:pPr>
      <w:r>
        <w:rPr>
          <w:rStyle w:val="11"/>
          <w:rFonts w:hint="eastAsia" w:ascii="黑体" w:hAnsi="黑体" w:eastAsia="黑体" w:cs="宋体"/>
          <w:sz w:val="44"/>
          <w:szCs w:val="44"/>
        </w:rPr>
        <w:t>兴银理财【添利】理财产品</w:t>
      </w:r>
    </w:p>
    <w:p>
      <w:pPr>
        <w:adjustRightInd w:val="0"/>
        <w:spacing w:line="360" w:lineRule="auto"/>
        <w:jc w:val="center"/>
        <w:rPr>
          <w:rStyle w:val="11"/>
          <w:rFonts w:ascii="黑体" w:hAnsi="黑体" w:eastAsia="黑体" w:cs="宋体"/>
          <w:sz w:val="44"/>
          <w:szCs w:val="44"/>
        </w:rPr>
      </w:pPr>
      <w:r>
        <w:rPr>
          <w:rStyle w:val="11"/>
          <w:rFonts w:hint="eastAsia" w:ascii="黑体" w:hAnsi="黑体" w:eastAsia="黑体" w:cs="宋体"/>
          <w:sz w:val="44"/>
          <w:szCs w:val="44"/>
        </w:rPr>
        <w:t>投资协议书</w:t>
      </w:r>
    </w:p>
    <w:p>
      <w:pPr>
        <w:spacing w:line="360" w:lineRule="auto"/>
        <w:jc w:val="center"/>
        <w:rPr>
          <w:b/>
          <w:sz w:val="28"/>
          <w:szCs w:val="28"/>
        </w:rPr>
      </w:pPr>
    </w:p>
    <w:p>
      <w:pPr>
        <w:tabs>
          <w:tab w:val="left" w:pos="8070"/>
          <w:tab w:val="right" w:pos="8306"/>
        </w:tabs>
        <w:autoSpaceDE w:val="0"/>
        <w:autoSpaceDN w:val="0"/>
        <w:adjustRightInd w:val="0"/>
        <w:snapToGrid w:val="0"/>
        <w:spacing w:before="156" w:beforeLines="50" w:line="360" w:lineRule="auto"/>
        <w:jc w:val="center"/>
        <w:rPr>
          <w:rFonts w:ascii="黑体" w:hAnsi="黑体" w:eastAsia="黑体"/>
          <w:b/>
          <w:sz w:val="28"/>
          <w:szCs w:val="28"/>
          <w:u w:val="single"/>
        </w:rPr>
      </w:pPr>
      <w:r>
        <w:rPr>
          <w:rFonts w:hint="eastAsia" w:ascii="黑体" w:hAnsi="黑体" w:eastAsia="黑体"/>
          <w:b/>
          <w:sz w:val="28"/>
          <w:szCs w:val="28"/>
        </w:rPr>
        <w:t>协议编号：【】</w:t>
      </w:r>
    </w:p>
    <w:p>
      <w:pPr>
        <w:spacing w:line="360" w:lineRule="auto"/>
        <w:jc w:val="center"/>
        <w:rPr>
          <w:b/>
          <w:sz w:val="28"/>
          <w:szCs w:val="28"/>
        </w:rPr>
      </w:pPr>
    </w:p>
    <w:p>
      <w:pPr>
        <w:spacing w:line="360" w:lineRule="auto"/>
        <w:jc w:val="center"/>
        <w:rPr>
          <w:b/>
          <w:sz w:val="28"/>
          <w:szCs w:val="28"/>
        </w:rPr>
      </w:pPr>
    </w:p>
    <w:p>
      <w:pPr>
        <w:adjustRightInd w:val="0"/>
        <w:spacing w:line="360" w:lineRule="auto"/>
        <w:jc w:val="center"/>
        <w:rPr>
          <w:rStyle w:val="11"/>
          <w:rFonts w:ascii="宋体" w:hAnsi="宋体"/>
          <w:sz w:val="28"/>
          <w:szCs w:val="28"/>
        </w:rPr>
      </w:pPr>
      <w:bookmarkStart w:id="0" w:name="_Toc123112263"/>
      <w:bookmarkStart w:id="1" w:name="_Toc123112224"/>
      <w:bookmarkStart w:id="2" w:name="_Toc139991726"/>
      <w:bookmarkStart w:id="3" w:name="_Toc139992301"/>
      <w:bookmarkStart w:id="4" w:name="_Toc123701383"/>
      <w:r>
        <w:rPr>
          <w:rStyle w:val="11"/>
          <w:rFonts w:hint="eastAsia" w:ascii="宋体" w:hAnsi="宋体"/>
          <w:sz w:val="28"/>
          <w:szCs w:val="28"/>
        </w:rPr>
        <w:t>理财产品管理人：</w:t>
      </w:r>
      <w:bookmarkEnd w:id="0"/>
      <w:bookmarkEnd w:id="1"/>
      <w:bookmarkEnd w:id="2"/>
      <w:bookmarkEnd w:id="3"/>
      <w:bookmarkEnd w:id="4"/>
      <w:r>
        <w:rPr>
          <w:rStyle w:val="11"/>
          <w:rFonts w:hint="eastAsia" w:ascii="宋体" w:hAnsi="宋体"/>
          <w:sz w:val="28"/>
          <w:szCs w:val="28"/>
        </w:rPr>
        <w:t>兴银理财有限责任公司</w:t>
      </w:r>
    </w:p>
    <w:p>
      <w:pPr>
        <w:adjustRightInd w:val="0"/>
        <w:spacing w:line="360" w:lineRule="auto"/>
        <w:jc w:val="center"/>
        <w:rPr>
          <w:rStyle w:val="11"/>
          <w:rFonts w:ascii="黑体" w:hAnsi="黑体" w:eastAsia="黑体" w:cs="宋体"/>
          <w:sz w:val="28"/>
          <w:szCs w:val="28"/>
        </w:rPr>
      </w:pPr>
      <w:bookmarkStart w:id="5" w:name="_Toc139991727"/>
      <w:bookmarkStart w:id="6" w:name="_Toc139992302"/>
      <w:bookmarkStart w:id="7" w:name="_Toc123112225"/>
      <w:bookmarkStart w:id="8" w:name="_Toc123112264"/>
      <w:bookmarkStart w:id="9" w:name="_Toc123701384"/>
    </w:p>
    <w:bookmarkEnd w:id="5"/>
    <w:bookmarkEnd w:id="6"/>
    <w:bookmarkEnd w:id="7"/>
    <w:bookmarkEnd w:id="8"/>
    <w:bookmarkEnd w:id="9"/>
    <w:p>
      <w:pPr>
        <w:adjustRightInd w:val="0"/>
        <w:spacing w:line="360" w:lineRule="auto"/>
        <w:jc w:val="center"/>
        <w:rPr>
          <w:rStyle w:val="11"/>
          <w:rFonts w:ascii="黑体" w:hAnsi="黑体" w:eastAsia="黑体" w:cs="宋体"/>
          <w:sz w:val="28"/>
          <w:szCs w:val="28"/>
        </w:rPr>
      </w:pPr>
    </w:p>
    <w:p>
      <w:pPr>
        <w:adjustRightInd w:val="0"/>
        <w:spacing w:line="360" w:lineRule="auto"/>
        <w:jc w:val="center"/>
        <w:rPr>
          <w:rStyle w:val="11"/>
          <w:rFonts w:ascii="宋体" w:hAnsi="宋体"/>
          <w:sz w:val="28"/>
          <w:szCs w:val="28"/>
        </w:rPr>
      </w:pPr>
      <w:r>
        <w:rPr>
          <w:rStyle w:val="11"/>
          <w:rFonts w:hint="eastAsia" w:ascii="宋体" w:hAnsi="宋体"/>
          <w:sz w:val="28"/>
          <w:szCs w:val="28"/>
        </w:rPr>
        <w:t>日期</w:t>
      </w:r>
      <w:r>
        <w:rPr>
          <w:rStyle w:val="11"/>
          <w:rFonts w:ascii="宋体" w:hAnsi="宋体"/>
          <w:sz w:val="28"/>
          <w:szCs w:val="28"/>
        </w:rPr>
        <w:t>：</w:t>
      </w:r>
      <w:r>
        <w:rPr>
          <w:rStyle w:val="11"/>
          <w:rFonts w:hint="eastAsia" w:ascii="宋体" w:hAnsi="宋体"/>
          <w:sz w:val="28"/>
          <w:szCs w:val="28"/>
        </w:rPr>
        <w:t>【</w:t>
      </w:r>
      <w:r>
        <w:rPr>
          <w:rStyle w:val="11"/>
          <w:rFonts w:hint="eastAsia" w:ascii="宋体" w:hAnsi="宋体"/>
          <w:sz w:val="28"/>
          <w:szCs w:val="28"/>
          <w:lang w:val="en-US" w:eastAsia="zh-CN"/>
        </w:rPr>
        <w:t>2025</w:t>
      </w:r>
      <w:r>
        <w:rPr>
          <w:rStyle w:val="11"/>
          <w:rFonts w:hint="eastAsia" w:ascii="宋体" w:hAnsi="宋体"/>
          <w:sz w:val="28"/>
          <w:szCs w:val="28"/>
        </w:rPr>
        <w:t>】年【</w:t>
      </w:r>
      <w:r>
        <w:rPr>
          <w:rStyle w:val="11"/>
          <w:rFonts w:hint="eastAsia" w:ascii="宋体" w:hAnsi="宋体"/>
          <w:sz w:val="28"/>
          <w:szCs w:val="28"/>
          <w:lang w:val="en-US" w:eastAsia="zh-CN"/>
        </w:rPr>
        <w:t>3</w:t>
      </w:r>
      <w:r>
        <w:rPr>
          <w:rStyle w:val="11"/>
          <w:rFonts w:hint="eastAsia" w:ascii="宋体" w:hAnsi="宋体"/>
          <w:sz w:val="28"/>
          <w:szCs w:val="28"/>
        </w:rPr>
        <w:t>】月</w:t>
      </w:r>
    </w:p>
    <w:p>
      <w:pPr>
        <w:tabs>
          <w:tab w:val="left" w:pos="8070"/>
          <w:tab w:val="right" w:pos="8306"/>
        </w:tabs>
        <w:autoSpaceDE w:val="0"/>
        <w:autoSpaceDN w:val="0"/>
        <w:adjustRightInd w:val="0"/>
        <w:snapToGrid w:val="0"/>
        <w:spacing w:before="156" w:beforeLines="50" w:line="360" w:lineRule="auto"/>
        <w:jc w:val="center"/>
        <w:rPr>
          <w:bCs/>
          <w:sz w:val="32"/>
        </w:rPr>
      </w:pPr>
      <w:r>
        <w:rPr>
          <w:bCs/>
          <w:sz w:val="32"/>
        </w:rPr>
        <w:br w:type="page"/>
      </w:r>
    </w:p>
    <w:p>
      <w:pPr>
        <w:tabs>
          <w:tab w:val="left" w:pos="8070"/>
          <w:tab w:val="right" w:pos="8306"/>
        </w:tabs>
        <w:autoSpaceDE w:val="0"/>
        <w:autoSpaceDN w:val="0"/>
        <w:adjustRightInd w:val="0"/>
        <w:snapToGrid w:val="0"/>
        <w:spacing w:before="156" w:beforeLines="50" w:line="360" w:lineRule="auto"/>
        <w:rPr>
          <w:bCs/>
          <w:sz w:val="32"/>
        </w:rPr>
      </w:pPr>
    </w:p>
    <w:tbl>
      <w:tblPr>
        <w:tblStyle w:val="9"/>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52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pPr>
              <w:tabs>
                <w:tab w:val="left" w:pos="8070"/>
                <w:tab w:val="right" w:pos="8306"/>
              </w:tabs>
              <w:autoSpaceDE w:val="0"/>
              <w:autoSpaceDN w:val="0"/>
              <w:adjustRightInd w:val="0"/>
              <w:snapToGrid w:val="0"/>
              <w:spacing w:before="156" w:beforeLines="50" w:line="360" w:lineRule="auto"/>
              <w:jc w:val="center"/>
              <w:rPr>
                <w:rFonts w:ascii="黑体" w:hAnsi="黑体" w:eastAsia="黑体"/>
                <w:bCs/>
                <w:sz w:val="32"/>
                <w:szCs w:val="32"/>
              </w:rPr>
            </w:pPr>
            <w:r>
              <w:rPr>
                <w:rFonts w:hint="eastAsia" w:ascii="黑体" w:hAnsi="黑体" w:eastAsia="黑体"/>
                <w:b/>
                <w:kern w:val="0"/>
                <w:sz w:val="32"/>
                <w:szCs w:val="32"/>
              </w:rPr>
              <w:t>特别提示页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关于理财产品与存款产品的提示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理财产品与存款存在明显区别，理财非存款、产品有风险、投资须谨慎。</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关于理财产品的过往业绩的提示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理财产品过往业绩不代表其未来表现，不等于理财产品实际收益，投资须谨慎。</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ind w:left="271" w:hanging="271"/>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关于理财产品的业绩比较基准和业绩报酬计提基准的提示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本产品的业绩比较基准或业绩</w:t>
            </w:r>
            <w:r>
              <w:rPr>
                <w:rFonts w:ascii="黑体" w:hAnsi="黑体" w:eastAsia="黑体"/>
                <w:bCs/>
                <w:sz w:val="18"/>
                <w:szCs w:val="18"/>
              </w:rPr>
              <w:t>报酬计提</w:t>
            </w:r>
            <w:r>
              <w:rPr>
                <w:rFonts w:hint="eastAsia" w:ascii="黑体" w:hAnsi="黑体" w:eastAsia="黑体"/>
                <w:bCs/>
                <w:sz w:val="18"/>
                <w:szCs w:val="18"/>
              </w:rPr>
              <w:t>基准等类似表述不是预期收益率，不代表产品的未来表现和实际收益，不构成对产品收益的承诺，仅供投资者进行投资决定时参考。</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关于理财产品不保证本金和收益的提示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产品管理人对本产品的本金和收益不提供保证承诺。本产品在发生不利情况下（可能但不一定发生），投资者可能无法取得收益，并可能面临损失本金的风险。投资者应认真阅读本说明书及风险揭示书的内容，基于自身的独立判断进行投资决策。</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关于销售文件的组成和编制的提示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1.销售文件的组成</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《投资协议书》《产品说明书》《（代理）销售协议</w:t>
            </w:r>
            <w:r>
              <w:rPr>
                <w:rFonts w:ascii="黑体" w:hAnsi="黑体" w:eastAsia="黑体"/>
                <w:bCs/>
                <w:sz w:val="18"/>
                <w:szCs w:val="18"/>
              </w:rPr>
              <w:t>书</w:t>
            </w:r>
            <w:r>
              <w:rPr>
                <w:rFonts w:hint="eastAsia" w:ascii="黑体" w:hAnsi="黑体" w:eastAsia="黑体"/>
                <w:bCs/>
                <w:sz w:val="18"/>
                <w:szCs w:val="18"/>
              </w:rPr>
              <w:t>》《风险揭示书》《投资者权益须知》等文件共同构成一份完整且不可分割的理财产品销售文件。</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2.销售文件的编制</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根据《理财公司理财产品销售管理暂行办法》（</w:t>
            </w:r>
            <w:r>
              <w:rPr>
                <w:rFonts w:ascii="黑体" w:hAnsi="黑体" w:eastAsia="黑体"/>
                <w:bCs/>
                <w:sz w:val="18"/>
                <w:szCs w:val="18"/>
              </w:rPr>
              <w:t>银保监会令</w:t>
            </w:r>
            <w:r>
              <w:rPr>
                <w:rFonts w:hint="eastAsia" w:ascii="黑体" w:hAnsi="黑体" w:eastAsia="黑体"/>
                <w:bCs/>
                <w:sz w:val="18"/>
                <w:szCs w:val="18"/>
              </w:rPr>
              <w:t>2</w:t>
            </w:r>
            <w:r>
              <w:rPr>
                <w:rFonts w:ascii="黑体" w:hAnsi="黑体" w:eastAsia="黑体"/>
                <w:bCs/>
                <w:sz w:val="18"/>
                <w:szCs w:val="18"/>
              </w:rPr>
              <w:t>021年第</w:t>
            </w:r>
            <w:r>
              <w:rPr>
                <w:rFonts w:hint="eastAsia" w:ascii="黑体" w:hAnsi="黑体" w:eastAsia="黑体"/>
                <w:bCs/>
                <w:sz w:val="18"/>
                <w:szCs w:val="18"/>
              </w:rPr>
              <w:t>4号）第2</w:t>
            </w:r>
            <w:r>
              <w:rPr>
                <w:rFonts w:ascii="黑体" w:hAnsi="黑体" w:eastAsia="黑体"/>
                <w:bCs/>
                <w:sz w:val="18"/>
                <w:szCs w:val="18"/>
              </w:rPr>
              <w:t>9条规定</w:t>
            </w:r>
            <w:r>
              <w:rPr>
                <w:rFonts w:hint="eastAsia" w:ascii="黑体" w:hAnsi="黑体" w:eastAsia="黑体"/>
                <w:bCs/>
                <w:sz w:val="18"/>
                <w:szCs w:val="18"/>
              </w:rPr>
              <w:t>，本款产品销售文件在编制时，可能存在以下两种情形：</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（1）情形1：所有销售文件都由产品管理人统一编制。其中，《投资协议书》《产品说明书》《（代理）销售协议书》《风险揭示书》《投资者权益须知》等销售文件均由产品管理人统一编制。</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情形2：部分销售文件由代理销售机构进行编制。其中，《投资协议书》和《产品说明书》由产品管理人统一编制；《（代理）销售协议书》《风险揭示书》《投资者权益须知》等销售文件，此等销售文件中的之一或之二或全部，由于代理销售机构的需求而由理财公司委托代理销售机构进行编制。</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请投资者根据理财产品销售时的实际情况，认真阅读相关理财产品销售文件的内容。</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关于投资者适当性的提示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按销售机构政策重新完成风险承受能力评估。</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关于投资者信息的提示</w:t>
            </w:r>
          </w:p>
          <w:p>
            <w:pPr>
              <w:tabs>
                <w:tab w:val="left" w:pos="704"/>
                <w:tab w:val="left" w:pos="1995"/>
              </w:tabs>
              <w:autoSpaceDE w:val="0"/>
              <w:autoSpaceDN w:val="0"/>
              <w:adjustRightInd w:val="0"/>
              <w:snapToGrid w:val="0"/>
              <w:spacing w:line="360" w:lineRule="auto"/>
              <w:rPr>
                <w:rFonts w:ascii="黑体" w:hAnsi="黑体" w:eastAsia="黑体"/>
                <w:sz w:val="18"/>
                <w:szCs w:val="18"/>
              </w:rPr>
            </w:pPr>
            <w:r>
              <w:rPr>
                <w:rFonts w:hint="eastAsia" w:ascii="黑体" w:hAnsi="黑体" w:eastAsia="黑体"/>
                <w:sz w:val="18"/>
                <w:szCs w:val="18"/>
              </w:rPr>
              <w:t>投资者同意并授权产品管理人有权根据业务办理需要、反洗钱工作、非居民金融账户涉税信息尽职调查、I</w:t>
            </w:r>
            <w:r>
              <w:rPr>
                <w:rFonts w:ascii="黑体" w:hAnsi="黑体" w:eastAsia="黑体"/>
                <w:sz w:val="18"/>
                <w:szCs w:val="18"/>
              </w:rPr>
              <w:t>PO或并购重组涉及的股东穿透核查或根据其他有权机关或监管要求</w:t>
            </w:r>
            <w:r>
              <w:rPr>
                <w:rFonts w:hint="eastAsia" w:ascii="黑体" w:hAnsi="黑体" w:eastAsia="黑体"/>
                <w:sz w:val="18"/>
                <w:szCs w:val="18"/>
              </w:rPr>
              <w:t>等需要，收集调取投资者开户留存的有效身份证件或者其他身份证明文件信息、交易记录、数据信息、金融账户和其他资料，同时可向销售机构、产品托管人、监管机构、有权机关、自律组织、理财登记备案机构、投资合作机构、投资交易相关方、中介服务机构、理财快速赎回服务提供方提供、留存前述信息。投资者签署本理财产品销售文件即视为已经同意管理人在前述范围内向相关方提供投资者信息。</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关于理财产品信息披露的提示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在购买本产品后，投资者应随时关注该理财产品的信息披露情况，及时获取相关信息。</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关于理财产品咨询的提示</w:t>
            </w:r>
          </w:p>
          <w:p>
            <w:pPr>
              <w:pStyle w:val="7"/>
              <w:snapToGrid w:val="0"/>
              <w:spacing w:before="0" w:beforeAutospacing="0" w:after="0" w:afterAutospacing="0" w:line="360" w:lineRule="auto"/>
              <w:jc w:val="both"/>
              <w:rPr>
                <w:bCs/>
                <w:sz w:val="32"/>
              </w:rPr>
            </w:pPr>
            <w:r>
              <w:rPr>
                <w:rFonts w:hint="eastAsia" w:ascii="黑体" w:hAnsi="黑体" w:eastAsia="黑体"/>
                <w:bCs/>
                <w:sz w:val="18"/>
                <w:szCs w:val="18"/>
              </w:rPr>
              <w:t>投资者对本理财产品及销售文件的内容有任何疑问，请向产品管理人或销售机构咨询。</w:t>
            </w:r>
          </w:p>
        </w:tc>
      </w:tr>
    </w:tbl>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bookmarkStart w:id="10" w:name="_Toc123112227"/>
      <w:bookmarkStart w:id="11" w:name="_Toc139991729"/>
      <w:bookmarkStart w:id="12" w:name="_Toc123112266"/>
      <w:bookmarkStart w:id="13" w:name="_Toc123701386"/>
    </w:p>
    <w:p>
      <w:pPr>
        <w:widowControl/>
        <w:jc w:val="left"/>
        <w:rPr>
          <w:rFonts w:ascii="宋体" w:hAnsi="宋体" w:cs="仿宋_GB2312"/>
          <w:b/>
          <w:kern w:val="0"/>
          <w:sz w:val="18"/>
          <w:szCs w:val="18"/>
        </w:rPr>
      </w:pPr>
      <w:r>
        <w:rPr>
          <w:rFonts w:ascii="宋体" w:hAnsi="宋体" w:cs="仿宋_GB2312"/>
          <w:b/>
          <w:kern w:val="0"/>
          <w:sz w:val="18"/>
          <w:szCs w:val="18"/>
        </w:rPr>
        <w:br w:type="page"/>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tbl>
      <w:tblPr>
        <w:tblStyle w:val="8"/>
        <w:tblW w:w="922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142"/>
        <w:gridCol w:w="708"/>
        <w:gridCol w:w="982"/>
        <w:gridCol w:w="1854"/>
        <w:gridCol w:w="1417"/>
        <w:gridCol w:w="311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49" w:hRule="exact"/>
          <w:jc w:val="center"/>
        </w:trPr>
        <w:tc>
          <w:tcPr>
            <w:tcW w:w="9221" w:type="dxa"/>
            <w:gridSpan w:val="6"/>
            <w:tcBorders>
              <w:bottom w:val="single" w:color="auto" w:sz="12" w:space="0"/>
            </w:tcBorders>
            <w:shd w:val="pct10" w:color="FFFFFF" w:fill="D8D8D8" w:themeFill="background1" w:themeFillShade="D9"/>
            <w:vAlign w:val="center"/>
          </w:tcPr>
          <w:p>
            <w:pPr>
              <w:pBdr>
                <w:bottom w:val="single" w:color="auto" w:sz="6" w:space="1"/>
              </w:pBdr>
              <w:snapToGrid w:val="0"/>
              <w:spacing w:line="360" w:lineRule="auto"/>
              <w:jc w:val="center"/>
              <w:rPr>
                <w:rFonts w:ascii="宋体" w:hAnsi="宋体"/>
                <w:b/>
                <w:bCs/>
                <w:sz w:val="28"/>
                <w:szCs w:val="28"/>
              </w:rPr>
            </w:pPr>
            <w:r>
              <w:rPr>
                <w:rFonts w:hint="eastAsia" w:ascii="宋体" w:hAnsi="宋体"/>
                <w:b/>
                <w:bCs/>
                <w:sz w:val="28"/>
                <w:szCs w:val="28"/>
              </w:rPr>
              <w:t>信息栏</w:t>
            </w:r>
          </w:p>
          <w:p>
            <w:pPr>
              <w:pStyle w:val="4"/>
              <w:spacing w:line="360" w:lineRule="auto"/>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170" w:hRule="exact"/>
          <w:jc w:val="center"/>
        </w:trPr>
        <w:tc>
          <w:tcPr>
            <w:tcW w:w="9221" w:type="dxa"/>
            <w:gridSpan w:val="6"/>
            <w:shd w:val="pct10" w:color="A5A5A5" w:themeColor="background1" w:themeShade="A6" w:fill="A5A5A5" w:themeFill="background1" w:themeFillShade="A6"/>
            <w:vAlign w:val="center"/>
          </w:tcPr>
          <w:p>
            <w:pPr>
              <w:pStyle w:val="4"/>
              <w:spacing w:line="360" w:lineRule="auto"/>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trHeight w:val="340" w:hRule="exac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投资者信息</w:t>
            </w:r>
          </w:p>
        </w:tc>
        <w:tc>
          <w:tcPr>
            <w:tcW w:w="708" w:type="dxa"/>
            <w:vMerge w:val="restart"/>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个人投资者适用</w:t>
            </w:r>
          </w:p>
        </w:tc>
        <w:tc>
          <w:tcPr>
            <w:tcW w:w="982"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姓名</w:t>
            </w:r>
          </w:p>
        </w:tc>
        <w:tc>
          <w:tcPr>
            <w:tcW w:w="6389" w:type="dxa"/>
            <w:gridSpan w:val="3"/>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spacing w:line="360" w:lineRule="auto"/>
              <w:jc w:val="left"/>
              <w:rPr>
                <w:rFonts w:ascii="宋体" w:hAnsi="宋体"/>
                <w:bCs/>
                <w:sz w:val="18"/>
                <w:szCs w:val="18"/>
              </w:rPr>
            </w:pPr>
          </w:p>
        </w:tc>
        <w:tc>
          <w:tcPr>
            <w:tcW w:w="982"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证件类型</w:t>
            </w:r>
          </w:p>
        </w:tc>
        <w:tc>
          <w:tcPr>
            <w:tcW w:w="1854" w:type="dxa"/>
            <w:shd w:val="solid" w:color="FFFFFF" w:fill="FFFFFF"/>
            <w:vAlign w:val="center"/>
          </w:tcPr>
          <w:p>
            <w:pPr>
              <w:spacing w:line="360" w:lineRule="auto"/>
              <w:jc w:val="left"/>
              <w:rPr>
                <w:rFonts w:ascii="宋体" w:hAnsi="宋体"/>
                <w:bCs/>
                <w:sz w:val="18"/>
                <w:szCs w:val="18"/>
              </w:rPr>
            </w:pPr>
          </w:p>
        </w:tc>
        <w:tc>
          <w:tcPr>
            <w:tcW w:w="1417"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证件号码</w:t>
            </w:r>
          </w:p>
        </w:tc>
        <w:tc>
          <w:tcPr>
            <w:tcW w:w="3118" w:type="dxa"/>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spacing w:line="360" w:lineRule="auto"/>
              <w:jc w:val="left"/>
              <w:rPr>
                <w:rFonts w:ascii="宋体" w:hAnsi="宋体"/>
                <w:bCs/>
                <w:sz w:val="18"/>
                <w:szCs w:val="18"/>
              </w:rPr>
            </w:pPr>
          </w:p>
        </w:tc>
        <w:tc>
          <w:tcPr>
            <w:tcW w:w="982"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联系电话</w:t>
            </w:r>
          </w:p>
        </w:tc>
        <w:tc>
          <w:tcPr>
            <w:tcW w:w="1854" w:type="dxa"/>
            <w:shd w:val="solid" w:color="FFFFFF" w:fill="FFFFFF"/>
            <w:vAlign w:val="center"/>
          </w:tcPr>
          <w:p>
            <w:pPr>
              <w:spacing w:line="360" w:lineRule="auto"/>
              <w:jc w:val="left"/>
              <w:rPr>
                <w:rFonts w:ascii="宋体" w:hAnsi="宋体"/>
                <w:bCs/>
                <w:sz w:val="18"/>
                <w:szCs w:val="18"/>
              </w:rPr>
            </w:pPr>
          </w:p>
        </w:tc>
        <w:tc>
          <w:tcPr>
            <w:tcW w:w="1417"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电子邮箱</w:t>
            </w:r>
          </w:p>
        </w:tc>
        <w:tc>
          <w:tcPr>
            <w:tcW w:w="3118" w:type="dxa"/>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spacing w:line="360" w:lineRule="auto"/>
              <w:jc w:val="left"/>
              <w:rPr>
                <w:rFonts w:ascii="宋体" w:hAnsi="宋体"/>
                <w:bCs/>
                <w:sz w:val="18"/>
                <w:szCs w:val="18"/>
              </w:rPr>
            </w:pPr>
          </w:p>
        </w:tc>
        <w:tc>
          <w:tcPr>
            <w:tcW w:w="982"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联系地址</w:t>
            </w:r>
          </w:p>
        </w:tc>
        <w:tc>
          <w:tcPr>
            <w:tcW w:w="6389" w:type="dxa"/>
            <w:gridSpan w:val="3"/>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spacing w:line="360" w:lineRule="auto"/>
              <w:jc w:val="left"/>
              <w:rPr>
                <w:rFonts w:ascii="宋体" w:hAnsi="宋体"/>
                <w:bCs/>
                <w:sz w:val="18"/>
                <w:szCs w:val="18"/>
              </w:rPr>
            </w:pPr>
          </w:p>
        </w:tc>
        <w:tc>
          <w:tcPr>
            <w:tcW w:w="982" w:type="dxa"/>
            <w:tcBorders>
              <w:bottom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邮政编码</w:t>
            </w:r>
          </w:p>
        </w:tc>
        <w:tc>
          <w:tcPr>
            <w:tcW w:w="6389" w:type="dxa"/>
            <w:gridSpan w:val="3"/>
            <w:tcBorders>
              <w:bottom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restart"/>
            <w:tcBorders>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机构投资者适用</w:t>
            </w: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w:t>
            </w:r>
            <w:r>
              <w:rPr>
                <w:rFonts w:ascii="宋体" w:hAnsi="宋体"/>
                <w:bCs/>
                <w:sz w:val="18"/>
                <w:szCs w:val="18"/>
              </w:rPr>
              <w:t>名称</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证件类型</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证件号码</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法定代表人或授权代表</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联系电话</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电子邮箱</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联系地址</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tcBorders>
              <w:bottom w:val="single" w:color="auto" w:sz="12" w:space="0"/>
            </w:tcBorders>
            <w:shd w:val="solid" w:color="FFFFFF" w:fill="FFFFFF"/>
            <w:vAlign w:val="center"/>
          </w:tcPr>
          <w:p>
            <w:pPr>
              <w:spacing w:line="360" w:lineRule="auto"/>
              <w:jc w:val="left"/>
              <w:rPr>
                <w:rFonts w:ascii="宋体" w:hAnsi="宋体"/>
                <w:b/>
                <w:bCs/>
                <w:sz w:val="18"/>
                <w:szCs w:val="18"/>
              </w:rPr>
            </w:pPr>
          </w:p>
        </w:tc>
        <w:tc>
          <w:tcPr>
            <w:tcW w:w="708" w:type="dxa"/>
            <w:vMerge w:val="continue"/>
            <w:tcBorders>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邮政编码</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trHeight w:val="170" w:hRule="exact"/>
          <w:jc w:val="center"/>
        </w:trPr>
        <w:tc>
          <w:tcPr>
            <w:tcW w:w="9221" w:type="dxa"/>
            <w:gridSpan w:val="6"/>
            <w:shd w:val="pct10" w:color="FFFFFF" w:fill="A5A5A5" w:themeFill="background1" w:themeFillShade="A6"/>
            <w:vAlign w:val="center"/>
          </w:tcPr>
          <w:p>
            <w:pPr>
              <w:pStyle w:val="4"/>
              <w:pBdr>
                <w:bottom w:val="none" w:color="auto" w:sz="0" w:space="0"/>
              </w:pBdr>
              <w:spacing w:line="360" w:lineRule="auto"/>
              <w:rPr>
                <w:rFonts w:ascii="宋体" w:hAnsi="宋体"/>
                <w:b/>
                <w:bCs/>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trHeight w:val="402" w:hRule="atLeas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理财产品管理人信息</w:t>
            </w:r>
          </w:p>
        </w:tc>
        <w:tc>
          <w:tcPr>
            <w:tcW w:w="1690" w:type="dxa"/>
            <w:gridSpan w:val="2"/>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机构名称</w:t>
            </w:r>
          </w:p>
        </w:tc>
        <w:tc>
          <w:tcPr>
            <w:tcW w:w="6389" w:type="dxa"/>
            <w:gridSpan w:val="3"/>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75" w:hRule="atLeast"/>
          <w:jc w:val="center"/>
        </w:trPr>
        <w:tc>
          <w:tcPr>
            <w:tcW w:w="1142" w:type="dxa"/>
            <w:vMerge w:val="continue"/>
            <w:tcBorders>
              <w:bottom w:val="single" w:color="auto" w:sz="12" w:space="0"/>
            </w:tcBorders>
            <w:shd w:val="solid" w:color="FFFFFF" w:fill="FFFFFF"/>
            <w:vAlign w:val="center"/>
          </w:tcPr>
          <w:p>
            <w:pPr>
              <w:spacing w:line="360" w:lineRule="auto"/>
              <w:jc w:val="left"/>
              <w:rPr>
                <w:rFonts w:ascii="宋体" w:hAnsi="宋体"/>
                <w:b/>
                <w:bCs/>
                <w:sz w:val="18"/>
                <w:szCs w:val="18"/>
              </w:rPr>
            </w:pPr>
          </w:p>
        </w:tc>
        <w:tc>
          <w:tcPr>
            <w:tcW w:w="1690" w:type="dxa"/>
            <w:gridSpan w:val="2"/>
            <w:tcBorders>
              <w:bottom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机构简介</w:t>
            </w:r>
          </w:p>
        </w:tc>
        <w:tc>
          <w:tcPr>
            <w:tcW w:w="6389" w:type="dxa"/>
            <w:gridSpan w:val="3"/>
            <w:tcBorders>
              <w:bottom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bCs/>
                <w:sz w:val="18"/>
                <w:szCs w:val="18"/>
              </w:rPr>
              <w:t>本公司系根据原中国银保监会（现国家金融监督管理总局）批准设立的由兴业银行股份有限公司全资控股的银行理财子公司。公司名称：中文为“兴银理财有限责任公司”；英文：“</w:t>
            </w:r>
            <w:r>
              <w:rPr>
                <w:rFonts w:ascii="宋体" w:hAnsi="宋体"/>
                <w:bCs/>
                <w:sz w:val="18"/>
                <w:szCs w:val="18"/>
              </w:rPr>
              <w:t>CIB Wealth Management Co.,Ltd. ”</w:t>
            </w:r>
            <w:r>
              <w:rPr>
                <w:rFonts w:hint="eastAsia" w:ascii="宋体" w:hAnsi="宋体"/>
                <w:bCs/>
                <w:sz w:val="18"/>
                <w:szCs w:val="18"/>
              </w:rPr>
              <w:t>。公司成立于</w:t>
            </w:r>
            <w:r>
              <w:rPr>
                <w:rFonts w:ascii="宋体" w:hAnsi="宋体"/>
                <w:bCs/>
                <w:sz w:val="18"/>
                <w:szCs w:val="18"/>
              </w:rPr>
              <w:t>2019年12月，公司注册资本为50亿元人民币，全部由兴业银行股份有限公司以货币资金认购并一次性足额缴纳。公司注册地为福建省福州市。公司主要</w:t>
            </w:r>
            <w:r>
              <w:rPr>
                <w:rFonts w:hint="eastAsia" w:ascii="宋体" w:hAnsi="宋体"/>
                <w:bCs/>
                <w:sz w:val="18"/>
                <w:szCs w:val="18"/>
              </w:rPr>
              <w:t>业务范围为：面向不特定社会公众公开发行理财产品，对受托的投资和财产进行投资和管理；面向合格投资者非公开发行理财产品，对受托的投资和财产进行投资和管理；理财顾问和咨询服务；经监管部门批准的其他业务等。</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trHeight w:val="291" w:hRule="atLeas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理财产品信息</w:t>
            </w:r>
          </w:p>
        </w:tc>
        <w:tc>
          <w:tcPr>
            <w:tcW w:w="1690" w:type="dxa"/>
            <w:gridSpan w:val="2"/>
            <w:shd w:val="solid" w:color="FFFFFF" w:fill="FFFFFF"/>
          </w:tcPr>
          <w:p>
            <w:pPr>
              <w:spacing w:line="360" w:lineRule="auto"/>
              <w:jc w:val="left"/>
              <w:rPr>
                <w:rFonts w:ascii="宋体" w:hAnsi="宋体"/>
                <w:bCs/>
                <w:sz w:val="18"/>
                <w:szCs w:val="18"/>
              </w:rPr>
            </w:pPr>
            <w:r>
              <w:rPr>
                <w:rFonts w:hint="eastAsia" w:hAnsi="宋体"/>
                <w:sz w:val="18"/>
                <w:szCs w:val="18"/>
              </w:rPr>
              <w:t>★</w:t>
            </w:r>
            <w:r>
              <w:rPr>
                <w:rFonts w:hint="eastAsia" w:ascii="宋体" w:hAnsi="宋体"/>
                <w:bCs/>
                <w:sz w:val="18"/>
                <w:szCs w:val="18"/>
              </w:rPr>
              <w:t>理财产品名称</w:t>
            </w:r>
          </w:p>
        </w:tc>
        <w:tc>
          <w:tcPr>
            <w:tcW w:w="6389" w:type="dxa"/>
            <w:gridSpan w:val="3"/>
            <w:shd w:val="solid" w:color="FFFFFF" w:fill="FFFFFF"/>
          </w:tcPr>
          <w:p>
            <w:pPr>
              <w:spacing w:line="360" w:lineRule="auto"/>
              <w:jc w:val="left"/>
              <w:rPr>
                <w:rFonts w:ascii="宋体" w:hAnsi="宋体"/>
                <w:bCs/>
                <w:sz w:val="18"/>
                <w:szCs w:val="18"/>
              </w:rPr>
            </w:pPr>
            <w:r>
              <w:rPr>
                <w:rFonts w:hint="eastAsia" w:ascii="宋体" w:hAnsi="宋体"/>
                <w:bCs/>
                <w:sz w:val="18"/>
                <w:szCs w:val="18"/>
              </w:rPr>
              <w:t>【</w:t>
            </w:r>
            <w:r>
              <w:rPr>
                <w:rFonts w:hint="eastAsia" w:asciiTheme="minorEastAsia" w:hAnsiTheme="minorEastAsia"/>
                <w:sz w:val="18"/>
                <w:szCs w:val="18"/>
              </w:rPr>
              <w:t>兴银理财添利天天利</w:t>
            </w:r>
            <w:r>
              <w:rPr>
                <w:rFonts w:hint="eastAsia" w:asciiTheme="minorEastAsia" w:hAnsiTheme="minorEastAsia"/>
                <w:sz w:val="18"/>
                <w:szCs w:val="18"/>
                <w:lang w:val="en-US" w:eastAsia="zh-CN"/>
              </w:rPr>
              <w:t>51</w:t>
            </w:r>
            <w:r>
              <w:rPr>
                <w:rFonts w:hint="eastAsia" w:asciiTheme="minorEastAsia" w:hAnsiTheme="minorEastAsia"/>
                <w:sz w:val="18"/>
                <w:szCs w:val="18"/>
              </w:rPr>
              <w:t>号现金管理型理财产品</w:t>
            </w:r>
            <w:r>
              <w:rPr>
                <w:rFonts w:hint="eastAsia" w:ascii="宋体" w:hAnsi="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trHeight w:val="291"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vAlign w:val="center"/>
          </w:tcPr>
          <w:p>
            <w:pPr>
              <w:spacing w:line="360" w:lineRule="auto"/>
              <w:jc w:val="left"/>
              <w:rPr>
                <w:rFonts w:ascii="宋体" w:hAnsi="宋体"/>
                <w:bCs/>
                <w:sz w:val="18"/>
                <w:szCs w:val="18"/>
              </w:rPr>
            </w:pPr>
            <w:r>
              <w:rPr>
                <w:rFonts w:hint="eastAsia" w:hAnsi="宋体"/>
                <w:sz w:val="18"/>
                <w:szCs w:val="18"/>
              </w:rPr>
              <w:t>★</w:t>
            </w:r>
            <w:r>
              <w:rPr>
                <w:rFonts w:hint="eastAsia" w:ascii="宋体" w:hAnsi="宋体"/>
                <w:bCs/>
                <w:sz w:val="18"/>
                <w:szCs w:val="18"/>
              </w:rPr>
              <w:t>产品销售名称</w:t>
            </w:r>
          </w:p>
        </w:tc>
        <w:tc>
          <w:tcPr>
            <w:tcW w:w="6389" w:type="dxa"/>
            <w:gridSpan w:val="3"/>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w:t>
            </w:r>
            <w:r>
              <w:rPr>
                <w:rFonts w:hint="eastAsia" w:asciiTheme="minorEastAsia" w:hAnsiTheme="minorEastAsia"/>
                <w:sz w:val="18"/>
                <w:szCs w:val="18"/>
              </w:rPr>
              <w:t>兴银添利天天利51号</w:t>
            </w:r>
            <w:r>
              <w:rPr>
                <w:rFonts w:hint="eastAsia" w:asciiTheme="minorEastAsia" w:hAnsiTheme="minorEastAsia"/>
                <w:sz w:val="18"/>
                <w:szCs w:val="18"/>
                <w:lang w:val="en-US" w:eastAsia="zh-CN"/>
              </w:rPr>
              <w:t>C</w:t>
            </w:r>
            <w:r>
              <w:rPr>
                <w:rFonts w:hint="eastAsia" w:ascii="宋体" w:hAnsi="宋体"/>
                <w:bCs/>
                <w:sz w:val="18"/>
                <w:szCs w:val="18"/>
              </w:rPr>
              <w:t>】</w:t>
            </w:r>
            <w:r>
              <w:rPr>
                <w:rFonts w:hint="eastAsia" w:ascii="宋体" w:hAnsi="宋体"/>
                <w:bCs/>
                <w:color w:val="000000" w:themeColor="text1"/>
                <w:sz w:val="18"/>
                <w:szCs w:val="18"/>
                <w14:textFill>
                  <w14:solidFill>
                    <w14:schemeClr w14:val="tx1"/>
                  </w14:solidFill>
                </w14:textFill>
              </w:rPr>
              <w:t>（适用【</w:t>
            </w:r>
            <w:r>
              <w:rPr>
                <w:rFonts w:hint="eastAsia" w:ascii="宋体" w:hAnsi="宋体"/>
                <w:bCs/>
                <w:color w:val="000000" w:themeColor="text1"/>
                <w:sz w:val="18"/>
                <w:szCs w:val="18"/>
                <w:lang w:val="en-US" w:eastAsia="zh-CN"/>
                <w14:textFill>
                  <w14:solidFill>
                    <w14:schemeClr w14:val="tx1"/>
                  </w14:solidFill>
                </w14:textFill>
              </w:rPr>
              <w:t>C</w:t>
            </w:r>
            <w:r>
              <w:rPr>
                <w:rFonts w:hint="eastAsia" w:ascii="宋体" w:hAnsi="宋体"/>
                <w:bCs/>
                <w:color w:val="000000" w:themeColor="text1"/>
                <w:sz w:val="18"/>
                <w:szCs w:val="18"/>
                <w14:textFill>
                  <w14:solidFill>
                    <w14:schemeClr w14:val="tx1"/>
                  </w14:solidFill>
                </w14:textFill>
              </w:rPr>
              <w:t>】类份额）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91"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tcPr>
          <w:p>
            <w:pPr>
              <w:spacing w:line="360" w:lineRule="auto"/>
              <w:jc w:val="left"/>
              <w:rPr>
                <w:rFonts w:ascii="宋体" w:hAnsi="宋体"/>
                <w:bCs/>
                <w:sz w:val="18"/>
                <w:szCs w:val="18"/>
              </w:rPr>
            </w:pPr>
            <w:r>
              <w:rPr>
                <w:rFonts w:hint="eastAsia" w:hAnsi="宋体"/>
                <w:sz w:val="18"/>
                <w:szCs w:val="18"/>
              </w:rPr>
              <w:t>★</w:t>
            </w:r>
            <w:r>
              <w:rPr>
                <w:rFonts w:hint="eastAsia" w:ascii="宋体" w:hAnsi="宋体"/>
                <w:bCs/>
                <w:sz w:val="18"/>
                <w:szCs w:val="18"/>
              </w:rPr>
              <w:t>产品登记编码</w:t>
            </w:r>
          </w:p>
        </w:tc>
        <w:tc>
          <w:tcPr>
            <w:tcW w:w="6389" w:type="dxa"/>
            <w:gridSpan w:val="3"/>
            <w:shd w:val="solid" w:color="FFFFFF" w:fill="FFFFFF"/>
          </w:tcPr>
          <w:p>
            <w:pPr>
              <w:spacing w:line="360" w:lineRule="auto"/>
              <w:jc w:val="left"/>
              <w:rPr>
                <w:rFonts w:ascii="宋体" w:hAnsi="宋体"/>
                <w:bCs/>
                <w:sz w:val="18"/>
                <w:szCs w:val="18"/>
              </w:rPr>
            </w:pPr>
            <w:r>
              <w:rPr>
                <w:rFonts w:hint="eastAsia" w:ascii="宋体" w:hAnsi="宋体"/>
                <w:bCs/>
                <w:sz w:val="18"/>
                <w:szCs w:val="18"/>
              </w:rPr>
              <w:t>【Z7002025000121】注：投资者可依据理财产品登记编码在中国理财网查询产品信息</w:t>
            </w:r>
            <w:r>
              <w:fldChar w:fldCharType="begin"/>
            </w:r>
            <w:r>
              <w:instrText xml:space="preserve"> HYPERLINK "http://www.chinawealth.com.cn" </w:instrText>
            </w:r>
            <w:r>
              <w:fldChar w:fldCharType="separate"/>
            </w:r>
            <w:r>
              <w:rPr>
                <w:rFonts w:ascii="宋体" w:hAnsi="宋体"/>
                <w:bCs/>
                <w:sz w:val="18"/>
                <w:szCs w:val="18"/>
              </w:rPr>
              <w:t>www.chinawealth.com.cn</w:t>
            </w:r>
            <w:r>
              <w:rPr>
                <w:rFonts w:ascii="宋体" w:hAnsi="宋体"/>
                <w:bCs/>
                <w:sz w:val="18"/>
                <w:szCs w:val="18"/>
              </w:rPr>
              <w:fldChar w:fldCharType="end"/>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trHeight w:val="90"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vAlign w:val="center"/>
          </w:tcPr>
          <w:p>
            <w:pPr>
              <w:spacing w:line="360" w:lineRule="auto"/>
              <w:jc w:val="left"/>
              <w:rPr>
                <w:rFonts w:ascii="宋体" w:hAnsi="宋体"/>
                <w:bCs/>
                <w:sz w:val="18"/>
                <w:szCs w:val="18"/>
              </w:rPr>
            </w:pPr>
            <w:r>
              <w:rPr>
                <w:rFonts w:hint="eastAsia" w:hAnsi="宋体"/>
                <w:sz w:val="18"/>
                <w:szCs w:val="18"/>
              </w:rPr>
              <w:t>★</w:t>
            </w:r>
            <w:r>
              <w:rPr>
                <w:rFonts w:hint="eastAsia" w:ascii="宋体" w:hAnsi="宋体"/>
                <w:bCs/>
                <w:sz w:val="18"/>
                <w:szCs w:val="18"/>
              </w:rPr>
              <w:t>产品</w:t>
            </w:r>
            <w:r>
              <w:rPr>
                <w:rFonts w:ascii="宋体" w:hAnsi="宋体"/>
                <w:bCs/>
                <w:sz w:val="18"/>
                <w:szCs w:val="18"/>
              </w:rPr>
              <w:t>代码</w:t>
            </w:r>
          </w:p>
        </w:tc>
        <w:tc>
          <w:tcPr>
            <w:tcW w:w="6389" w:type="dxa"/>
            <w:gridSpan w:val="3"/>
            <w:shd w:val="solid" w:color="FFFFFF" w:fill="FFFFFF"/>
            <w:vAlign w:val="center"/>
          </w:tcPr>
          <w:p>
            <w:pPr>
              <w:spacing w:line="360" w:lineRule="auto"/>
              <w:jc w:val="left"/>
              <w:rPr>
                <w:rFonts w:ascii="宋体" w:hAnsi="宋体"/>
                <w:bCs/>
                <w:sz w:val="18"/>
                <w:szCs w:val="18"/>
              </w:rPr>
            </w:pPr>
            <w:r>
              <w:rPr>
                <w:rFonts w:ascii="宋体" w:hAnsi="宋体"/>
                <w:bCs/>
                <w:color w:val="000000" w:themeColor="text1"/>
                <w:sz w:val="18"/>
                <w:szCs w:val="18"/>
                <w14:textFill>
                  <w14:solidFill>
                    <w14:schemeClr w14:val="tx1"/>
                  </w14:solidFill>
                </w14:textFill>
              </w:rPr>
              <w:t>【</w:t>
            </w:r>
            <w:r>
              <w:rPr>
                <w:rFonts w:hint="eastAsia" w:ascii="宋体" w:hAnsi="宋体"/>
                <w:bCs/>
                <w:color w:val="000000" w:themeColor="text1"/>
                <w:sz w:val="18"/>
                <w:szCs w:val="18"/>
                <w14:textFill>
                  <w14:solidFill>
                    <w14:schemeClr w14:val="tx1"/>
                  </w14:solidFill>
                </w14:textFill>
              </w:rPr>
              <w:t>9TTL9510</w:t>
            </w:r>
            <w:r>
              <w:rPr>
                <w:rFonts w:ascii="宋体" w:hAnsi="宋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90"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vAlign w:val="center"/>
          </w:tcPr>
          <w:p>
            <w:pPr>
              <w:spacing w:line="320" w:lineRule="exact"/>
              <w:jc w:val="left"/>
              <w:rPr>
                <w:rFonts w:hAnsi="宋体"/>
                <w:sz w:val="18"/>
                <w:szCs w:val="18"/>
              </w:rPr>
            </w:pPr>
            <w:r>
              <w:rPr>
                <w:rFonts w:hint="eastAsia" w:hAnsi="宋体"/>
                <w:sz w:val="18"/>
                <w:szCs w:val="18"/>
              </w:rPr>
              <w:t>★</w:t>
            </w:r>
            <w:r>
              <w:rPr>
                <w:rFonts w:hint="eastAsia" w:ascii="宋体" w:hAnsi="宋体"/>
                <w:bCs/>
                <w:sz w:val="18"/>
                <w:szCs w:val="18"/>
              </w:rPr>
              <w:t>销售</w:t>
            </w:r>
            <w:r>
              <w:rPr>
                <w:rFonts w:ascii="宋体" w:hAnsi="宋体"/>
                <w:bCs/>
                <w:sz w:val="18"/>
                <w:szCs w:val="18"/>
              </w:rPr>
              <w:t>代码</w:t>
            </w:r>
          </w:p>
        </w:tc>
        <w:tc>
          <w:tcPr>
            <w:tcW w:w="6389" w:type="dxa"/>
            <w:gridSpan w:val="3"/>
            <w:shd w:val="solid" w:color="FFFFFF" w:fill="FFFFFF"/>
            <w:vAlign w:val="center"/>
          </w:tcPr>
          <w:p>
            <w:pPr>
              <w:spacing w:line="320" w:lineRule="exact"/>
              <w:jc w:val="left"/>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w:t>
            </w:r>
            <w:r>
              <w:rPr>
                <w:rFonts w:hint="eastAsia" w:ascii="宋体" w:hAnsi="宋体"/>
                <w:bCs/>
                <w:sz w:val="18"/>
                <w:szCs w:val="18"/>
              </w:rPr>
              <w:t>9TTL951</w:t>
            </w:r>
            <w:r>
              <w:rPr>
                <w:rFonts w:hint="eastAsia" w:ascii="宋体" w:hAnsi="宋体"/>
                <w:bCs/>
                <w:sz w:val="18"/>
                <w:szCs w:val="18"/>
                <w:lang w:val="en-US" w:eastAsia="zh-CN"/>
              </w:rPr>
              <w:t>C</w:t>
            </w:r>
            <w:r>
              <w:rPr>
                <w:rFonts w:hint="eastAsia" w:ascii="宋体" w:hAnsi="宋体"/>
                <w:bCs/>
                <w:color w:val="000000" w:themeColor="text1"/>
                <w:sz w:val="18"/>
                <w:szCs w:val="18"/>
                <w14:textFill>
                  <w14:solidFill>
                    <w14:schemeClr w14:val="tx1"/>
                  </w14:solidFill>
                </w14:textFill>
              </w:rPr>
              <w:t>】（适用【</w:t>
            </w:r>
            <w:r>
              <w:rPr>
                <w:rFonts w:hint="eastAsia" w:ascii="宋体" w:hAnsi="宋体"/>
                <w:bCs/>
                <w:color w:val="000000" w:themeColor="text1"/>
                <w:sz w:val="18"/>
                <w:szCs w:val="18"/>
                <w:lang w:val="en-US" w:eastAsia="zh-CN"/>
                <w14:textFill>
                  <w14:solidFill>
                    <w14:schemeClr w14:val="tx1"/>
                  </w14:solidFill>
                </w14:textFill>
              </w:rPr>
              <w:t>C</w:t>
            </w:r>
            <w:r>
              <w:rPr>
                <w:rFonts w:hint="eastAsia" w:ascii="宋体" w:hAnsi="宋体"/>
                <w:bCs/>
                <w:color w:val="000000" w:themeColor="text1"/>
                <w:sz w:val="18"/>
                <w:szCs w:val="18"/>
                <w14:textFill>
                  <w14:solidFill>
                    <w14:schemeClr w14:val="tx1"/>
                  </w14:solidFill>
                </w14:textFill>
              </w:rPr>
              <w:t>】类份额）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trHeight w:val="826" w:hRule="atLeast"/>
          <w:jc w:val="center"/>
        </w:trPr>
        <w:tc>
          <w:tcPr>
            <w:tcW w:w="1142" w:type="dxa"/>
            <w:shd w:val="solid" w:color="FFFFFF" w:fill="FFFFFF"/>
            <w:vAlign w:val="center"/>
          </w:tcPr>
          <w:p>
            <w:pPr>
              <w:pStyle w:val="4"/>
              <w:pBdr>
                <w:bottom w:val="none" w:color="auto" w:sz="0" w:space="0"/>
              </w:pBdr>
              <w:tabs>
                <w:tab w:val="clear" w:pos="4153"/>
                <w:tab w:val="clear" w:pos="8306"/>
              </w:tabs>
              <w:snapToGrid/>
              <w:spacing w:line="360" w:lineRule="auto"/>
              <w:rPr>
                <w:rFonts w:ascii="宋体" w:hAnsi="宋体"/>
                <w:b/>
                <w:szCs w:val="18"/>
              </w:rPr>
            </w:pPr>
            <w:r>
              <w:rPr>
                <w:rFonts w:hint="eastAsia" w:ascii="宋体" w:hAnsi="宋体"/>
                <w:b/>
                <w:szCs w:val="18"/>
              </w:rPr>
              <w:t>理财产品指定账户信息</w:t>
            </w:r>
          </w:p>
        </w:tc>
        <w:tc>
          <w:tcPr>
            <w:tcW w:w="8079" w:type="dxa"/>
            <w:gridSpan w:val="5"/>
            <w:shd w:val="solid" w:color="FFFFFF" w:fill="FFFFFF"/>
            <w:vAlign w:val="center"/>
          </w:tcPr>
          <w:p>
            <w:pPr>
              <w:pStyle w:val="4"/>
              <w:pBdr>
                <w:bottom w:val="none" w:color="auto" w:sz="0" w:space="0"/>
              </w:pBdr>
              <w:tabs>
                <w:tab w:val="clear" w:pos="4153"/>
                <w:tab w:val="clear" w:pos="8306"/>
              </w:tabs>
              <w:snapToGrid/>
              <w:spacing w:line="360" w:lineRule="auto"/>
              <w:jc w:val="left"/>
              <w:rPr>
                <w:rFonts w:ascii="宋体" w:hAnsi="宋体"/>
                <w:b/>
                <w:szCs w:val="18"/>
              </w:rPr>
            </w:pPr>
            <w:r>
              <w:rPr>
                <w:rFonts w:hint="eastAsia" w:ascii="宋体" w:hAnsi="宋体"/>
                <w:szCs w:val="18"/>
              </w:rPr>
              <w:t>投资者</w:t>
            </w:r>
            <w:r>
              <w:rPr>
                <w:rFonts w:ascii="宋体" w:hAnsi="宋体"/>
                <w:szCs w:val="18"/>
              </w:rPr>
              <w:t>在销售机构开立</w:t>
            </w:r>
            <w:r>
              <w:rPr>
                <w:rFonts w:hint="eastAsia" w:ascii="宋体" w:hAnsi="宋体"/>
                <w:szCs w:val="18"/>
              </w:rPr>
              <w:t>理财卡结算账户</w:t>
            </w:r>
            <w:r>
              <w:rPr>
                <w:rFonts w:hint="eastAsia" w:ascii="宋体" w:hAnsi="宋体"/>
                <w:spacing w:val="-6"/>
                <w:szCs w:val="18"/>
              </w:rPr>
              <w:t>或存折结算账户（</w:t>
            </w:r>
            <w:r>
              <w:rPr>
                <w:rFonts w:hint="eastAsia" w:ascii="宋体" w:hAnsi="宋体"/>
                <w:szCs w:val="18"/>
              </w:rPr>
              <w:t>以下简称“指定账户”），</w:t>
            </w:r>
            <w:r>
              <w:rPr>
                <w:rFonts w:ascii="宋体" w:hAnsi="宋体"/>
                <w:szCs w:val="18"/>
              </w:rPr>
              <w:t>用于</w:t>
            </w:r>
            <w:r>
              <w:rPr>
                <w:rFonts w:hint="eastAsia" w:ascii="宋体" w:hAnsi="宋体"/>
                <w:szCs w:val="18"/>
              </w:rPr>
              <w:t>本产品的</w:t>
            </w:r>
            <w:r>
              <w:rPr>
                <w:rFonts w:ascii="宋体" w:hAnsi="宋体"/>
                <w:szCs w:val="18"/>
              </w:rPr>
              <w:t>资金划转及</w:t>
            </w:r>
            <w:r>
              <w:rPr>
                <w:rFonts w:hint="eastAsia" w:ascii="宋体" w:hAnsi="宋体"/>
                <w:szCs w:val="18"/>
              </w:rPr>
              <w:t>产品分配，账号：</w:t>
            </w:r>
            <w:r>
              <w:rPr>
                <w:rFonts w:ascii="宋体" w:hAnsi="宋体"/>
                <w:szCs w:val="18"/>
                <w:u w:val="single"/>
              </w:rPr>
              <w:t xml:space="preserve">　                     </w:t>
            </w:r>
            <w:r>
              <w:rPr>
                <w:rFonts w:hint="eastAsia" w:ascii="宋体" w:hAnsi="宋体"/>
                <w:szCs w:val="18"/>
              </w:rPr>
              <w:t>。</w:t>
            </w:r>
          </w:p>
        </w:tc>
      </w:tr>
    </w:tbl>
    <w:p>
      <w:pPr>
        <w:widowControl/>
        <w:jc w:val="left"/>
        <w:rPr>
          <w:bCs/>
          <w:sz w:val="32"/>
        </w:rPr>
      </w:pPr>
      <w:r>
        <w:rPr>
          <w:bCs/>
          <w:sz w:val="32"/>
        </w:rPr>
        <w:br w:type="page"/>
      </w:r>
    </w:p>
    <w:sdt>
      <w:sdtPr>
        <w:rPr>
          <w:rFonts w:ascii="Times New Roman" w:hAnsi="Times New Roman" w:eastAsia="宋体" w:cs="Times New Roman"/>
          <w:color w:val="auto"/>
          <w:kern w:val="2"/>
          <w:sz w:val="21"/>
          <w:szCs w:val="20"/>
          <w:lang w:val="zh-CN"/>
        </w:rPr>
        <w:id w:val="-1631931583"/>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pPr>
            <w:pStyle w:val="15"/>
            <w:spacing w:line="360" w:lineRule="auto"/>
            <w:jc w:val="center"/>
          </w:pPr>
          <w:r>
            <w:rPr>
              <w:lang w:val="zh-CN"/>
            </w:rPr>
            <w:t>目录</w:t>
          </w:r>
        </w:p>
        <w:p>
          <w:pPr>
            <w:pStyle w:val="5"/>
            <w:tabs>
              <w:tab w:val="right" w:leader="dot" w:pos="8306"/>
              <w:tab w:val="clear" w:pos="8296"/>
            </w:tabs>
          </w:pPr>
          <w:r>
            <w:rPr>
              <w:b/>
              <w:bCs/>
              <w:lang w:val="zh-CN"/>
            </w:rPr>
            <w:fldChar w:fldCharType="begin"/>
          </w:r>
          <w:r>
            <w:rPr>
              <w:b/>
              <w:bCs/>
              <w:lang w:val="zh-CN"/>
            </w:rPr>
            <w:instrText xml:space="preserve"> TOC \o "1-3" \h \z \u </w:instrText>
          </w:r>
          <w:r>
            <w:rPr>
              <w:b/>
              <w:bCs/>
              <w:lang w:val="zh-CN"/>
            </w:rPr>
            <w:fldChar w:fldCharType="separate"/>
          </w:r>
          <w:r>
            <w:fldChar w:fldCharType="begin"/>
          </w:r>
          <w:r>
            <w:instrText xml:space="preserve"> HYPERLINK \l "_Toc11962" </w:instrText>
          </w:r>
          <w:r>
            <w:fldChar w:fldCharType="separate"/>
          </w:r>
          <w:r>
            <w:rPr>
              <w:rFonts w:hint="eastAsia"/>
            </w:rPr>
            <w:t>第一条</w:t>
          </w:r>
          <w:r>
            <w:t xml:space="preserve">  </w:t>
          </w:r>
          <w:r>
            <w:rPr>
              <w:rFonts w:hint="eastAsia"/>
            </w:rPr>
            <w:t>前言</w:t>
          </w:r>
          <w:r>
            <w:tab/>
          </w:r>
          <w:r>
            <w:fldChar w:fldCharType="begin"/>
          </w:r>
          <w:r>
            <w:instrText xml:space="preserve"> PAGEREF _Toc11962 \h </w:instrText>
          </w:r>
          <w:r>
            <w:fldChar w:fldCharType="separate"/>
          </w:r>
          <w:r>
            <w:t>7</w:t>
          </w:r>
          <w:r>
            <w:fldChar w:fldCharType="end"/>
          </w:r>
          <w:r>
            <w:fldChar w:fldCharType="end"/>
          </w:r>
        </w:p>
        <w:p>
          <w:pPr>
            <w:pStyle w:val="5"/>
            <w:tabs>
              <w:tab w:val="right" w:leader="dot" w:pos="8306"/>
              <w:tab w:val="clear" w:pos="8296"/>
            </w:tabs>
          </w:pPr>
          <w:r>
            <w:fldChar w:fldCharType="begin"/>
          </w:r>
          <w:r>
            <w:instrText xml:space="preserve"> HYPERLINK \l "_Toc12429" </w:instrText>
          </w:r>
          <w:r>
            <w:fldChar w:fldCharType="separate"/>
          </w:r>
          <w:r>
            <w:t>第</w:t>
          </w:r>
          <w:r>
            <w:rPr>
              <w:rFonts w:hint="eastAsia"/>
            </w:rPr>
            <w:t xml:space="preserve">二条 </w:t>
          </w:r>
          <w:r>
            <w:t xml:space="preserve"> </w:t>
          </w:r>
          <w:r>
            <w:rPr>
              <w:rFonts w:hint="eastAsia"/>
            </w:rPr>
            <w:t>双方</w:t>
          </w:r>
          <w:r>
            <w:t>权利义务</w:t>
          </w:r>
          <w:r>
            <w:tab/>
          </w:r>
          <w:r>
            <w:fldChar w:fldCharType="begin"/>
          </w:r>
          <w:r>
            <w:instrText xml:space="preserve"> PAGEREF _Toc12429 \h </w:instrText>
          </w:r>
          <w:r>
            <w:fldChar w:fldCharType="separate"/>
          </w:r>
          <w:r>
            <w:t>8</w:t>
          </w:r>
          <w:r>
            <w:fldChar w:fldCharType="end"/>
          </w:r>
          <w:r>
            <w:fldChar w:fldCharType="end"/>
          </w:r>
        </w:p>
        <w:p>
          <w:pPr>
            <w:pStyle w:val="5"/>
            <w:tabs>
              <w:tab w:val="right" w:leader="dot" w:pos="8306"/>
              <w:tab w:val="clear" w:pos="8296"/>
            </w:tabs>
          </w:pPr>
          <w:r>
            <w:fldChar w:fldCharType="begin"/>
          </w:r>
          <w:r>
            <w:instrText xml:space="preserve"> HYPERLINK \l "_Toc706" </w:instrText>
          </w:r>
          <w:r>
            <w:fldChar w:fldCharType="separate"/>
          </w:r>
          <w:r>
            <w:rPr>
              <w:rFonts w:hint="eastAsia"/>
            </w:rPr>
            <w:t>第三条</w:t>
          </w:r>
          <w:r>
            <w:t xml:space="preserve">  不可抗力</w:t>
          </w:r>
          <w:r>
            <w:tab/>
          </w:r>
          <w:r>
            <w:fldChar w:fldCharType="begin"/>
          </w:r>
          <w:r>
            <w:instrText xml:space="preserve"> PAGEREF _Toc706 \h </w:instrText>
          </w:r>
          <w:r>
            <w:fldChar w:fldCharType="separate"/>
          </w:r>
          <w:r>
            <w:t>11</w:t>
          </w:r>
          <w:r>
            <w:fldChar w:fldCharType="end"/>
          </w:r>
          <w:r>
            <w:fldChar w:fldCharType="end"/>
          </w:r>
        </w:p>
        <w:p>
          <w:pPr>
            <w:pStyle w:val="5"/>
            <w:tabs>
              <w:tab w:val="right" w:leader="dot" w:pos="8306"/>
              <w:tab w:val="clear" w:pos="8296"/>
            </w:tabs>
          </w:pPr>
          <w:r>
            <w:fldChar w:fldCharType="begin"/>
          </w:r>
          <w:r>
            <w:instrText xml:space="preserve"> HYPERLINK \l "_Toc265" </w:instrText>
          </w:r>
          <w:r>
            <w:fldChar w:fldCharType="separate"/>
          </w:r>
          <w:r>
            <w:rPr>
              <w:rFonts w:hint="eastAsia"/>
            </w:rPr>
            <w:t>第四条</w:t>
          </w:r>
          <w:r>
            <w:t xml:space="preserve">  </w:t>
          </w:r>
          <w:r>
            <w:rPr>
              <w:rFonts w:hint="eastAsia"/>
            </w:rPr>
            <w:t>违约责任</w:t>
          </w:r>
          <w:r>
            <w:tab/>
          </w:r>
          <w:r>
            <w:fldChar w:fldCharType="begin"/>
          </w:r>
          <w:r>
            <w:instrText xml:space="preserve"> PAGEREF _Toc265 \h </w:instrText>
          </w:r>
          <w:r>
            <w:fldChar w:fldCharType="separate"/>
          </w:r>
          <w:r>
            <w:t>12</w:t>
          </w:r>
          <w:r>
            <w:fldChar w:fldCharType="end"/>
          </w:r>
          <w:r>
            <w:fldChar w:fldCharType="end"/>
          </w:r>
        </w:p>
        <w:p>
          <w:pPr>
            <w:pStyle w:val="5"/>
            <w:tabs>
              <w:tab w:val="right" w:leader="dot" w:pos="8306"/>
              <w:tab w:val="clear" w:pos="8296"/>
            </w:tabs>
          </w:pPr>
          <w:r>
            <w:fldChar w:fldCharType="begin"/>
          </w:r>
          <w:r>
            <w:instrText xml:space="preserve"> HYPERLINK \l "_Toc29618" </w:instrText>
          </w:r>
          <w:r>
            <w:fldChar w:fldCharType="separate"/>
          </w:r>
          <w:r>
            <w:rPr>
              <w:rFonts w:hint="eastAsia"/>
            </w:rPr>
            <w:t>第五条</w:t>
          </w:r>
          <w:r>
            <w:t xml:space="preserve">  法律适用和争议解决</w:t>
          </w:r>
          <w:r>
            <w:tab/>
          </w:r>
          <w:r>
            <w:fldChar w:fldCharType="begin"/>
          </w:r>
          <w:r>
            <w:instrText xml:space="preserve"> PAGEREF _Toc29618 \h </w:instrText>
          </w:r>
          <w:r>
            <w:fldChar w:fldCharType="separate"/>
          </w:r>
          <w:r>
            <w:t>13</w:t>
          </w:r>
          <w:r>
            <w:fldChar w:fldCharType="end"/>
          </w:r>
          <w:r>
            <w:fldChar w:fldCharType="end"/>
          </w:r>
        </w:p>
        <w:p>
          <w:pPr>
            <w:pStyle w:val="5"/>
            <w:tabs>
              <w:tab w:val="right" w:leader="dot" w:pos="8306"/>
              <w:tab w:val="clear" w:pos="8296"/>
            </w:tabs>
          </w:pPr>
          <w:r>
            <w:fldChar w:fldCharType="begin"/>
          </w:r>
          <w:r>
            <w:instrText xml:space="preserve"> HYPERLINK \l "_Toc11943" </w:instrText>
          </w:r>
          <w:r>
            <w:fldChar w:fldCharType="separate"/>
          </w:r>
          <w:r>
            <w:rPr>
              <w:rFonts w:hint="eastAsia"/>
            </w:rPr>
            <w:t xml:space="preserve">第六条 </w:t>
          </w:r>
          <w:r>
            <w:t xml:space="preserve"> 协议的签署和</w:t>
          </w:r>
          <w:r>
            <w:rPr>
              <w:rFonts w:hint="eastAsia"/>
            </w:rPr>
            <w:t>效力</w:t>
          </w:r>
          <w:r>
            <w:tab/>
          </w:r>
          <w:r>
            <w:fldChar w:fldCharType="begin"/>
          </w:r>
          <w:r>
            <w:instrText xml:space="preserve"> PAGEREF _Toc11943 \h </w:instrText>
          </w:r>
          <w:r>
            <w:fldChar w:fldCharType="separate"/>
          </w:r>
          <w:r>
            <w:t>14</w:t>
          </w:r>
          <w:r>
            <w:fldChar w:fldCharType="end"/>
          </w:r>
          <w:r>
            <w:fldChar w:fldCharType="end"/>
          </w:r>
        </w:p>
        <w:p>
          <w:pPr>
            <w:pStyle w:val="5"/>
            <w:tabs>
              <w:tab w:val="right" w:leader="dot" w:pos="8306"/>
              <w:tab w:val="clear" w:pos="8296"/>
            </w:tabs>
          </w:pPr>
          <w:r>
            <w:fldChar w:fldCharType="begin"/>
          </w:r>
          <w:r>
            <w:instrText xml:space="preserve"> HYPERLINK \l "_Toc29352" </w:instrText>
          </w:r>
          <w:r>
            <w:fldChar w:fldCharType="separate"/>
          </w:r>
          <w:r>
            <w:rPr>
              <w:rFonts w:hint="eastAsia"/>
            </w:rPr>
            <w:t xml:space="preserve">第七条 </w:t>
          </w:r>
          <w:r>
            <w:t xml:space="preserve"> </w:t>
          </w:r>
          <w:r>
            <w:rPr>
              <w:rFonts w:hint="eastAsia"/>
            </w:rPr>
            <w:t>消费者权益保护</w:t>
          </w:r>
          <w:r>
            <w:tab/>
          </w:r>
          <w:r>
            <w:fldChar w:fldCharType="begin"/>
          </w:r>
          <w:r>
            <w:instrText xml:space="preserve"> PAGEREF _Toc29352 \h </w:instrText>
          </w:r>
          <w:r>
            <w:fldChar w:fldCharType="separate"/>
          </w:r>
          <w:r>
            <w:t>15</w:t>
          </w:r>
          <w:r>
            <w:fldChar w:fldCharType="end"/>
          </w:r>
          <w:r>
            <w:fldChar w:fldCharType="end"/>
          </w:r>
        </w:p>
        <w:p>
          <w:pPr>
            <w:spacing w:line="360" w:lineRule="auto"/>
          </w:pPr>
          <w:r>
            <w:rPr>
              <w:bCs/>
              <w:lang w:val="zh-CN"/>
            </w:rPr>
            <w:fldChar w:fldCharType="end"/>
          </w:r>
        </w:p>
      </w:sdtContent>
    </w:sdt>
    <w:p>
      <w:pPr>
        <w:widowControl/>
        <w:jc w:val="left"/>
        <w:rPr>
          <w:rFonts w:ascii="宋体" w:hAnsi="宋体" w:cs="仿宋_GB2312"/>
          <w:b/>
          <w:kern w:val="0"/>
          <w:sz w:val="18"/>
          <w:szCs w:val="18"/>
        </w:rPr>
      </w:pPr>
      <w:r>
        <w:rPr>
          <w:rFonts w:ascii="宋体" w:hAnsi="宋体" w:cs="仿宋_GB2312"/>
          <w:b/>
          <w:kern w:val="0"/>
          <w:sz w:val="18"/>
          <w:szCs w:val="18"/>
        </w:rPr>
        <w:br w:type="page"/>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hint="eastAsia" w:ascii="宋体" w:hAnsi="宋体" w:cs="仿宋_GB2312"/>
          <w:b/>
          <w:kern w:val="0"/>
          <w:sz w:val="18"/>
          <w:szCs w:val="18"/>
        </w:rPr>
        <w:t>尊敬的投资者：</w:t>
      </w:r>
    </w:p>
    <w:p>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投资者自愿购买</w:t>
      </w:r>
      <w:r>
        <w:rPr>
          <w:rFonts w:ascii="宋体" w:hAnsi="宋体" w:cs="仿宋_GB2312"/>
          <w:kern w:val="0"/>
          <w:sz w:val="18"/>
          <w:szCs w:val="18"/>
        </w:rPr>
        <w:t>理财产品管理人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sz w:val="18"/>
          <w:szCs w:val="18"/>
        </w:rPr>
        <w:t>双方经友好协商，本着平等自愿、诚实信用的原则，达成协议如下：</w:t>
      </w:r>
    </w:p>
    <w:p>
      <w:pPr>
        <w:spacing w:line="360" w:lineRule="auto"/>
      </w:pPr>
    </w:p>
    <w:bookmarkEnd w:id="10"/>
    <w:bookmarkEnd w:id="11"/>
    <w:bookmarkEnd w:id="12"/>
    <w:bookmarkEnd w:id="13"/>
    <w:p>
      <w:pPr>
        <w:pStyle w:val="2"/>
        <w:spacing w:before="0" w:after="0"/>
        <w:jc w:val="center"/>
        <w:rPr>
          <w:rFonts w:ascii="Times New Roman"/>
          <w:color w:val="auto"/>
          <w:sz w:val="30"/>
        </w:rPr>
      </w:pPr>
      <w:bookmarkStart w:id="14" w:name="_Toc8727"/>
      <w:bookmarkStart w:id="15" w:name="_Toc15517"/>
      <w:bookmarkStart w:id="16" w:name="_Toc4867"/>
      <w:bookmarkStart w:id="17" w:name="_Toc29629"/>
      <w:bookmarkStart w:id="18" w:name="_Toc123112229"/>
      <w:bookmarkStart w:id="19" w:name="_Toc30935"/>
      <w:bookmarkStart w:id="20" w:name="_Toc6306"/>
      <w:bookmarkStart w:id="21" w:name="_Toc141703880"/>
      <w:bookmarkStart w:id="22" w:name="_Toc32639"/>
      <w:bookmarkStart w:id="23" w:name="_Toc23386"/>
      <w:bookmarkStart w:id="24" w:name="_Toc123701389"/>
      <w:bookmarkStart w:id="25" w:name="_Toc139991730"/>
      <w:bookmarkStart w:id="26" w:name="_Toc4966"/>
      <w:bookmarkStart w:id="27" w:name="_Toc123112268"/>
      <w:bookmarkStart w:id="28" w:name="_Toc26897"/>
      <w:bookmarkStart w:id="29" w:name="_Toc11962"/>
      <w:bookmarkStart w:id="30" w:name="_Toc74065738"/>
      <w:bookmarkStart w:id="31" w:name="_Toc233456271"/>
      <w:r>
        <w:rPr>
          <w:rFonts w:hint="eastAsia" w:ascii="Times New Roman"/>
          <w:color w:val="auto"/>
          <w:sz w:val="30"/>
        </w:rPr>
        <w:t>第一条</w:t>
      </w:r>
      <w:r>
        <w:rPr>
          <w:rFonts w:ascii="Times New Roman"/>
          <w:color w:val="auto"/>
          <w:sz w:val="30"/>
        </w:rPr>
        <w:t xml:space="preserve">  </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Start w:id="32" w:name="_Toc819"/>
      <w:bookmarkStart w:id="33" w:name="_Toc2465"/>
      <w:bookmarkStart w:id="34" w:name="_Toc19592"/>
      <w:bookmarkStart w:id="35" w:name="_Toc258829399"/>
      <w:bookmarkStart w:id="36" w:name="_Toc15067"/>
      <w:bookmarkStart w:id="37" w:name="_Toc22864"/>
      <w:bookmarkStart w:id="38" w:name="_Toc21301"/>
      <w:bookmarkStart w:id="39" w:name="_Toc13020"/>
      <w:bookmarkStart w:id="40" w:name="_Toc6617"/>
      <w:bookmarkStart w:id="41" w:name="_Toc3224"/>
      <w:bookmarkStart w:id="42" w:name="_Toc24860"/>
      <w:r>
        <w:rPr>
          <w:rFonts w:hint="eastAsia" w:ascii="Times New Roman"/>
          <w:color w:val="auto"/>
          <w:sz w:val="30"/>
        </w:rPr>
        <w:t>前言</w:t>
      </w:r>
      <w:bookmarkEnd w:id="29"/>
    </w:p>
    <w:p>
      <w:pPr>
        <w:pStyle w:val="16"/>
        <w:spacing w:line="360" w:lineRule="auto"/>
        <w:ind w:firstLine="361" w:firstLineChars="200"/>
        <w:rPr>
          <w:rFonts w:asciiTheme="majorEastAsia" w:hAnsiTheme="majorEastAsia" w:eastAsiaTheme="majorEastAsia"/>
          <w:b/>
          <w:bCs/>
          <w:color w:val="auto"/>
          <w:sz w:val="18"/>
          <w:szCs w:val="18"/>
        </w:rPr>
      </w:pPr>
      <w:r>
        <w:rPr>
          <w:rFonts w:hint="eastAsia" w:asciiTheme="majorEastAsia" w:hAnsiTheme="majorEastAsia" w:eastAsiaTheme="majorEastAsia"/>
          <w:b/>
          <w:bCs/>
          <w:color w:val="auto"/>
          <w:sz w:val="18"/>
          <w:szCs w:val="18"/>
        </w:rPr>
        <w:t>（一）订立本投资协议书的目的、依据和原则</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.订立本投资协议书的目的是保护投资人合法权益，明确投资协议书当事人的权利义务，规范理财产品运作。</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订立本投资协议书的依据是《中华人民共和国民法典》等法律法规、《关于规范金融机构资产管理业务的指导意见》（银发</w:t>
      </w:r>
      <w:r>
        <w:rPr>
          <w:rFonts w:ascii="宋体" w:hAnsi="宋体"/>
          <w:sz w:val="18"/>
          <w:szCs w:val="18"/>
        </w:rPr>
        <w:t>[2018]106</w:t>
      </w:r>
      <w:r>
        <w:rPr>
          <w:rFonts w:hint="eastAsia" w:ascii="宋体" w:hAnsi="宋体"/>
          <w:sz w:val="18"/>
          <w:szCs w:val="18"/>
        </w:rPr>
        <w:t>号）、《商业银行理财业务监督管理办法》（银保监会令2018年第</w:t>
      </w:r>
      <w:r>
        <w:rPr>
          <w:rFonts w:ascii="宋体" w:hAnsi="宋体"/>
          <w:sz w:val="18"/>
          <w:szCs w:val="18"/>
        </w:rPr>
        <w:t>6</w:t>
      </w:r>
      <w:r>
        <w:rPr>
          <w:rFonts w:hint="eastAsia" w:ascii="宋体" w:hAnsi="宋体"/>
          <w:sz w:val="18"/>
          <w:szCs w:val="18"/>
        </w:rPr>
        <w:t>号）、</w:t>
      </w:r>
      <w:bookmarkStart w:id="43" w:name="_Toc59965743"/>
      <w:r>
        <w:rPr>
          <w:rFonts w:hint="eastAsia" w:ascii="宋体" w:hAnsi="宋体"/>
          <w:sz w:val="18"/>
          <w:szCs w:val="18"/>
        </w:rPr>
        <w:t>《商业银行理财子公司管理办法》</w:t>
      </w:r>
      <w:bookmarkEnd w:id="43"/>
      <w:r>
        <w:rPr>
          <w:rFonts w:hint="eastAsia" w:ascii="宋体" w:hAnsi="宋体"/>
          <w:sz w:val="18"/>
          <w:szCs w:val="18"/>
        </w:rPr>
        <w:t>（银保监会令2018年第7号）、《理财公司理财产品销售管理暂行办法》（银保监会令2021年第4号）等监管规定及其他有关规定。</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3</w:t>
      </w:r>
      <w:r>
        <w:rPr>
          <w:rFonts w:hint="eastAsia" w:ascii="宋体" w:hAnsi="宋体"/>
          <w:sz w:val="18"/>
          <w:szCs w:val="18"/>
        </w:rPr>
        <w:t>.订立本投资协议书的原则是平等自愿、诚实信用、充分保护投资人合法权益。</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投资协议书是规定投资协议书当事人之间权利义务关系的基本法律文件，其他与理财产品相关的涉及投资协议书当事人之间权利义务关系的任何文件或表述，如与投资协议书有冲突，均以投资协议书为准。投资协议书当事人按照法律法规、监管规定及其他有关规定以及投资协议书约定享有权利、承担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协议书的当事人包括产品管理人、产品托管人和产品份额持有人。理财产品投资人自依本投资协议书取得理财产品份额，即成为理财产品份额持有人和本投资协议书的当事人，其持有理财产品份额的行为本身即表明其对投资协议书的承认和接受。</w:t>
      </w:r>
    </w:p>
    <w:bookmarkEnd w:id="30"/>
    <w:p>
      <w:pPr>
        <w:widowControl/>
        <w:spacing w:line="360" w:lineRule="auto"/>
        <w:jc w:val="left"/>
      </w:pPr>
      <w:r>
        <w:br w:type="page"/>
      </w:r>
    </w:p>
    <w:p>
      <w:pPr>
        <w:pStyle w:val="2"/>
        <w:spacing w:before="0" w:after="0"/>
        <w:jc w:val="center"/>
        <w:rPr>
          <w:rFonts w:ascii="Times New Roman"/>
          <w:color w:val="auto"/>
          <w:sz w:val="30"/>
        </w:rPr>
      </w:pPr>
      <w:bookmarkStart w:id="44" w:name="_Toc12429"/>
      <w:bookmarkStart w:id="45" w:name="_Toc74065739"/>
      <w:r>
        <w:rPr>
          <w:rFonts w:ascii="Times New Roman"/>
          <w:color w:val="auto"/>
          <w:sz w:val="30"/>
        </w:rPr>
        <w:t>第</w:t>
      </w:r>
      <w:r>
        <w:rPr>
          <w:rFonts w:hint="eastAsia" w:ascii="Times New Roman"/>
          <w:color w:val="auto"/>
          <w:sz w:val="30"/>
        </w:rPr>
        <w:t xml:space="preserve">二条 </w:t>
      </w:r>
      <w:r>
        <w:rPr>
          <w:rFonts w:ascii="Times New Roman"/>
          <w:color w:val="auto"/>
          <w:sz w:val="30"/>
        </w:rPr>
        <w:t xml:space="preserve"> </w:t>
      </w:r>
      <w:r>
        <w:rPr>
          <w:rFonts w:hint="eastAsia" w:ascii="Times New Roman"/>
          <w:color w:val="auto"/>
          <w:sz w:val="30"/>
        </w:rPr>
        <w:t>双方</w:t>
      </w:r>
      <w:r>
        <w:rPr>
          <w:rFonts w:ascii="Times New Roman"/>
          <w:color w:val="auto"/>
          <w:sz w:val="30"/>
        </w:rPr>
        <w:t>权利义务</w:t>
      </w:r>
      <w:bookmarkEnd w:id="44"/>
    </w:p>
    <w:p>
      <w:pPr>
        <w:tabs>
          <w:tab w:val="left" w:pos="704"/>
          <w:tab w:val="left" w:pos="1995"/>
        </w:tabs>
        <w:autoSpaceDE w:val="0"/>
        <w:autoSpaceDN w:val="0"/>
        <w:adjustRightInd w:val="0"/>
        <w:snapToGrid w:val="0"/>
        <w:spacing w:line="360" w:lineRule="auto"/>
        <w:ind w:firstLine="361" w:firstLineChars="200"/>
        <w:rPr>
          <w:rFonts w:ascii="宋体" w:hAnsi="宋体"/>
          <w:b/>
          <w:sz w:val="18"/>
          <w:szCs w:val="18"/>
        </w:rPr>
      </w:pPr>
      <w:r>
        <w:rPr>
          <w:rFonts w:hint="eastAsia" w:ascii="宋体" w:hAnsi="宋体"/>
          <w:b/>
          <w:sz w:val="18"/>
          <w:szCs w:val="18"/>
        </w:rPr>
        <w:t>（一）投资者权利与义务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黑体" w:hAnsi="黑体" w:eastAsia="黑体"/>
          <w:sz w:val="18"/>
          <w:szCs w:val="18"/>
        </w:rPr>
        <w:t>★</w:t>
      </w:r>
      <w:r>
        <w:rPr>
          <w:rFonts w:hint="eastAsia" w:ascii="宋体" w:hAnsi="宋体"/>
          <w:sz w:val="18"/>
          <w:szCs w:val="18"/>
        </w:rPr>
        <w:t>投资者确认：签署本协议符合对投资者具有约束力的法律法规等相关规定，不存在法律法规、有权机关或主管机关禁止或限制购买理财产品的各种情形，其购买理财产品的行为亦未违反任何限制性规定。投资者具有完全适当的资格与能力订立、接收及履行本协议以及以其为一方当事人的任何有关文件。投资者签署和履行本协议系其真实意思表示。投资者已经取得签订和履行本协议所需的一切有关批准、许可、备案或者登记。若投资者为个人投资者的，投资者确认其为具有完全民事行为能力的个人；若投资者为机构投资者的，投资者确认已经按照其章程或者其它内部管理文件的要求取得合法、有效的授权。</w:t>
      </w:r>
      <w:r>
        <w:rPr>
          <w:rFonts w:hint="eastAsia" w:ascii="黑体" w:hAnsi="黑体" w:eastAsia="黑体"/>
          <w:sz w:val="18"/>
          <w:szCs w:val="18"/>
        </w:rPr>
        <w:t>否则，由此导致的后果应由投资者自行承担，并赔偿因此给产品管理人带来的损失。</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投资者购买本理财产品的资金为投资者有权处分的合法资金，投资者保证不使用贷款、发行债券等筹集的非自有资金投资理财产品。投资者保证投资本理财产品不存在违反监管要求的产品嵌套，以及以投资本理财产品规避投资范围、杠杆约束等监管要求等违规行为。</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3.</w:t>
      </w:r>
      <w:r>
        <w:rPr>
          <w:rFonts w:hint="eastAsia" w:ascii="黑体" w:hAnsi="黑体" w:eastAsia="黑体"/>
          <w:sz w:val="18"/>
          <w:szCs w:val="18"/>
        </w:rPr>
        <w:t>★</w:t>
      </w:r>
      <w:r>
        <w:rPr>
          <w:rFonts w:hint="eastAsia" w:ascii="宋体" w:hAnsi="宋体"/>
          <w:sz w:val="18"/>
          <w:szCs w:val="18"/>
        </w:rPr>
        <w:t>投资者保证熟悉理财产品类型特征及不同销售渠道的相关规定，了解理财产品</w:t>
      </w:r>
      <w:r>
        <w:rPr>
          <w:rFonts w:hint="eastAsia" w:ascii="黑体" w:hAnsi="黑体" w:eastAsia="黑体"/>
          <w:sz w:val="18"/>
          <w:szCs w:val="18"/>
        </w:rPr>
        <w:t>直销与代销</w:t>
      </w:r>
      <w:r>
        <w:rPr>
          <w:rFonts w:hint="eastAsia" w:ascii="宋体" w:hAnsi="宋体"/>
          <w:sz w:val="18"/>
          <w:szCs w:val="18"/>
        </w:rPr>
        <w:t>的相关区别。</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4.</w:t>
      </w:r>
      <w:r>
        <w:rPr>
          <w:rFonts w:hint="eastAsia" w:ascii="宋体" w:hAnsi="宋体"/>
          <w:sz w:val="18"/>
          <w:szCs w:val="18"/>
        </w:rPr>
        <w:t>投资者应配合产品管理人或销售机构为识别合格投资者等目的进行的尽职调查及接受对其投资风险承受能力进行的测评。</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5.</w:t>
      </w:r>
      <w:r>
        <w:rPr>
          <w:rFonts w:hint="eastAsia" w:ascii="黑体" w:hAnsi="黑体" w:eastAsia="黑体"/>
          <w:sz w:val="18"/>
          <w:szCs w:val="18"/>
        </w:rPr>
        <w:t>★</w:t>
      </w:r>
      <w:r>
        <w:rPr>
          <w:rFonts w:hint="eastAsia" w:ascii="宋体" w:hAnsi="宋体"/>
          <w:sz w:val="18"/>
          <w:szCs w:val="18"/>
        </w:rPr>
        <w:t>投资者承诺所提供的所有资料真实、完整、合法、有效，如有变更，投资者应及时到产品管理人或销售机构办理变更手续。</w:t>
      </w:r>
      <w:r>
        <w:rPr>
          <w:rFonts w:hint="eastAsia" w:ascii="黑体" w:hAnsi="黑体" w:eastAsia="黑体"/>
          <w:sz w:val="18"/>
          <w:szCs w:val="18"/>
        </w:rPr>
        <w:t>否则，由此导致的后果应由投资者自行承担，产品管理人对此不承担相应责任。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投资者同意并授权产品管理人有权根据业务办理需要、反洗钱工作、非居民金融账户涉税信息尽职调查、I</w:t>
      </w:r>
      <w:r>
        <w:rPr>
          <w:rFonts w:ascii="黑体" w:hAnsi="黑体" w:eastAsia="黑体"/>
          <w:sz w:val="18"/>
          <w:szCs w:val="18"/>
        </w:rPr>
        <w:t>PO或并购重组涉及的股东穿透核查或根据其他有权机关或监管要求</w:t>
      </w:r>
      <w:r>
        <w:rPr>
          <w:rFonts w:hint="eastAsia" w:ascii="黑体" w:hAnsi="黑体" w:eastAsia="黑体"/>
          <w:sz w:val="18"/>
          <w:szCs w:val="18"/>
        </w:rPr>
        <w:t>等需要，收集调取投资者开户留存的有效身份证件或者其他身份证明文件信息、交易记录、数据信息、金融账户和其他资料，同时可向销售机构、产品托管人、监管机构、有权机关、自律组织、理财登记备案机构、投资合作机构、投资交易相关方、中介服务机构、理财快速赎回服务提供方提供、留存前述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投资者签署本理财产品销售文件即视为已经同意管理人在前述范围内向相关方提供投资者信息。</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投资者保证遵守国家反洗钱法律、法规及相关政策要求，不从事涉及洗钱、恐怖融资、逃税、逃废债务、套取现金等违法违规活动，积极配合产品管理人和销售机构开展投资者身份识别、交易记录保存、投资者身份及交易背景尽职调查、大额和可疑交易报告等各项反洗钱工作，并按产品管理人或销售机构要求提供相关证明材料。投资者保证其不属于联合国、欧盟或美国等制裁名单，及中国政府部门或有权机关发布的涉恐及反洗钱相关风险名单内的企业；不位于被联合国、欧盟或美国等制裁的国家和地区。</w:t>
      </w:r>
      <w:r>
        <w:rPr>
          <w:rFonts w:ascii="宋体" w:hAnsi="宋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7.</w:t>
      </w:r>
      <w:r>
        <w:rPr>
          <w:rFonts w:hint="eastAsia" w:ascii="黑体" w:hAnsi="黑体" w:eastAsia="黑体"/>
          <w:sz w:val="18"/>
          <w:szCs w:val="18"/>
        </w:rPr>
        <w:t>★</w:t>
      </w:r>
      <w:r>
        <w:rPr>
          <w:rFonts w:hint="eastAsia" w:ascii="宋体" w:hAnsi="宋体"/>
          <w:sz w:val="18"/>
          <w:szCs w:val="18"/>
        </w:rPr>
        <w:t>投资者自愿向产品管理人购买本产品，接受产品管理人提供的投资理财服务。</w:t>
      </w:r>
      <w:r>
        <w:rPr>
          <w:rFonts w:hint="eastAsia" w:ascii="黑体" w:hAnsi="黑体" w:eastAsia="黑体" w:cs="仿宋_GB2312"/>
          <w:bCs/>
          <w:kern w:val="0"/>
          <w:sz w:val="18"/>
          <w:szCs w:val="18"/>
        </w:rPr>
        <w:t>投资者已仔细阅读本产品《风险揭示书》，已充分知悉本产品风险等级，并确定以上述理财资金投资本产品，</w:t>
      </w:r>
      <w:r>
        <w:rPr>
          <w:rFonts w:hint="eastAsia" w:ascii="黑体" w:hAnsi="黑体" w:eastAsia="黑体"/>
          <w:sz w:val="18"/>
          <w:szCs w:val="18"/>
        </w:rPr>
        <w:t>投资者承诺由此产生的相关风险由投资者承担</w:t>
      </w:r>
      <w:r>
        <w:rPr>
          <w:rFonts w:ascii="黑体" w:hAnsi="黑体" w:eastAsia="黑体"/>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黑体" w:hAnsi="黑体" w:eastAsia="黑体"/>
          <w:sz w:val="18"/>
          <w:szCs w:val="18"/>
        </w:rPr>
        <w:t>8.</w:t>
      </w:r>
      <w:r>
        <w:rPr>
          <w:rFonts w:hint="eastAsia" w:ascii="黑体" w:hAnsi="黑体" w:eastAsia="黑体"/>
          <w:sz w:val="18"/>
          <w:szCs w:val="18"/>
        </w:rPr>
        <w:t>★</w:t>
      </w:r>
      <w:r>
        <w:rPr>
          <w:rFonts w:hint="eastAsia" w:ascii="宋体" w:hAnsi="宋体"/>
          <w:sz w:val="18"/>
          <w:szCs w:val="18"/>
        </w:rPr>
        <w:t>投资者应按产品管理人要求开立理财产品指定账户（以下简称“指定账户”），用于本产品的理财资金划转及理财产品利益分配，</w:t>
      </w:r>
      <w:r>
        <w:rPr>
          <w:rFonts w:hint="eastAsia" w:ascii="黑体" w:hAnsi="黑体" w:eastAsia="黑体"/>
          <w:sz w:val="18"/>
          <w:szCs w:val="18"/>
        </w:rPr>
        <w:t>投资者承诺持有本产品期间指定账户不做销户。</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9.</w:t>
      </w:r>
      <w:r>
        <w:rPr>
          <w:rFonts w:hint="eastAsia" w:ascii="黑体" w:hAnsi="黑体" w:eastAsia="黑体"/>
          <w:sz w:val="18"/>
          <w:szCs w:val="18"/>
        </w:rPr>
        <w:t>★投资者在购买本产品时，应同时在约定的时间结点前向指定账户存入足额理财资金，并同意授权产品管理人或销售机构于相应的资金归集日将投资者指定账户内相应的理财资金划转至产品管理人理财账户。对此产品管理人无需另行征得投资者同意或给予通知，无需在划款时以电话等方式与投资者进行最后确认。对于风险较高或投资者单笔购买金额较大的理财产品，如</w:t>
      </w:r>
      <w:r>
        <w:rPr>
          <w:rFonts w:ascii="黑体" w:hAnsi="黑体" w:eastAsia="黑体"/>
          <w:sz w:val="18"/>
          <w:szCs w:val="18"/>
        </w:rPr>
        <w:t>投资者授权</w:t>
      </w:r>
      <w:r>
        <w:rPr>
          <w:rFonts w:hint="eastAsia" w:ascii="黑体" w:hAnsi="黑体" w:eastAsia="黑体"/>
          <w:sz w:val="18"/>
          <w:szCs w:val="18"/>
        </w:rPr>
        <w:t>产品管理人或</w:t>
      </w:r>
      <w:r>
        <w:rPr>
          <w:rFonts w:ascii="黑体" w:hAnsi="黑体" w:eastAsia="黑体"/>
          <w:sz w:val="18"/>
          <w:szCs w:val="18"/>
        </w:rPr>
        <w:t>销售机构于相应的资金归集日</w:t>
      </w:r>
      <w:r>
        <w:rPr>
          <w:rFonts w:hint="eastAsia" w:ascii="黑体" w:hAnsi="黑体" w:eastAsia="黑体"/>
          <w:sz w:val="18"/>
          <w:szCs w:val="18"/>
        </w:rPr>
        <w:t>将</w:t>
      </w:r>
      <w:r>
        <w:rPr>
          <w:rFonts w:ascii="黑体" w:hAnsi="黑体" w:eastAsia="黑体"/>
          <w:sz w:val="18"/>
          <w:szCs w:val="18"/>
        </w:rPr>
        <w:t>投资者指定账户内相应的理财资金划转至产品管理人理财账户</w:t>
      </w:r>
      <w:r>
        <w:rPr>
          <w:rFonts w:hint="eastAsia" w:ascii="黑体" w:hAnsi="黑体" w:eastAsia="黑体"/>
          <w:sz w:val="18"/>
          <w:szCs w:val="18"/>
        </w:rPr>
        <w:t>，</w:t>
      </w:r>
      <w:r>
        <w:rPr>
          <w:rFonts w:ascii="黑体" w:hAnsi="黑体" w:eastAsia="黑体"/>
          <w:sz w:val="18"/>
          <w:szCs w:val="18"/>
        </w:rPr>
        <w:t>则产品管理人无需另行征得投资者同意或给予通知，无需在划款</w:t>
      </w:r>
      <w:r>
        <w:rPr>
          <w:rFonts w:hint="eastAsia" w:ascii="黑体" w:hAnsi="黑体" w:eastAsia="黑体"/>
          <w:sz w:val="18"/>
          <w:szCs w:val="18"/>
        </w:rPr>
        <w:t>时</w:t>
      </w:r>
      <w:r>
        <w:rPr>
          <w:rFonts w:ascii="黑体" w:hAnsi="黑体" w:eastAsia="黑体"/>
          <w:sz w:val="18"/>
          <w:szCs w:val="18"/>
        </w:rPr>
        <w:t>以电话等方式与投资者进行最后确认。</w:t>
      </w:r>
      <w:r>
        <w:rPr>
          <w:rFonts w:hint="eastAsia" w:ascii="黑体" w:hAnsi="黑体" w:eastAsia="黑体"/>
          <w:sz w:val="18"/>
          <w:szCs w:val="18"/>
        </w:rPr>
        <w:t>由于投资者未存入理财资金或理财资金不足或未在约定的时间前购买本产品而导致交易失败的，产品管理人不承担相应责任。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10.</w:t>
      </w:r>
      <w:r>
        <w:rPr>
          <w:rFonts w:hint="eastAsia" w:ascii="黑体" w:hAnsi="黑体" w:eastAsia="黑体"/>
          <w:sz w:val="18"/>
          <w:szCs w:val="18"/>
        </w:rPr>
        <w:t>★若投资者以本产品项下的任何权利、利益、权益（包括单独和整体）为投资者和任何第三人的债务设定担保或其他权益的，应由投资者与其他相关主体对前述行为负责（包括但不限于前述行为的合法有效性、权利享有和义务承担、争议解决等），产品管理人仅依据销售文件约定承担产品管理人的职责，不对前述行为承担任何责任。</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黑体" w:hAnsi="黑体" w:eastAsia="黑体"/>
          <w:sz w:val="18"/>
          <w:szCs w:val="18"/>
        </w:rPr>
        <w:t>★未经产品管理人同意，投资者不得向任何第三人转让、赠与本产品说明书或本产品说明书项下的任何权利、利益、权益（包括单独和整体）</w:t>
      </w:r>
      <w:r>
        <w:rPr>
          <w:rFonts w:hint="eastAsia" w:ascii="宋体" w:hAnsi="宋体"/>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12.</w:t>
      </w:r>
      <w:r>
        <w:rPr>
          <w:rFonts w:hint="eastAsia" w:ascii="宋体" w:hAnsi="宋体"/>
          <w:sz w:val="18"/>
          <w:szCs w:val="18"/>
        </w:rPr>
        <w:t>其他在本产品所对应理财产品销售文件中约定的投资者的权利与义务。</w:t>
      </w:r>
    </w:p>
    <w:p>
      <w:pPr>
        <w:tabs>
          <w:tab w:val="left" w:pos="704"/>
          <w:tab w:val="left" w:pos="1995"/>
        </w:tabs>
        <w:autoSpaceDE w:val="0"/>
        <w:autoSpaceDN w:val="0"/>
        <w:adjustRightInd w:val="0"/>
        <w:snapToGrid w:val="0"/>
        <w:spacing w:line="360" w:lineRule="auto"/>
        <w:ind w:left="360"/>
        <w:rPr>
          <w:rFonts w:ascii="宋体" w:hAnsi="宋体"/>
          <w:b/>
          <w:sz w:val="18"/>
          <w:szCs w:val="18"/>
        </w:rPr>
      </w:pPr>
      <w:r>
        <w:rPr>
          <w:rFonts w:hint="eastAsia" w:ascii="宋体" w:hAnsi="宋体"/>
          <w:b/>
          <w:sz w:val="18"/>
          <w:szCs w:val="18"/>
        </w:rPr>
        <w:t>（二）产品管理人权利与义务</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产品管理人在受托运用理财资金进行投资时，应履行诚实信用、谨慎勤勉的义务，管理理财产品资金，依法保护投资者的财产权益。</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2.在投资者持有本产品期间，产品管理人有权收取理财产品相关费用，具体费用项目、收费标准和收费方式等详见《产品说明书》。</w:t>
      </w:r>
    </w:p>
    <w:p>
      <w:pPr>
        <w:tabs>
          <w:tab w:val="left" w:pos="704"/>
          <w:tab w:val="left" w:pos="1995"/>
        </w:tabs>
        <w:autoSpaceDE w:val="0"/>
        <w:autoSpaceDN w:val="0"/>
        <w:adjustRightInd w:val="0"/>
        <w:snapToGrid w:val="0"/>
        <w:spacing w:line="360" w:lineRule="auto"/>
        <w:ind w:firstLine="360" w:firstLineChars="200"/>
        <w:rPr>
          <w:rFonts w:ascii="宋体" w:hAnsi="宋体"/>
          <w:b/>
          <w:sz w:val="18"/>
          <w:szCs w:val="18"/>
        </w:rPr>
      </w:pPr>
      <w:r>
        <w:rPr>
          <w:rFonts w:hint="eastAsia" w:ascii="宋体" w:hAnsi="宋体"/>
          <w:sz w:val="18"/>
          <w:szCs w:val="18"/>
        </w:rPr>
        <w:t>3.</w:t>
      </w:r>
      <w:r>
        <w:rPr>
          <w:rFonts w:ascii="宋体" w:hAnsi="宋体"/>
          <w:sz w:val="18"/>
          <w:szCs w:val="18"/>
        </w:rPr>
        <w:t>产品管理人应按照约定披露产品相关信息。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4.</w:t>
      </w:r>
      <w:r>
        <w:rPr>
          <w:rFonts w:hint="eastAsia" w:ascii="宋体" w:hAnsi="宋体"/>
          <w:sz w:val="18"/>
          <w:szCs w:val="18"/>
        </w:rPr>
        <w:t>产品管理人及</w:t>
      </w:r>
      <w:r>
        <w:rPr>
          <w:rFonts w:ascii="宋体" w:hAnsi="宋体"/>
          <w:sz w:val="18"/>
          <w:szCs w:val="18"/>
        </w:rPr>
        <w:t>/或销售机构</w:t>
      </w:r>
      <w:r>
        <w:rPr>
          <w:rFonts w:hint="eastAsia" w:ascii="宋体" w:hAnsi="宋体"/>
          <w:sz w:val="18"/>
          <w:szCs w:val="18"/>
        </w:rPr>
        <w:t>按照《产品说明书》约定向投资者进行理财产品份额的利益分配并将对应资金划入投资者指定账户后</w:t>
      </w:r>
      <w:r>
        <w:rPr>
          <w:rFonts w:ascii="宋体" w:hAnsi="宋体"/>
          <w:sz w:val="18"/>
          <w:szCs w:val="18"/>
        </w:rPr>
        <w:t xml:space="preserve">, </w:t>
      </w:r>
      <w:r>
        <w:rPr>
          <w:rFonts w:hint="eastAsia" w:ascii="宋体" w:hAnsi="宋体"/>
          <w:sz w:val="18"/>
          <w:szCs w:val="18"/>
        </w:rPr>
        <w:t>即视为产品管理人已向投资者完成利益分配和资金的清算分配。因投资者指定账户冻结、挂失、换卡、销户、长期不动户等原因造成账户变更或异常</w:t>
      </w:r>
      <w:r>
        <w:rPr>
          <w:rFonts w:ascii="宋体" w:hAnsi="宋体"/>
          <w:sz w:val="18"/>
          <w:szCs w:val="18"/>
        </w:rPr>
        <w:t xml:space="preserve">, </w:t>
      </w:r>
      <w:r>
        <w:rPr>
          <w:rFonts w:hint="eastAsia" w:ascii="宋体" w:hAnsi="宋体"/>
          <w:sz w:val="18"/>
          <w:szCs w:val="18"/>
        </w:rPr>
        <w:t>投资者应及时到产品管理人及</w:t>
      </w:r>
      <w:r>
        <w:rPr>
          <w:rFonts w:ascii="宋体" w:hAnsi="宋体"/>
          <w:sz w:val="18"/>
          <w:szCs w:val="18"/>
        </w:rPr>
        <w:t>/或</w:t>
      </w:r>
      <w:r>
        <w:rPr>
          <w:rFonts w:hint="eastAsia" w:ascii="宋体" w:hAnsi="宋体"/>
          <w:sz w:val="18"/>
          <w:szCs w:val="18"/>
        </w:rPr>
        <w:t>销售机构办理变更手续。</w:t>
      </w:r>
      <w:r>
        <w:rPr>
          <w:rFonts w:hint="eastAsia" w:ascii="黑体" w:hAnsi="黑体" w:eastAsia="黑体"/>
          <w:sz w:val="18"/>
          <w:szCs w:val="18"/>
        </w:rPr>
        <w:t>如因投资者未及时办理变更手续而造成产品管理人及</w:t>
      </w:r>
      <w:r>
        <w:rPr>
          <w:rFonts w:ascii="黑体" w:hAnsi="黑体" w:eastAsia="黑体"/>
          <w:sz w:val="18"/>
          <w:szCs w:val="18"/>
        </w:rPr>
        <w:t>/或</w:t>
      </w:r>
      <w:r>
        <w:rPr>
          <w:rFonts w:hint="eastAsia" w:ascii="黑体" w:hAnsi="黑体" w:eastAsia="黑体"/>
          <w:sz w:val="18"/>
          <w:szCs w:val="18"/>
        </w:rPr>
        <w:t>销售机构无法向投资者进行正常利益分配和资金清算分配</w:t>
      </w:r>
      <w:r>
        <w:rPr>
          <w:rFonts w:ascii="黑体" w:hAnsi="黑体" w:eastAsia="黑体"/>
          <w:sz w:val="18"/>
          <w:szCs w:val="18"/>
        </w:rPr>
        <w:t xml:space="preserve">, </w:t>
      </w:r>
      <w:r>
        <w:rPr>
          <w:rFonts w:hint="eastAsia" w:ascii="黑体" w:hAnsi="黑体" w:eastAsia="黑体"/>
          <w:sz w:val="18"/>
          <w:szCs w:val="18"/>
        </w:rPr>
        <w:t>由此导致投资者损失的由投资者自行承担</w:t>
      </w:r>
      <w:r>
        <w:rPr>
          <w:rFonts w:ascii="黑体" w:hAnsi="黑体" w:eastAsia="黑体"/>
          <w:sz w:val="18"/>
          <w:szCs w:val="18"/>
        </w:rPr>
        <w:t xml:space="preserve">, </w:t>
      </w:r>
      <w:r>
        <w:rPr>
          <w:rFonts w:hint="eastAsia" w:ascii="黑体" w:hAnsi="黑体" w:eastAsia="黑体"/>
          <w:sz w:val="18"/>
          <w:szCs w:val="18"/>
        </w:rPr>
        <w:t>产品管理人不承担责任。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5.</w:t>
      </w:r>
      <w:r>
        <w:rPr>
          <w:rFonts w:hint="eastAsia" w:ascii="黑体" w:hAnsi="黑体" w:eastAsia="黑体"/>
          <w:sz w:val="18"/>
          <w:szCs w:val="18"/>
        </w:rPr>
        <w:t>★产品管理人将严格履行投资者信息保密义务。除法律法规及监管规范另有规定或者投资者同意披露外，产品管理人不得向任何组织、个人提供或泄漏与投资者有关的资料和信息。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产品管理人将按照《个人信息保护法》等法律法规规定，遵循合法、正当、必要和诚信的原则，以收集、存储、使用、传输、提供等方式处理投资者信息。投资者在此同意并授权，产品管理人可根据法律法规、监管规定、有权机关、自律组织要求和本协议的约定，处理投资者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根据法律法规、监管规定、有权机关和自律组织要求，本产品的投资合作机构（包括但不限于本产品所投资的信托计划、资管计划、基金的受托人或管理人、相关投资顾问等，下同）、销售机构、投资交易相关方、中介服务机构等有可能需要向监管机构、有权机关、自律组织等报送投资者信息，产品管理人将应投资合作机构、销售机构、投资交易相关方、中介服务机构等的申请，在必要范围内向监管机构、有权机关或自律组织提供相关信息，并要求上述信息接收方按照法律法规规定履行投资者信息保密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因理财产品管理运作的需要，产品管理人、销售机构可购买、使用、租用专业信息服务供应商提供的信息系统、数据服务（如数据传输系统、客服系统、登记系统、CA认证服务、可信时间戳服务等）。在使用上述系统的过程中，理财产品及投资者部分信息可能会被暂时采集并存储在信息服务供应商的服务器上、或由其工作人员进行维护。产品管理人将要求信息服务供应商、销售机构履行保密义务。投资者签署本理财产品销售文件即视为知悉并同意上述情况。</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在理财产品投资过程中发生任何争议，产品管理人有权以管理人的名义代表理财产品进行维权，行使包括但不限于提起诉讼</w:t>
      </w:r>
      <w:r>
        <w:rPr>
          <w:rFonts w:ascii="宋体" w:hAnsi="宋体"/>
          <w:sz w:val="18"/>
          <w:szCs w:val="18"/>
        </w:rPr>
        <w:t>/</w:t>
      </w:r>
      <w:r>
        <w:rPr>
          <w:rFonts w:hint="eastAsia" w:ascii="宋体" w:hAnsi="宋体"/>
          <w:sz w:val="18"/>
          <w:szCs w:val="18"/>
        </w:rPr>
        <w:t>仲裁、申请保全</w:t>
      </w:r>
      <w:r>
        <w:rPr>
          <w:rFonts w:ascii="宋体" w:hAnsi="宋体"/>
          <w:sz w:val="18"/>
          <w:szCs w:val="18"/>
        </w:rPr>
        <w:t>/</w:t>
      </w:r>
      <w:r>
        <w:rPr>
          <w:rFonts w:hint="eastAsia" w:ascii="宋体" w:hAnsi="宋体"/>
          <w:sz w:val="18"/>
          <w:szCs w:val="18"/>
        </w:rPr>
        <w:t>执行等权利，由此产生的费用由理财产品承担。</w:t>
      </w:r>
      <w:r>
        <w:rPr>
          <w:rFonts w:ascii="宋体" w:hAnsi="宋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7.</w:t>
      </w:r>
      <w:r>
        <w:rPr>
          <w:rFonts w:hint="eastAsia" w:ascii="宋体" w:hAnsi="宋体"/>
          <w:sz w:val="18"/>
          <w:szCs w:val="18"/>
        </w:rPr>
        <w:t>产品管理人全权负责理财产品资金的运用和理财产品资产的管理</w:t>
      </w:r>
      <w:r>
        <w:rPr>
          <w:rFonts w:ascii="宋体" w:hAnsi="宋体"/>
          <w:sz w:val="18"/>
          <w:szCs w:val="18"/>
        </w:rPr>
        <w:t xml:space="preserve">, </w:t>
      </w:r>
      <w:r>
        <w:rPr>
          <w:rFonts w:hint="eastAsia" w:ascii="宋体" w:hAnsi="宋体"/>
          <w:sz w:val="18"/>
          <w:szCs w:val="18"/>
        </w:rPr>
        <w:t>有权参加与理财产品所投资资产相关的所有会议</w:t>
      </w:r>
      <w:r>
        <w:rPr>
          <w:rFonts w:ascii="宋体" w:hAnsi="宋体"/>
          <w:sz w:val="18"/>
          <w:szCs w:val="18"/>
        </w:rPr>
        <w:t xml:space="preserve">, </w:t>
      </w:r>
      <w:r>
        <w:rPr>
          <w:rFonts w:hint="eastAsia" w:ascii="宋体" w:hAnsi="宋体"/>
          <w:sz w:val="18"/>
          <w:szCs w:val="18"/>
        </w:rPr>
        <w:t>并对相关事项进行表决；产品管理人有权代表投资者利益</w:t>
      </w:r>
      <w:r>
        <w:rPr>
          <w:rFonts w:ascii="宋体" w:hAnsi="宋体"/>
          <w:sz w:val="18"/>
          <w:szCs w:val="18"/>
        </w:rPr>
        <w:t xml:space="preserve">, </w:t>
      </w:r>
      <w:r>
        <w:rPr>
          <w:rFonts w:hint="eastAsia" w:ascii="宋体" w:hAnsi="宋体"/>
          <w:sz w:val="18"/>
          <w:szCs w:val="18"/>
        </w:rPr>
        <w:t>按照法律法规和监管部门相关规定对理财产品投资产生的风险资产进行多种方式的处置</w:t>
      </w:r>
      <w:r>
        <w:rPr>
          <w:rFonts w:ascii="宋体" w:hAnsi="宋体"/>
          <w:sz w:val="18"/>
          <w:szCs w:val="18"/>
        </w:rPr>
        <w:t xml:space="preserve">, </w:t>
      </w:r>
      <w:r>
        <w:rPr>
          <w:rFonts w:hint="eastAsia" w:ascii="宋体" w:hAnsi="宋体"/>
          <w:sz w:val="18"/>
          <w:szCs w:val="18"/>
        </w:rPr>
        <w:t>包括但不限于转让、重组、债转股、资产证券化、委外催收、抵债资产收取与处置、破产重整等。</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8.</w:t>
      </w:r>
      <w:r>
        <w:rPr>
          <w:rFonts w:hint="eastAsia" w:ascii="黑体" w:hAnsi="黑体" w:eastAsia="黑体"/>
          <w:sz w:val="18"/>
          <w:szCs w:val="18"/>
        </w:rPr>
        <w:t>★</w:t>
      </w:r>
      <w:r>
        <w:rPr>
          <w:rFonts w:hint="eastAsia" w:ascii="宋体" w:hAnsi="宋体"/>
          <w:sz w:val="18"/>
          <w:szCs w:val="18"/>
        </w:rPr>
        <w:t>产品管理人或销售机构发现或有合理理由怀疑投资者或其资金存在洗钱、恐怖融资、逃税等嫌疑,</w:t>
      </w:r>
      <w:r>
        <w:rPr>
          <w:rFonts w:hint="eastAsia" w:ascii="黑体" w:hAnsi="黑体" w:eastAsia="黑体"/>
          <w:sz w:val="18"/>
          <w:szCs w:val="18"/>
        </w:rPr>
        <w:t>产品管理人有权提前终止本协议，造成投资者损失的，产品管理人不承担责任。</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9.</w:t>
      </w:r>
      <w:r>
        <w:rPr>
          <w:rFonts w:hint="eastAsia" w:ascii="宋体" w:hAnsi="宋体"/>
          <w:sz w:val="18"/>
          <w:szCs w:val="18"/>
        </w:rPr>
        <w:t>产品管理人不承担对第三人支付本产品项下投资者清算产品后分配金额以及相关权益的责任，法律法规另有规定的除外。</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10.</w:t>
      </w:r>
      <w:r>
        <w:rPr>
          <w:rFonts w:hint="eastAsia" w:ascii="黑体" w:hAnsi="黑体" w:eastAsia="黑体"/>
          <w:sz w:val="18"/>
          <w:szCs w:val="18"/>
        </w:rPr>
        <w:t>★产品管理人在此特别披露：兴业银行股份有限公司（以下简称“兴业银行”）是产品管理人的关联方，若产品管理人聘请其担任本产品的代理销售机构</w:t>
      </w:r>
      <w:r>
        <w:rPr>
          <w:rFonts w:ascii="黑体" w:hAnsi="黑体" w:eastAsia="黑体"/>
          <w:sz w:val="18"/>
          <w:szCs w:val="18"/>
        </w:rPr>
        <w:t>或</w:t>
      </w:r>
      <w:r>
        <w:rPr>
          <w:rFonts w:hint="eastAsia" w:ascii="黑体" w:hAnsi="黑体" w:eastAsia="黑体"/>
          <w:sz w:val="18"/>
          <w:szCs w:val="18"/>
        </w:rPr>
        <w:t>产品托管人的，产品管理人应履行现行法律法规和监管规定所要求的必要程序。</w:t>
      </w:r>
      <w:r>
        <w:rPr>
          <w:rFonts w:ascii="黑体" w:hAnsi="黑体" w:eastAsia="黑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宋体" w:hAnsi="宋体"/>
          <w:sz w:val="18"/>
          <w:szCs w:val="18"/>
        </w:rPr>
        <w:t>产品管理人</w:t>
      </w:r>
      <w:r>
        <w:rPr>
          <w:rFonts w:ascii="宋体" w:hAnsi="宋体"/>
          <w:sz w:val="18"/>
          <w:szCs w:val="18"/>
        </w:rPr>
        <w:t>负责维护理财产品运作相关的自有</w:t>
      </w:r>
      <w:r>
        <w:rPr>
          <w:rFonts w:hint="eastAsia" w:ascii="宋体" w:hAnsi="宋体" w:cs="仿宋_GB2312"/>
          <w:kern w:val="0"/>
          <w:sz w:val="18"/>
          <w:szCs w:val="18"/>
        </w:rPr>
        <w:t>业务系统和技术设施</w:t>
      </w:r>
      <w:r>
        <w:rPr>
          <w:rFonts w:ascii="宋体" w:hAnsi="宋体"/>
          <w:sz w:val="18"/>
          <w:szCs w:val="18"/>
        </w:rPr>
        <w:t>。</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宋体" w:hAnsi="宋体"/>
          <w:sz w:val="18"/>
          <w:szCs w:val="18"/>
        </w:rPr>
        <w:t>1</w:t>
      </w:r>
      <w:r>
        <w:rPr>
          <w:rFonts w:ascii="宋体" w:hAnsi="宋体"/>
          <w:sz w:val="18"/>
          <w:szCs w:val="18"/>
        </w:rPr>
        <w:t>2.</w:t>
      </w:r>
      <w:r>
        <w:rPr>
          <w:rFonts w:hint="eastAsia" w:ascii="宋体" w:hAnsi="宋体"/>
          <w:sz w:val="18"/>
          <w:szCs w:val="18"/>
        </w:rPr>
        <w:t>产品管理人有权根据符合条件的申请，受理并办理继承、承继、捐赠、司法强制执行和经理财产品登记机构认可的其他情况下的非交易过户。</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3</w:t>
      </w:r>
      <w:r>
        <w:rPr>
          <w:rFonts w:ascii="宋体" w:hAnsi="宋体"/>
          <w:sz w:val="18"/>
          <w:szCs w:val="18"/>
        </w:rPr>
        <w:t>.其他在本产品所对应理财产品销售文件中约定的产品管理人的权利与义务。</w:t>
      </w:r>
    </w:p>
    <w:p>
      <w:pPr>
        <w:widowControl/>
        <w:spacing w:line="360" w:lineRule="auto"/>
        <w:jc w:val="left"/>
        <w:rPr>
          <w:b/>
          <w:kern w:val="0"/>
          <w:sz w:val="30"/>
        </w:rPr>
      </w:pPr>
      <w:r>
        <w:rPr>
          <w:sz w:val="30"/>
        </w:rPr>
        <w:br w:type="page"/>
      </w:r>
    </w:p>
    <w:bookmarkEnd w:id="31"/>
    <w:bookmarkEnd w:id="32"/>
    <w:bookmarkEnd w:id="33"/>
    <w:bookmarkEnd w:id="34"/>
    <w:bookmarkEnd w:id="35"/>
    <w:bookmarkEnd w:id="36"/>
    <w:bookmarkEnd w:id="37"/>
    <w:bookmarkEnd w:id="38"/>
    <w:bookmarkEnd w:id="39"/>
    <w:bookmarkEnd w:id="40"/>
    <w:bookmarkEnd w:id="41"/>
    <w:bookmarkEnd w:id="42"/>
    <w:bookmarkEnd w:id="45"/>
    <w:p>
      <w:pPr>
        <w:pStyle w:val="2"/>
        <w:spacing w:before="0" w:after="0"/>
        <w:jc w:val="center"/>
        <w:rPr>
          <w:rFonts w:ascii="Times New Roman"/>
          <w:sz w:val="30"/>
        </w:rPr>
      </w:pPr>
      <w:bookmarkStart w:id="46" w:name="_Toc706"/>
      <w:bookmarkStart w:id="47" w:name="_Toc6683"/>
      <w:bookmarkStart w:id="48" w:name="_Toc6149"/>
      <w:bookmarkStart w:id="49" w:name="_Toc20318"/>
      <w:bookmarkStart w:id="50" w:name="_Toc733"/>
      <w:bookmarkStart w:id="51" w:name="_Toc18631"/>
      <w:bookmarkStart w:id="52" w:name="_Toc545"/>
      <w:bookmarkStart w:id="53" w:name="_Toc24571"/>
      <w:bookmarkStart w:id="54" w:name="_Toc20627"/>
      <w:bookmarkStart w:id="55" w:name="_Toc22708"/>
      <w:bookmarkStart w:id="56" w:name="_Toc74065740"/>
      <w:bookmarkStart w:id="57" w:name="_Toc13288"/>
      <w:bookmarkStart w:id="58" w:name="_Toc258829400"/>
      <w:bookmarkStart w:id="59" w:name="_Toc233456272"/>
      <w:r>
        <w:rPr>
          <w:rFonts w:hint="eastAsia" w:ascii="Times New Roman"/>
          <w:color w:val="auto"/>
          <w:sz w:val="30"/>
        </w:rPr>
        <w:t>第三条</w:t>
      </w:r>
      <w:r>
        <w:rPr>
          <w:rFonts w:ascii="Times New Roman"/>
          <w:color w:val="auto"/>
          <w:sz w:val="30"/>
        </w:rPr>
        <w:t xml:space="preserve">  不可抗力</w:t>
      </w:r>
      <w:bookmarkEnd w:id="46"/>
    </w:p>
    <w:bookmarkEnd w:id="47"/>
    <w:bookmarkEnd w:id="48"/>
    <w:bookmarkEnd w:id="49"/>
    <w:bookmarkEnd w:id="50"/>
    <w:bookmarkEnd w:id="51"/>
    <w:bookmarkEnd w:id="52"/>
    <w:bookmarkEnd w:id="53"/>
    <w:bookmarkEnd w:id="54"/>
    <w:bookmarkEnd w:id="55"/>
    <w:bookmarkEnd w:id="56"/>
    <w:bookmarkEnd w:id="57"/>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本协议中的不可抗力指遭受不可抗力事件一方不能预见、不能避免、不能克服的客观情况，包括但不限于洪水、地震及其他自然灾害、战争、骚乱、火灾、突发性公共卫生事件、政府征用或没收、法律法规变化、突发停电或其他突发事件、注册与过户登记机构非正常的暂停或终止业务、交易系统非正常暂停或停止交易、非产品管理人所引起或能控制的计算机系统、通讯系统、互联网系统、电力系统故障等情形。</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（二）对由不可抗力导致的交易中断、延误及由此造成的损失，产品管理人不承担相应责任，但产品管理人应在条件允许的情况下，采取必要的补救措施以减少不可抗力造成的损失。</w:t>
      </w:r>
    </w:p>
    <w:p>
      <w:pPr>
        <w:widowControl/>
        <w:spacing w:line="360" w:lineRule="auto"/>
        <w:jc w:val="left"/>
        <w:rPr>
          <w:rFonts w:ascii="宋体" w:hAnsi="宋体" w:cs="仿宋_GB2312"/>
          <w:kern w:val="0"/>
          <w:sz w:val="18"/>
          <w:szCs w:val="18"/>
        </w:rPr>
      </w:pPr>
      <w:r>
        <w:rPr>
          <w:rFonts w:ascii="宋体" w:hAnsi="宋体" w:cs="仿宋_GB2312"/>
          <w:kern w:val="0"/>
          <w:sz w:val="18"/>
          <w:szCs w:val="18"/>
        </w:rPr>
        <w:br w:type="page"/>
      </w:r>
    </w:p>
    <w:p>
      <w:pPr>
        <w:pStyle w:val="2"/>
        <w:spacing w:before="0" w:after="0"/>
        <w:jc w:val="center"/>
        <w:rPr>
          <w:rFonts w:ascii="Times New Roman"/>
          <w:b w:val="0"/>
          <w:sz w:val="30"/>
        </w:rPr>
      </w:pPr>
      <w:bookmarkStart w:id="60" w:name="_Toc265"/>
      <w:r>
        <w:rPr>
          <w:rFonts w:hint="eastAsia" w:ascii="Times New Roman"/>
          <w:color w:val="auto"/>
          <w:sz w:val="30"/>
        </w:rPr>
        <w:t>第四条</w:t>
      </w:r>
      <w:r>
        <w:rPr>
          <w:rFonts w:ascii="Times New Roman"/>
          <w:color w:val="auto"/>
          <w:sz w:val="30"/>
        </w:rPr>
        <w:t xml:space="preserve">  </w:t>
      </w:r>
      <w:r>
        <w:rPr>
          <w:rFonts w:hint="eastAsia" w:ascii="Times New Roman"/>
          <w:color w:val="auto"/>
          <w:sz w:val="30"/>
        </w:rPr>
        <w:t>违约责任</w:t>
      </w:r>
      <w:bookmarkEnd w:id="60"/>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（一）由于本协议一方当事人的过错，造成本协议不能履行或不能完全履行的，由有过错的一方承担违约责任；如双方同时负有过错，则应由双方各自按照过错程度承担责任。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（二）双方同意，发生下列情况造成损失时，按以下约定承担责任：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ascii="宋体" w:hAnsi="宋体" w:cs="仿宋_GB2312"/>
          <w:kern w:val="0"/>
          <w:sz w:val="18"/>
          <w:szCs w:val="18"/>
        </w:rPr>
        <w:t>1.</w:t>
      </w:r>
      <w:r>
        <w:rPr>
          <w:rFonts w:hint="eastAsia" w:ascii="宋体" w:hAnsi="宋体" w:cs="仿宋_GB2312"/>
          <w:kern w:val="0"/>
          <w:sz w:val="18"/>
          <w:szCs w:val="18"/>
        </w:rPr>
        <w:t>对由于国家有关法律、法规、规章、政策的变化，监管机构管理规则的修改、紧急措施的出台等原因而导致的相关风险及损失，双方当事人互不承担责任；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rPr>
        <w:t>.本协议书中涉及的相关到期日或分配日如遇节假日，将顺延至下一个工作日，由此产生的风险及损失双方当事人互不承担责任；</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bCs/>
          <w:kern w:val="0"/>
          <w:sz w:val="18"/>
          <w:szCs w:val="18"/>
        </w:rPr>
        <w:t>★</w:t>
      </w:r>
      <w:r>
        <w:rPr>
          <w:rFonts w:hint="eastAsia" w:ascii="黑体" w:hAnsi="黑体" w:eastAsia="黑体" w:cs="仿宋_GB2312"/>
          <w:kern w:val="0"/>
          <w:sz w:val="18"/>
          <w:szCs w:val="18"/>
        </w:rPr>
        <w:t>如投资者违反本协议所做的声明和保证，或本产品投资者所涉及的资金被有权机关全部或部分冻结或者扣划，产品管理人有权提前终止本合同，且产品管理人不承担相应责任，如因此给产品管理人或产品其他投资者造成损失的，投资者应承担违约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pStyle w:val="2"/>
        <w:spacing w:before="0" w:after="0"/>
        <w:jc w:val="center"/>
        <w:rPr>
          <w:rFonts w:ascii="Times New Roman"/>
          <w:b w:val="0"/>
          <w:sz w:val="30"/>
        </w:rPr>
      </w:pPr>
      <w:bookmarkStart w:id="61" w:name="_Toc29618"/>
      <w:r>
        <w:rPr>
          <w:rFonts w:hint="eastAsia" w:ascii="Times New Roman"/>
          <w:color w:val="auto"/>
          <w:sz w:val="30"/>
        </w:rPr>
        <w:t>第五条</w:t>
      </w:r>
      <w:r>
        <w:rPr>
          <w:rFonts w:ascii="Times New Roman"/>
          <w:color w:val="auto"/>
          <w:sz w:val="30"/>
        </w:rPr>
        <w:t xml:space="preserve">  法律适用和争议解决</w:t>
      </w:r>
      <w:bookmarkEnd w:id="61"/>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（一）法律适用</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本协议的订立、生效、履行、解除、解释及争议的解决等均适用中华人民共和国法律（为本合同之目的，不包括香港特别行政区、澳门特别行政区和台湾地区的法律）。</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（二）★争议解决</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宋体" w:hAnsi="宋体" w:cs="仿宋_GB2312"/>
          <w:kern w:val="0"/>
          <w:sz w:val="18"/>
          <w:szCs w:val="18"/>
        </w:rPr>
        <w:t>双方在本协议书的执行过程中发生的任何争议，应通过友好协商解决。</w:t>
      </w:r>
      <w:r>
        <w:rPr>
          <w:rFonts w:hint="eastAsia" w:ascii="黑体" w:hAnsi="黑体" w:eastAsia="黑体" w:cs="黑体"/>
          <w:kern w:val="0"/>
          <w:sz w:val="18"/>
          <w:szCs w:val="18"/>
        </w:rPr>
        <w:t>如友好协商不成的，双方均同意以如下第【壹】种方式解决：</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（壹）向产品管理人住所地之人民法院提起诉讼。</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贰）向【／】仲裁委员会申请仲裁，适用该仲裁委员会在仲裁时有效的仲裁规则解决纠纷，在仲裁规则允许的范围内，双方同意选用简易程序进行审理。该仲裁裁决是终局的，对双方均有约束力。仲裁庭的开庭地点选择在【／】开庭。</w:t>
      </w:r>
    </w:p>
    <w:p>
      <w:pPr>
        <w:widowControl/>
        <w:spacing w:line="360" w:lineRule="auto"/>
        <w:jc w:val="left"/>
        <w:rPr>
          <w:rFonts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br w:type="page"/>
      </w:r>
    </w:p>
    <w:p>
      <w:pPr>
        <w:pStyle w:val="2"/>
        <w:spacing w:before="0" w:after="0"/>
        <w:jc w:val="center"/>
        <w:rPr>
          <w:rFonts w:ascii="Times New Roman"/>
          <w:b w:val="0"/>
          <w:sz w:val="30"/>
        </w:rPr>
      </w:pPr>
      <w:bookmarkStart w:id="62" w:name="_Toc11943"/>
      <w:r>
        <w:rPr>
          <w:rFonts w:hint="eastAsia" w:ascii="Times New Roman"/>
          <w:color w:val="auto"/>
          <w:sz w:val="30"/>
        </w:rPr>
        <w:t xml:space="preserve">第六条 </w:t>
      </w:r>
      <w:r>
        <w:rPr>
          <w:rFonts w:ascii="Times New Roman"/>
          <w:color w:val="auto"/>
          <w:sz w:val="30"/>
        </w:rPr>
        <w:t xml:space="preserve"> 协议的签署和</w:t>
      </w:r>
      <w:r>
        <w:rPr>
          <w:rFonts w:hint="eastAsia" w:ascii="Times New Roman"/>
          <w:color w:val="auto"/>
          <w:sz w:val="30"/>
        </w:rPr>
        <w:t>效力</w:t>
      </w:r>
      <w:bookmarkEnd w:id="62"/>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（一）</w:t>
      </w:r>
      <w:r>
        <w:rPr>
          <w:rFonts w:hint="eastAsia" w:ascii="黑体" w:hAnsi="黑体" w:eastAsia="黑体" w:cs="仿宋_GB2312"/>
          <w:bCs/>
          <w:kern w:val="0"/>
          <w:sz w:val="18"/>
          <w:szCs w:val="18"/>
        </w:rPr>
        <w:t>★</w:t>
      </w:r>
      <w:r>
        <w:rPr>
          <w:rFonts w:hint="eastAsia" w:ascii="黑体" w:hAnsi="黑体" w:eastAsia="黑体"/>
          <w:sz w:val="18"/>
          <w:szCs w:val="18"/>
        </w:rPr>
        <w:t>协议的签署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宋体" w:hAnsi="宋体"/>
          <w:sz w:val="18"/>
          <w:szCs w:val="18"/>
        </w:rPr>
        <w:t>投资者若通过销售机构线下渠道购买本产品的</w:t>
      </w:r>
      <w:r>
        <w:rPr>
          <w:rFonts w:hint="eastAsia" w:ascii="黑体" w:hAnsi="黑体" w:eastAsia="黑体"/>
          <w:sz w:val="18"/>
          <w:szCs w:val="18"/>
        </w:rPr>
        <w:t>，本协议自投资者签名</w:t>
      </w:r>
      <w:r>
        <w:rPr>
          <w:rFonts w:ascii="黑体" w:hAnsi="黑体" w:eastAsia="黑体"/>
          <w:sz w:val="18"/>
          <w:szCs w:val="18"/>
        </w:rPr>
        <w:t>/盖章后则为签署。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2.</w:t>
      </w:r>
      <w:r>
        <w:rPr>
          <w:rFonts w:hint="eastAsia" w:ascii="宋体" w:hAnsi="宋体"/>
          <w:sz w:val="18"/>
          <w:szCs w:val="18"/>
        </w:rPr>
        <w:t>投资者若通过销售机构线上渠道购买本产品的，</w:t>
      </w:r>
      <w:r>
        <w:rPr>
          <w:rFonts w:hint="eastAsia" w:ascii="黑体" w:hAnsi="黑体" w:eastAsia="黑体"/>
          <w:sz w:val="18"/>
          <w:szCs w:val="18"/>
        </w:rPr>
        <w:t>本协议自投资者在系统中点击确认则视为签署。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w:t>
      </w:r>
      <w:r>
        <w:rPr>
          <w:rFonts w:hint="eastAsia" w:ascii="黑体" w:hAnsi="黑体" w:eastAsia="黑体" w:cs="仿宋_GB2312"/>
          <w:bCs/>
          <w:kern w:val="0"/>
          <w:sz w:val="18"/>
          <w:szCs w:val="18"/>
        </w:rPr>
        <w:t>★</w:t>
      </w:r>
      <w:r>
        <w:rPr>
          <w:rFonts w:hint="eastAsia" w:ascii="黑体" w:hAnsi="黑体" w:eastAsia="黑体"/>
          <w:sz w:val="18"/>
          <w:szCs w:val="18"/>
        </w:rPr>
        <w:t>协议的效力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1.投资者确认其已了解本产品所对应的理财产品销售文件的构成与相关内容，《</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w:t>
      </w:r>
      <w:r>
        <w:rPr>
          <w:rFonts w:ascii="黑体" w:hAnsi="黑体" w:eastAsia="黑体" w:cs="仿宋_GB2312"/>
          <w:kern w:val="0"/>
          <w:sz w:val="18"/>
          <w:szCs w:val="18"/>
        </w:rPr>
        <w:t>协议书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投资者权益须知》等有关文件共同构成一份完整且不可分割的理财产品销售文件，具有同等效力。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2.投资者签署本协议即视为投资者已经阅读并认可理财产品销售文件（包括但不限于《</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《（代理）销售协议</w:t>
      </w:r>
      <w:r>
        <w:rPr>
          <w:rFonts w:ascii="黑体" w:hAnsi="黑体" w:eastAsia="黑体" w:cs="仿宋_GB2312"/>
          <w:kern w:val="0"/>
          <w:sz w:val="18"/>
          <w:szCs w:val="18"/>
        </w:rPr>
        <w:t>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投资者权益须知》等文件）的全部内容，并已就投资于本产品做出独立的判断。</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hint="eastAsia" w:ascii="黑体" w:hAnsi="黑体" w:eastAsia="黑体"/>
          <w:sz w:val="18"/>
          <w:szCs w:val="18"/>
        </w:rPr>
        <w:t>3.本协议书具备独立性</w:t>
      </w:r>
      <w:r>
        <w:rPr>
          <w:rFonts w:hint="eastAsia" w:ascii="宋体" w:hAnsi="宋体"/>
          <w:sz w:val="18"/>
          <w:szCs w:val="18"/>
        </w:rPr>
        <w:t>。如投资者与产品管理人之间存在多份协议书，则各协议书之间相互独立，每一份协议书的效力及履行情况均独立于其他协议书。如果由于任何原因，使得本协议下的任何条款或内容成为无效或被依法撤销，本协议其他条款或内容的合法性、有效性和可执行性不受影响。</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4.</w:t>
      </w:r>
      <w:r>
        <w:rPr>
          <w:rFonts w:hint="eastAsia" w:ascii="黑体" w:hAnsi="黑体" w:eastAsia="黑体" w:cs="仿宋_GB2312"/>
          <w:kern w:val="0"/>
          <w:sz w:val="18"/>
          <w:szCs w:val="18"/>
        </w:rPr>
        <w:t>本协议自投资者签署之日起成立</w:t>
      </w:r>
      <w:r>
        <w:rPr>
          <w:rFonts w:ascii="黑体" w:hAnsi="黑体" w:eastAsia="黑体" w:cs="仿宋_GB2312"/>
          <w:kern w:val="0"/>
          <w:sz w:val="18"/>
          <w:szCs w:val="18"/>
        </w:rPr>
        <w:t>并</w:t>
      </w:r>
      <w:r>
        <w:rPr>
          <w:rFonts w:hint="eastAsia" w:ascii="黑体" w:hAnsi="黑体" w:eastAsia="黑体" w:cs="仿宋_GB2312"/>
          <w:kern w:val="0"/>
          <w:sz w:val="18"/>
          <w:szCs w:val="18"/>
        </w:rPr>
        <w:t>生效。</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pStyle w:val="2"/>
        <w:spacing w:before="0" w:after="0"/>
        <w:jc w:val="center"/>
        <w:rPr>
          <w:rFonts w:ascii="Times New Roman"/>
          <w:b w:val="0"/>
          <w:sz w:val="30"/>
        </w:rPr>
      </w:pPr>
      <w:bookmarkStart w:id="63" w:name="_Toc29352"/>
      <w:bookmarkStart w:id="64" w:name="_Toc77953869"/>
      <w:r>
        <w:rPr>
          <w:rFonts w:hint="eastAsia" w:ascii="Times New Roman"/>
          <w:color w:val="auto"/>
          <w:sz w:val="30"/>
        </w:rPr>
        <w:t xml:space="preserve">第七条 </w:t>
      </w:r>
      <w:r>
        <w:rPr>
          <w:rFonts w:ascii="Times New Roman"/>
          <w:color w:val="auto"/>
          <w:sz w:val="30"/>
        </w:rPr>
        <w:t xml:space="preserve"> </w:t>
      </w:r>
      <w:r>
        <w:rPr>
          <w:rFonts w:hint="eastAsia" w:ascii="Times New Roman"/>
          <w:color w:val="auto"/>
          <w:sz w:val="30"/>
        </w:rPr>
        <w:t>消费者权益保护</w:t>
      </w:r>
      <w:bookmarkEnd w:id="63"/>
      <w:bookmarkEnd w:id="64"/>
      <w:r>
        <w:rPr>
          <w:rFonts w:hint="eastAsia" w:ascii="Times New Roman"/>
          <w:color w:val="auto"/>
          <w:sz w:val="30"/>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（一）意见反馈</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投资者对本产品有任何意见或异议，可向产品管理人或销售机构反馈，产品管理人或销售机构将由专人接听、记录您的意见或建议，并由各方协商共同解决。</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（二）联络方式</w:t>
      </w:r>
      <w:r>
        <w:rPr>
          <w:rFonts w:ascii="黑体" w:hAnsi="黑体" w:eastAsia="黑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bookmarkStart w:id="65" w:name="_Hlk64707831"/>
      <w:r>
        <w:rPr>
          <w:rFonts w:hint="eastAsia" w:ascii="黑体" w:hAnsi="黑体" w:eastAsia="黑体"/>
          <w:sz w:val="18"/>
          <w:szCs w:val="18"/>
        </w:rPr>
        <w:t>1.产品管理人：兴银理财有限责任公司</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客户服务热线：</w:t>
      </w:r>
      <w:r>
        <w:rPr>
          <w:rFonts w:ascii="黑体" w:hAnsi="黑体" w:eastAsia="黑体"/>
          <w:sz w:val="18"/>
          <w:szCs w:val="18"/>
        </w:rPr>
        <w:t>40015-95561</w:t>
      </w:r>
      <w:bookmarkEnd w:id="65"/>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2.销售机构</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 xml:space="preserve">销售机构的联络方式，具体以《（代理）销售协议书》《投资者权益须知》等销售文件的内容为准。 </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p>
    <w:bookmarkEnd w:id="58"/>
    <w:bookmarkEnd w:id="59"/>
    <w:tbl>
      <w:tblPr>
        <w:tblStyle w:val="9"/>
        <w:tblW w:w="852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675"/>
        <w:gridCol w:w="728"/>
        <w:gridCol w:w="123"/>
        <w:gridCol w:w="1011"/>
        <w:gridCol w:w="598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c>
          <w:tcPr>
            <w:tcW w:w="8524" w:type="dxa"/>
            <w:gridSpan w:val="5"/>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交易信息栏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理财产品名称</w:t>
            </w:r>
          </w:p>
        </w:tc>
        <w:tc>
          <w:tcPr>
            <w:tcW w:w="7121" w:type="dxa"/>
            <w:gridSpan w:val="3"/>
            <w:vAlign w:val="center"/>
          </w:tcPr>
          <w:p>
            <w:pPr>
              <w:autoSpaceDE w:val="0"/>
              <w:autoSpaceDN w:val="0"/>
              <w:adjustRightInd w:val="0"/>
              <w:snapToGrid w:val="0"/>
              <w:spacing w:line="360" w:lineRule="auto"/>
              <w:jc w:val="left"/>
              <w:rPr>
                <w:rFonts w:ascii="宋体" w:hAnsi="宋体" w:cs="宋体"/>
                <w:sz w:val="18"/>
                <w:szCs w:val="18"/>
              </w:rPr>
            </w:pPr>
            <w:r>
              <w:rPr>
                <w:rFonts w:hint="eastAsia" w:ascii="宋体" w:hAnsi="宋体" w:cs="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产品份额</w:t>
            </w:r>
            <w:r>
              <w:rPr>
                <w:rFonts w:ascii="宋体" w:hAnsi="宋体"/>
                <w:b/>
                <w:sz w:val="18"/>
                <w:szCs w:val="18"/>
              </w:rPr>
              <w:t>类别</w:t>
            </w:r>
          </w:p>
        </w:tc>
        <w:tc>
          <w:tcPr>
            <w:tcW w:w="7121" w:type="dxa"/>
            <w:gridSpan w:val="3"/>
            <w:vAlign w:val="center"/>
          </w:tcPr>
          <w:p>
            <w:pPr>
              <w:autoSpaceDE w:val="0"/>
              <w:autoSpaceDN w:val="0"/>
              <w:adjustRightInd w:val="0"/>
              <w:snapToGrid w:val="0"/>
              <w:spacing w:line="360" w:lineRule="auto"/>
              <w:jc w:val="left"/>
              <w:rPr>
                <w:rFonts w:ascii="宋体" w:hAnsi="宋体" w:cs="宋体"/>
                <w:sz w:val="18"/>
                <w:szCs w:val="18"/>
              </w:rPr>
            </w:pPr>
            <w:r>
              <w:rPr>
                <w:rFonts w:hint="eastAsia" w:ascii="宋体" w:hAnsi="宋体" w:cs="宋体"/>
                <w:sz w:val="18"/>
                <w:szCs w:val="18"/>
              </w:rPr>
              <w:t>【】类</w:t>
            </w:r>
            <w:r>
              <w:rPr>
                <w:rFonts w:ascii="宋体" w:hAnsi="宋体" w:cs="宋体"/>
                <w:sz w:val="18"/>
                <w:szCs w:val="18"/>
              </w:rPr>
              <w:t>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restart"/>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交易类型</w:t>
            </w:r>
          </w:p>
        </w:tc>
        <w:tc>
          <w:tcPr>
            <w:tcW w:w="1134" w:type="dxa"/>
            <w:gridSpan w:val="2"/>
            <w:vAlign w:val="center"/>
          </w:tcPr>
          <w:p>
            <w:pPr>
              <w:autoSpaceDE w:val="0"/>
              <w:autoSpaceDN w:val="0"/>
              <w:adjustRightInd w:val="0"/>
              <w:snapToGrid w:val="0"/>
              <w:spacing w:line="360" w:lineRule="auto"/>
              <w:jc w:val="center"/>
              <w:rPr>
                <w:rFonts w:ascii="宋体" w:hAnsi="宋体"/>
                <w:sz w:val="18"/>
                <w:szCs w:val="18"/>
              </w:rPr>
            </w:pPr>
            <w:r>
              <w:rPr>
                <w:rFonts w:hint="eastAsia" w:ascii="宋体" w:hAnsi="宋体"/>
                <w:bCs/>
                <w:sz w:val="18"/>
                <w:szCs w:val="18"/>
              </w:rPr>
              <w:t>认购</w:t>
            </w:r>
          </w:p>
        </w:tc>
        <w:tc>
          <w:tcPr>
            <w:tcW w:w="5987" w:type="dxa"/>
            <w:vAlign w:val="center"/>
          </w:tcPr>
          <w:p>
            <w:pPr>
              <w:autoSpaceDE w:val="0"/>
              <w:autoSpaceDN w:val="0"/>
              <w:adjustRightInd w:val="0"/>
              <w:snapToGrid w:val="0"/>
              <w:spacing w:line="360" w:lineRule="auto"/>
              <w:jc w:val="left"/>
              <w:rPr>
                <w:rFonts w:ascii="宋体" w:hAnsi="宋体" w:cs="宋体"/>
                <w:sz w:val="18"/>
                <w:szCs w:val="18"/>
              </w:rPr>
            </w:pPr>
            <w:r>
              <w:rPr>
                <w:rFonts w:ascii="宋体" w:hAnsi="宋体"/>
                <w:bCs/>
                <w:sz w:val="18"/>
                <w:szCs w:val="18"/>
              </w:rPr>
              <w:t>金额：</w:t>
            </w:r>
            <w:r>
              <w:rPr>
                <w:rFonts w:hint="eastAsia" w:ascii="宋体" w:hAnsi="宋体"/>
                <w:bCs/>
                <w:sz w:val="18"/>
                <w:szCs w:val="18"/>
              </w:rPr>
              <w:t>小写：</w:t>
            </w:r>
            <w:r>
              <w:rPr>
                <w:rFonts w:ascii="宋体" w:hAnsi="宋体"/>
                <w:bCs/>
                <w:sz w:val="18"/>
                <w:szCs w:val="18"/>
                <w:u w:val="single"/>
              </w:rPr>
              <w:t xml:space="preserve">　        </w:t>
            </w:r>
            <w:r>
              <w:rPr>
                <w:rFonts w:hint="eastAsia" w:ascii="宋体" w:hAnsi="宋体"/>
                <w:bCs/>
                <w:sz w:val="18"/>
                <w:szCs w:val="18"/>
                <w:u w:val="single"/>
              </w:rPr>
              <w:t xml:space="preserve">  </w:t>
            </w:r>
            <w:r>
              <w:rPr>
                <w:rFonts w:ascii="宋体" w:hAnsi="宋体"/>
                <w:bCs/>
                <w:sz w:val="18"/>
                <w:szCs w:val="18"/>
              </w:rPr>
              <w:t>，大写：</w:t>
            </w:r>
            <w:r>
              <w:rPr>
                <w:rFonts w:ascii="宋体" w:hAnsi="宋体"/>
                <w:bCs/>
                <w:sz w:val="18"/>
                <w:szCs w:val="18"/>
                <w:u w:val="single"/>
              </w:rPr>
              <w:t xml:space="preserve">　  </w:t>
            </w:r>
            <w:r>
              <w:rPr>
                <w:rFonts w:hint="eastAsia" w:ascii="宋体" w:hAnsi="宋体"/>
                <w:bCs/>
                <w:sz w:val="18"/>
                <w:szCs w:val="18"/>
                <w:u w:val="single"/>
              </w:rPr>
              <w:t xml:space="preserve">            </w:t>
            </w:r>
            <w:r>
              <w:rPr>
                <w:rFonts w:ascii="宋体" w:hAnsi="宋体"/>
                <w:bCs/>
                <w:sz w:val="18"/>
                <w:szCs w:val="18"/>
                <w:u w:val="single"/>
              </w:rPr>
              <w:t xml:space="preserve">      </w:t>
            </w:r>
            <w:r>
              <w:rPr>
                <w:rFonts w:hint="eastAsia" w:ascii="宋体" w:hAnsi="宋体"/>
                <w:bCs/>
                <w:sz w:val="18"/>
                <w:szCs w:val="18"/>
              </w:rPr>
              <w:t>元整。</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continue"/>
            <w:vAlign w:val="center"/>
          </w:tcPr>
          <w:p>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pPr>
              <w:autoSpaceDE w:val="0"/>
              <w:autoSpaceDN w:val="0"/>
              <w:adjustRightInd w:val="0"/>
              <w:snapToGrid w:val="0"/>
              <w:spacing w:line="360" w:lineRule="auto"/>
              <w:jc w:val="center"/>
              <w:rPr>
                <w:rFonts w:ascii="宋体" w:hAnsi="宋体"/>
                <w:bCs/>
                <w:sz w:val="18"/>
                <w:szCs w:val="18"/>
              </w:rPr>
            </w:pPr>
            <w:r>
              <w:rPr>
                <w:rFonts w:hint="eastAsia" w:ascii="宋体" w:hAnsi="宋体"/>
                <w:bCs/>
                <w:sz w:val="18"/>
                <w:szCs w:val="18"/>
              </w:rPr>
              <w:t>申购</w:t>
            </w:r>
          </w:p>
        </w:tc>
        <w:tc>
          <w:tcPr>
            <w:tcW w:w="5987" w:type="dxa"/>
            <w:vAlign w:val="center"/>
          </w:tcPr>
          <w:p>
            <w:pPr>
              <w:autoSpaceDE w:val="0"/>
              <w:autoSpaceDN w:val="0"/>
              <w:adjustRightInd w:val="0"/>
              <w:snapToGrid w:val="0"/>
              <w:spacing w:line="360" w:lineRule="auto"/>
              <w:jc w:val="left"/>
              <w:rPr>
                <w:rFonts w:ascii="宋体" w:hAnsi="宋体"/>
                <w:bCs/>
                <w:sz w:val="18"/>
                <w:szCs w:val="18"/>
              </w:rPr>
            </w:pPr>
            <w:r>
              <w:rPr>
                <w:rFonts w:ascii="宋体" w:hAnsi="宋体"/>
                <w:bCs/>
                <w:sz w:val="18"/>
                <w:szCs w:val="18"/>
              </w:rPr>
              <w:t>金额</w:t>
            </w:r>
            <w:r>
              <w:rPr>
                <w:rFonts w:hint="eastAsia" w:ascii="宋体" w:hAnsi="宋体"/>
                <w:bCs/>
                <w:sz w:val="18"/>
                <w:szCs w:val="18"/>
              </w:rPr>
              <w:t>：小写：</w:t>
            </w:r>
            <w:r>
              <w:rPr>
                <w:rFonts w:ascii="宋体" w:hAnsi="宋体"/>
                <w:bCs/>
                <w:sz w:val="18"/>
                <w:szCs w:val="18"/>
                <w:u w:val="single"/>
              </w:rPr>
              <w:t xml:space="preserve">　        </w:t>
            </w:r>
            <w:r>
              <w:rPr>
                <w:rFonts w:hint="eastAsia" w:ascii="宋体" w:hAnsi="宋体"/>
                <w:bCs/>
                <w:sz w:val="18"/>
                <w:szCs w:val="18"/>
                <w:u w:val="single"/>
              </w:rPr>
              <w:t xml:space="preserve">  </w:t>
            </w:r>
            <w:r>
              <w:rPr>
                <w:rFonts w:ascii="宋体" w:hAnsi="宋体"/>
                <w:bCs/>
                <w:sz w:val="18"/>
                <w:szCs w:val="18"/>
              </w:rPr>
              <w:t>，大写：</w:t>
            </w:r>
            <w:r>
              <w:rPr>
                <w:rFonts w:ascii="宋体" w:hAnsi="宋体"/>
                <w:bCs/>
                <w:sz w:val="18"/>
                <w:szCs w:val="18"/>
                <w:u w:val="single"/>
              </w:rPr>
              <w:t xml:space="preserve">　   </w:t>
            </w:r>
            <w:r>
              <w:rPr>
                <w:rFonts w:hint="eastAsia" w:ascii="宋体" w:hAnsi="宋体"/>
                <w:bCs/>
                <w:sz w:val="18"/>
                <w:szCs w:val="18"/>
                <w:u w:val="single"/>
              </w:rPr>
              <w:t xml:space="preserve">            </w:t>
            </w:r>
            <w:r>
              <w:rPr>
                <w:rFonts w:ascii="宋体" w:hAnsi="宋体"/>
                <w:bCs/>
                <w:sz w:val="18"/>
                <w:szCs w:val="18"/>
                <w:u w:val="single"/>
              </w:rPr>
              <w:t xml:space="preserve">     </w:t>
            </w:r>
            <w:r>
              <w:rPr>
                <w:rFonts w:hint="eastAsia" w:ascii="宋体" w:hAnsi="宋体"/>
                <w:bCs/>
                <w:sz w:val="18"/>
                <w:szCs w:val="18"/>
              </w:rPr>
              <w:t>元整。</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continue"/>
            <w:vAlign w:val="center"/>
          </w:tcPr>
          <w:p>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pPr>
              <w:autoSpaceDE w:val="0"/>
              <w:autoSpaceDN w:val="0"/>
              <w:adjustRightInd w:val="0"/>
              <w:snapToGrid w:val="0"/>
              <w:spacing w:line="360" w:lineRule="auto"/>
              <w:jc w:val="center"/>
              <w:rPr>
                <w:rFonts w:ascii="宋体" w:hAnsi="宋体"/>
                <w:bCs/>
                <w:sz w:val="18"/>
                <w:szCs w:val="18"/>
              </w:rPr>
            </w:pPr>
            <w:r>
              <w:rPr>
                <w:rFonts w:hint="eastAsia" w:ascii="宋体" w:hAnsi="宋体"/>
                <w:bCs/>
                <w:sz w:val="18"/>
                <w:szCs w:val="18"/>
              </w:rPr>
              <w:t>赎回</w:t>
            </w:r>
          </w:p>
        </w:tc>
        <w:tc>
          <w:tcPr>
            <w:tcW w:w="5987" w:type="dxa"/>
            <w:vAlign w:val="center"/>
          </w:tcPr>
          <w:p>
            <w:pPr>
              <w:autoSpaceDE w:val="0"/>
              <w:autoSpaceDN w:val="0"/>
              <w:adjustRightInd w:val="0"/>
              <w:snapToGrid w:val="0"/>
              <w:spacing w:line="360" w:lineRule="auto"/>
              <w:rPr>
                <w:rFonts w:ascii="宋体" w:hAnsi="宋体"/>
                <w:bCs/>
                <w:sz w:val="18"/>
                <w:szCs w:val="18"/>
              </w:rPr>
            </w:pPr>
            <w:r>
              <w:rPr>
                <w:rFonts w:ascii="宋体" w:hAnsi="宋体"/>
                <w:bCs/>
                <w:sz w:val="18"/>
                <w:szCs w:val="18"/>
              </w:rPr>
              <w:t>份额：</w:t>
            </w:r>
            <w:r>
              <w:rPr>
                <w:rFonts w:hint="eastAsia" w:ascii="宋体" w:hAnsi="宋体"/>
                <w:bCs/>
                <w:sz w:val="18"/>
                <w:szCs w:val="18"/>
              </w:rPr>
              <w:t>小写：</w:t>
            </w:r>
            <w:r>
              <w:rPr>
                <w:rFonts w:ascii="宋体" w:hAnsi="宋体"/>
                <w:bCs/>
                <w:sz w:val="18"/>
                <w:szCs w:val="18"/>
                <w:u w:val="single"/>
              </w:rPr>
              <w:t xml:space="preserve">　          </w:t>
            </w:r>
            <w:r>
              <w:rPr>
                <w:rFonts w:ascii="宋体" w:hAnsi="宋体"/>
                <w:bCs/>
                <w:sz w:val="18"/>
                <w:szCs w:val="18"/>
              </w:rPr>
              <w:t>，大写：</w:t>
            </w:r>
            <w:r>
              <w:rPr>
                <w:rFonts w:ascii="宋体" w:hAnsi="宋体"/>
                <w:bCs/>
                <w:sz w:val="18"/>
                <w:szCs w:val="18"/>
                <w:u w:val="single"/>
              </w:rPr>
              <w:t xml:space="preserve">　  </w:t>
            </w:r>
            <w:r>
              <w:rPr>
                <w:rFonts w:hint="eastAsia" w:ascii="宋体" w:hAnsi="宋体"/>
                <w:bCs/>
                <w:sz w:val="18"/>
                <w:szCs w:val="18"/>
                <w:u w:val="single"/>
              </w:rPr>
              <w:t xml:space="preserve">          </w:t>
            </w:r>
            <w:r>
              <w:rPr>
                <w:rFonts w:ascii="宋体" w:hAnsi="宋体"/>
                <w:bCs/>
                <w:sz w:val="18"/>
                <w:szCs w:val="18"/>
                <w:u w:val="single"/>
              </w:rPr>
              <w:t xml:space="preserve">        </w:t>
            </w:r>
            <w:r>
              <w:rPr>
                <w:rFonts w:hint="eastAsia" w:ascii="宋体" w:hAnsi="宋体"/>
                <w:bCs/>
                <w:sz w:val="18"/>
                <w:szCs w:val="18"/>
              </w:rPr>
              <w:t>份。</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41"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交易时间</w:t>
            </w:r>
          </w:p>
        </w:tc>
        <w:tc>
          <w:tcPr>
            <w:tcW w:w="1134" w:type="dxa"/>
            <w:gridSpan w:val="2"/>
            <w:vAlign w:val="center"/>
          </w:tcPr>
          <w:p>
            <w:pPr>
              <w:autoSpaceDE w:val="0"/>
              <w:autoSpaceDN w:val="0"/>
              <w:adjustRightInd w:val="0"/>
              <w:snapToGrid w:val="0"/>
              <w:spacing w:line="360" w:lineRule="auto"/>
              <w:jc w:val="center"/>
              <w:rPr>
                <w:rFonts w:ascii="宋体" w:hAnsi="宋体"/>
                <w:sz w:val="18"/>
                <w:szCs w:val="18"/>
              </w:rPr>
            </w:pPr>
            <w:r>
              <w:rPr>
                <w:rFonts w:hint="eastAsia" w:ascii="宋体" w:hAnsi="宋体"/>
                <w:sz w:val="18"/>
                <w:szCs w:val="18"/>
              </w:rPr>
              <w:t>交易申请日</w:t>
            </w:r>
          </w:p>
        </w:tc>
        <w:tc>
          <w:tcPr>
            <w:tcW w:w="5987" w:type="dxa"/>
            <w:vAlign w:val="center"/>
          </w:tcPr>
          <w:p>
            <w:pPr>
              <w:autoSpaceDE w:val="0"/>
              <w:autoSpaceDN w:val="0"/>
              <w:adjustRightInd w:val="0"/>
              <w:snapToGrid w:val="0"/>
              <w:spacing w:line="360" w:lineRule="auto"/>
              <w:jc w:val="center"/>
              <w:rPr>
                <w:rFonts w:ascii="宋体" w:hAnsi="宋体"/>
                <w:sz w:val="18"/>
                <w:szCs w:val="18"/>
              </w:rPr>
            </w:pPr>
            <w:r>
              <w:rPr>
                <w:rFonts w:hint="eastAsia" w:asciiTheme="minorEastAsia" w:hAnsiTheme="minorEastAsia"/>
                <w:sz w:val="18"/>
                <w:szCs w:val="18"/>
              </w:rPr>
              <w:t xml:space="preserve">【 </w:t>
            </w:r>
            <w:r>
              <w:rPr>
                <w:rFonts w:asciiTheme="minorEastAsia" w:hAnsiTheme="minorEastAsia"/>
                <w:sz w:val="18"/>
                <w:szCs w:val="18"/>
              </w:rPr>
              <w:t>】年</w:t>
            </w:r>
            <w:r>
              <w:rPr>
                <w:rFonts w:hint="eastAsia" w:asciiTheme="minorEastAsia" w:hAnsiTheme="minorEastAsia"/>
                <w:sz w:val="18"/>
                <w:szCs w:val="18"/>
              </w:rPr>
              <w:t>【 】月【 】日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9" w:hRule="atLeast"/>
        </w:trPr>
        <w:tc>
          <w:tcPr>
            <w:tcW w:w="8524" w:type="dxa"/>
            <w:gridSpan w:val="5"/>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签署栏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Align w:val="center"/>
          </w:tcPr>
          <w:p>
            <w:pPr>
              <w:tabs>
                <w:tab w:val="left" w:pos="8070"/>
                <w:tab w:val="right" w:pos="8306"/>
              </w:tabs>
              <w:autoSpaceDE w:val="0"/>
              <w:autoSpaceDN w:val="0"/>
              <w:adjustRightInd w:val="0"/>
              <w:snapToGrid w:val="0"/>
              <w:spacing w:line="360" w:lineRule="auto"/>
              <w:jc w:val="center"/>
              <w:rPr>
                <w:rFonts w:ascii="黑体" w:hAnsi="黑体" w:eastAsia="黑体"/>
                <w:sz w:val="18"/>
                <w:szCs w:val="18"/>
              </w:rPr>
            </w:pPr>
            <w:r>
              <w:rPr>
                <w:rFonts w:hint="eastAsia" w:ascii="黑体" w:hAnsi="黑体" w:eastAsia="黑体"/>
                <w:sz w:val="18"/>
                <w:szCs w:val="18"/>
              </w:rPr>
              <w:t>★</w:t>
            </w:r>
          </w:p>
          <w:p>
            <w:pPr>
              <w:tabs>
                <w:tab w:val="left" w:pos="8070"/>
                <w:tab w:val="right" w:pos="8306"/>
              </w:tabs>
              <w:autoSpaceDE w:val="0"/>
              <w:autoSpaceDN w:val="0"/>
              <w:adjustRightInd w:val="0"/>
              <w:snapToGrid w:val="0"/>
              <w:spacing w:line="360" w:lineRule="auto"/>
              <w:jc w:val="center"/>
              <w:rPr>
                <w:rFonts w:ascii="宋体" w:hAnsi="宋体" w:cs="宋体"/>
                <w:b/>
                <w:sz w:val="18"/>
                <w:szCs w:val="18"/>
              </w:rPr>
            </w:pPr>
            <w:r>
              <w:rPr>
                <w:rFonts w:hint="eastAsia" w:ascii="宋体" w:hAnsi="宋体"/>
                <w:b/>
                <w:sz w:val="18"/>
                <w:szCs w:val="18"/>
              </w:rPr>
              <w:t>签署声明</w:t>
            </w:r>
          </w:p>
        </w:tc>
        <w:tc>
          <w:tcPr>
            <w:tcW w:w="7849" w:type="dxa"/>
            <w:gridSpan w:val="4"/>
          </w:tcPr>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1</w:t>
            </w:r>
            <w:r>
              <w:rPr>
                <w:rFonts w:hint="eastAsia" w:ascii="黑体" w:hAnsi="黑体" w:eastAsia="黑体"/>
                <w:sz w:val="18"/>
                <w:szCs w:val="18"/>
              </w:rPr>
              <w:t>.</w:t>
            </w:r>
            <w:r>
              <w:rPr>
                <w:rFonts w:ascii="黑体" w:hAnsi="黑体" w:eastAsia="黑体"/>
                <w:sz w:val="18"/>
                <w:szCs w:val="18"/>
              </w:rPr>
              <w:t>在签署本《</w:t>
            </w:r>
            <w:r>
              <w:rPr>
                <w:rFonts w:hint="eastAsia" w:ascii="黑体" w:hAnsi="黑体" w:eastAsia="黑体"/>
                <w:sz w:val="18"/>
                <w:szCs w:val="18"/>
              </w:rPr>
              <w:t>投资</w:t>
            </w:r>
            <w:r>
              <w:rPr>
                <w:rFonts w:ascii="黑体" w:hAnsi="黑体" w:eastAsia="黑体"/>
                <w:sz w:val="18"/>
                <w:szCs w:val="18"/>
              </w:rPr>
              <w:t>协议书》以前，投资者已认真阅读理财产品销售文件（包括但不限于《</w:t>
            </w:r>
            <w:r>
              <w:rPr>
                <w:rFonts w:hint="eastAsia" w:ascii="黑体" w:hAnsi="黑体" w:eastAsia="黑体"/>
                <w:sz w:val="18"/>
                <w:szCs w:val="18"/>
              </w:rPr>
              <w:t>投资</w:t>
            </w:r>
            <w:r>
              <w:rPr>
                <w:rFonts w:ascii="黑体" w:hAnsi="黑体" w:eastAsia="黑体"/>
                <w:sz w:val="18"/>
                <w:szCs w:val="18"/>
              </w:rPr>
              <w:t>协议书》《产品说明书》</w:t>
            </w:r>
            <w:r>
              <w:rPr>
                <w:rFonts w:hint="eastAsia" w:ascii="黑体" w:hAnsi="黑体" w:eastAsia="黑体"/>
                <w:sz w:val="18"/>
                <w:szCs w:val="18"/>
              </w:rPr>
              <w:t>《（代理）销售</w:t>
            </w:r>
            <w:r>
              <w:rPr>
                <w:rFonts w:ascii="黑体" w:hAnsi="黑体" w:eastAsia="黑体"/>
                <w:sz w:val="18"/>
                <w:szCs w:val="18"/>
              </w:rPr>
              <w:t>协议书</w:t>
            </w:r>
            <w:r>
              <w:rPr>
                <w:rFonts w:hint="eastAsia" w:ascii="黑体" w:hAnsi="黑体" w:eastAsia="黑体"/>
                <w:sz w:val="18"/>
                <w:szCs w:val="18"/>
              </w:rPr>
              <w:t>》</w:t>
            </w:r>
            <w:r>
              <w:rPr>
                <w:rFonts w:ascii="黑体" w:hAnsi="黑体" w:eastAsia="黑体"/>
                <w:sz w:val="18"/>
                <w:szCs w:val="18"/>
              </w:rPr>
              <w:t>《风险揭示书》《投资者权益须知》等文件）的全部内容，</w:t>
            </w:r>
            <w:r>
              <w:rPr>
                <w:rFonts w:hint="eastAsia" w:ascii="黑体" w:hAnsi="黑体" w:eastAsia="黑体"/>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产品管理人已提醒投资者注意对本协议各条款，特别是黑体字条款作全面、准确的理解，并应投资者要求做了相应条款的说明，投资者认同并接受本协议全部条款，对有关条款不存在任何疑问或异议，并对协议双方的权利、义务、责任与风险有清楚和准确的理解，投资者做出的任何决策均出于自身独立的判断，是投资者真实的意思表示。</w:t>
            </w:r>
          </w:p>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w:t>
            </w:r>
            <w:r>
              <w:rPr>
                <w:rFonts w:ascii="黑体" w:hAnsi="黑体" w:eastAsia="黑体"/>
                <w:sz w:val="18"/>
                <w:szCs w:val="18"/>
              </w:rPr>
              <w:t>投资者认可本协议约定的信息披露途径，已清楚知悉投资者应注意查询的事项和信息披露方面的法律责任，同意产品管理人按照本协议约定进行相关通知和披露。</w:t>
            </w:r>
          </w:p>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hint="eastAsia" w:ascii="黑体" w:hAnsi="黑体" w:eastAsia="黑体"/>
                <w:sz w:val="18"/>
                <w:szCs w:val="18"/>
              </w:rPr>
              <w:t>3.投资者</w:t>
            </w:r>
            <w:r>
              <w:rPr>
                <w:rFonts w:ascii="黑体" w:hAnsi="黑体" w:eastAsia="黑体"/>
                <w:sz w:val="18"/>
                <w:szCs w:val="18"/>
              </w:rPr>
              <w:t>已认真阅读并充分理解包括但不限于《</w:t>
            </w:r>
            <w:r>
              <w:rPr>
                <w:rFonts w:hint="eastAsia" w:ascii="黑体" w:hAnsi="黑体" w:eastAsia="黑体"/>
                <w:sz w:val="18"/>
                <w:szCs w:val="18"/>
              </w:rPr>
              <w:t>投资</w:t>
            </w:r>
            <w:r>
              <w:rPr>
                <w:rFonts w:ascii="黑体" w:hAnsi="黑体" w:eastAsia="黑体"/>
                <w:sz w:val="18"/>
                <w:szCs w:val="18"/>
              </w:rPr>
              <w:t>协议书》</w:t>
            </w:r>
            <w:r>
              <w:rPr>
                <w:rFonts w:hint="eastAsia" w:ascii="黑体" w:hAnsi="黑体" w:eastAsia="黑体"/>
                <w:sz w:val="18"/>
                <w:szCs w:val="18"/>
              </w:rPr>
              <w:t>等全套理财产品销售文件</w:t>
            </w:r>
            <w:r>
              <w:rPr>
                <w:rFonts w:ascii="黑体" w:hAnsi="黑体" w:eastAsia="黑体"/>
                <w:sz w:val="18"/>
                <w:szCs w:val="18"/>
              </w:rPr>
              <w:t>关于投资理财产品及其全部风险的有关内容，同意本次</w:t>
            </w:r>
            <w:r>
              <w:rPr>
                <w:rFonts w:hint="eastAsia" w:ascii="黑体" w:hAnsi="黑体" w:eastAsia="黑体"/>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88" w:hRule="exact"/>
        </w:trPr>
        <w:tc>
          <w:tcPr>
            <w:tcW w:w="675" w:type="dxa"/>
            <w:vMerge w:val="restart"/>
            <w:vAlign w:val="center"/>
          </w:tcPr>
          <w:p>
            <w:pPr>
              <w:spacing w:line="360" w:lineRule="auto"/>
              <w:jc w:val="center"/>
              <w:rPr>
                <w:b/>
                <w:sz w:val="18"/>
                <w:szCs w:val="18"/>
              </w:rPr>
            </w:pPr>
            <w:r>
              <w:rPr>
                <w:rFonts w:hint="eastAsia"/>
                <w:b/>
                <w:sz w:val="18"/>
                <w:szCs w:val="18"/>
              </w:rPr>
              <w:t>投资者签署栏</w:t>
            </w:r>
          </w:p>
        </w:tc>
        <w:tc>
          <w:tcPr>
            <w:tcW w:w="851" w:type="dxa"/>
            <w:gridSpan w:val="2"/>
          </w:tcPr>
          <w:p>
            <w:pPr>
              <w:spacing w:line="360" w:lineRule="auto"/>
              <w:rPr>
                <w:sz w:val="18"/>
                <w:szCs w:val="18"/>
              </w:rPr>
            </w:pPr>
            <w:r>
              <w:rPr>
                <w:rFonts w:hint="eastAsia"/>
                <w:sz w:val="18"/>
                <w:szCs w:val="18"/>
              </w:rPr>
              <w:t>个人投资者适用</w:t>
            </w:r>
          </w:p>
        </w:tc>
        <w:tc>
          <w:tcPr>
            <w:tcW w:w="6998" w:type="dxa"/>
            <w:gridSpan w:val="2"/>
          </w:tcPr>
          <w:p>
            <w:pPr>
              <w:spacing w:line="360" w:lineRule="auto"/>
              <w:rPr>
                <w:sz w:val="18"/>
                <w:szCs w:val="18"/>
              </w:rPr>
            </w:pPr>
            <w:r>
              <w:rPr>
                <w:rFonts w:hint="eastAsia"/>
                <w:sz w:val="18"/>
                <w:szCs w:val="18"/>
              </w:rPr>
              <w:t>投资者（签名/线上确认）：</w:t>
            </w:r>
          </w:p>
          <w:p>
            <w:pPr>
              <w:spacing w:line="360" w:lineRule="auto"/>
              <w:rPr>
                <w:b/>
                <w:sz w:val="18"/>
                <w:szCs w:val="18"/>
              </w:rPr>
            </w:pPr>
          </w:p>
          <w:p>
            <w:pPr>
              <w:spacing w:line="360" w:lineRule="auto"/>
              <w:rPr>
                <w:b/>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4" w:hRule="atLeast"/>
        </w:trPr>
        <w:tc>
          <w:tcPr>
            <w:tcW w:w="675" w:type="dxa"/>
            <w:vMerge w:val="continue"/>
          </w:tcPr>
          <w:p>
            <w:pPr>
              <w:spacing w:line="360" w:lineRule="auto"/>
              <w:rPr>
                <w:b/>
                <w:sz w:val="18"/>
                <w:szCs w:val="18"/>
              </w:rPr>
            </w:pPr>
          </w:p>
        </w:tc>
        <w:tc>
          <w:tcPr>
            <w:tcW w:w="851" w:type="dxa"/>
            <w:gridSpan w:val="2"/>
          </w:tcPr>
          <w:p>
            <w:pPr>
              <w:spacing w:line="360" w:lineRule="auto"/>
              <w:rPr>
                <w:sz w:val="18"/>
                <w:szCs w:val="18"/>
              </w:rPr>
            </w:pPr>
            <w:r>
              <w:rPr>
                <w:rFonts w:hint="eastAsia"/>
                <w:sz w:val="18"/>
                <w:szCs w:val="18"/>
              </w:rPr>
              <w:t>机构投资者适用</w:t>
            </w:r>
          </w:p>
        </w:tc>
        <w:tc>
          <w:tcPr>
            <w:tcW w:w="6998" w:type="dxa"/>
            <w:gridSpan w:val="2"/>
          </w:tcPr>
          <w:p>
            <w:pPr>
              <w:spacing w:line="360" w:lineRule="auto"/>
              <w:rPr>
                <w:rFonts w:cs="Arial"/>
                <w:sz w:val="18"/>
                <w:szCs w:val="18"/>
              </w:rPr>
            </w:pPr>
            <w:r>
              <w:rPr>
                <w:rFonts w:hint="eastAsia"/>
                <w:sz w:val="18"/>
                <w:szCs w:val="18"/>
              </w:rPr>
              <w:t>投资者</w:t>
            </w:r>
            <w:r>
              <w:rPr>
                <w:rFonts w:hint="eastAsia" w:cs="Arial"/>
                <w:sz w:val="18"/>
                <w:szCs w:val="18"/>
              </w:rPr>
              <w:t>（盖章</w:t>
            </w:r>
            <w:r>
              <w:rPr>
                <w:rFonts w:cs="Arial"/>
                <w:sz w:val="18"/>
                <w:szCs w:val="18"/>
              </w:rPr>
              <w:t>/</w:t>
            </w:r>
            <w:r>
              <w:rPr>
                <w:rFonts w:hint="eastAsia"/>
                <w:sz w:val="18"/>
                <w:szCs w:val="18"/>
              </w:rPr>
              <w:t>线上确认</w:t>
            </w:r>
            <w:r>
              <w:rPr>
                <w:rFonts w:hint="eastAsia" w:cs="Arial"/>
                <w:sz w:val="18"/>
                <w:szCs w:val="18"/>
              </w:rPr>
              <w:t>）：</w:t>
            </w:r>
          </w:p>
          <w:p>
            <w:pPr>
              <w:spacing w:line="360" w:lineRule="auto"/>
              <w:rPr>
                <w:rFonts w:cs="Arial"/>
                <w:sz w:val="18"/>
                <w:szCs w:val="18"/>
              </w:rPr>
            </w:pPr>
          </w:p>
          <w:p>
            <w:pPr>
              <w:spacing w:line="360" w:lineRule="auto"/>
              <w:rPr>
                <w:b/>
                <w:sz w:val="18"/>
                <w:szCs w:val="18"/>
              </w:rPr>
            </w:pPr>
            <w:r>
              <w:rPr>
                <w:rFonts w:hint="eastAsia" w:cs="Arial"/>
                <w:sz w:val="18"/>
                <w:szCs w:val="18"/>
              </w:rPr>
              <w:t>投资者法定代表人或授权代理人（签名/盖章</w:t>
            </w:r>
            <w:r>
              <w:rPr>
                <w:rFonts w:cs="Arial"/>
                <w:sz w:val="18"/>
                <w:szCs w:val="18"/>
              </w:rPr>
              <w:t>/</w:t>
            </w:r>
            <w:r>
              <w:rPr>
                <w:rFonts w:hint="eastAsia"/>
                <w:sz w:val="18"/>
                <w:szCs w:val="18"/>
              </w:rPr>
              <w:t>线上确认</w:t>
            </w:r>
            <w:r>
              <w:rPr>
                <w:rFonts w:hint="eastAsia" w:cs="Arial"/>
                <w:sz w:val="18"/>
                <w:szCs w:val="18"/>
              </w:rPr>
              <w:t>）：</w:t>
            </w:r>
          </w:p>
          <w:p>
            <w:pPr>
              <w:spacing w:line="360" w:lineRule="auto"/>
              <w:rPr>
                <w:sz w:val="18"/>
                <w:szCs w:val="18"/>
              </w:rPr>
            </w:pPr>
            <w:r>
              <w:rPr>
                <w:rFonts w:hint="eastAsia"/>
                <w:sz w:val="18"/>
                <w:szCs w:val="18"/>
              </w:rPr>
              <w:t>日期：</w:t>
            </w:r>
          </w:p>
        </w:tc>
      </w:tr>
    </w:tbl>
    <w:p>
      <w:pPr>
        <w:spacing w:line="360" w:lineRule="auto"/>
        <w:jc w:val="left"/>
        <w:rPr>
          <w:rFonts w:hint="eastAsia"/>
          <w:bCs/>
          <w:lang w:eastAsia="zh-CN"/>
        </w:rPr>
      </w:pPr>
      <w:r>
        <w:rPr>
          <w:rFonts w:hint="eastAsia" w:ascii="宋体" w:hAnsi="宋体"/>
          <w:b/>
          <w:sz w:val="18"/>
          <w:szCs w:val="18"/>
        </w:rPr>
        <w:t>（本《投资协议书》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p>
      <w:pPr>
        <w:sectPr>
          <w:headerReference r:id="rId5" w:type="default"/>
          <w:footerReference r:id="rId6" w:type="default"/>
          <w:pgSz w:w="11906" w:h="16838"/>
          <w:pgMar w:top="1440" w:right="1800" w:bottom="1440" w:left="1800" w:header="567" w:footer="964" w:gutter="0"/>
          <w:pgNumType w:fmt="decimal"/>
          <w:cols w:space="720" w:num="1"/>
          <w:docGrid w:type="lines" w:linePitch="312" w:charSpace="0"/>
        </w:sectPr>
      </w:pPr>
    </w:p>
    <w:p>
      <w:pPr>
        <w:widowControl/>
        <w:spacing w:line="360" w:lineRule="auto"/>
        <w:jc w:val="center"/>
        <w:rPr>
          <w:rStyle w:val="11"/>
          <w:rFonts w:ascii="宋体" w:hAnsi="宋体"/>
          <w:sz w:val="30"/>
          <w:szCs w:val="30"/>
        </w:rPr>
      </w:pPr>
      <w:r>
        <w:rPr>
          <w:rFonts w:hint="eastAsia" w:ascii="宋体" w:hAnsi="宋体"/>
          <w:b/>
          <w:sz w:val="30"/>
          <w:szCs w:val="30"/>
        </w:rPr>
        <w:t>理财非存款、产品有风险、投资须谨慎！</w:t>
      </w: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宋体" w:hAnsi="宋体"/>
          <w:sz w:val="32"/>
          <w:szCs w:val="32"/>
        </w:rPr>
      </w:pPr>
      <w:r>
        <w:rPr>
          <w:rFonts w:ascii="黑体" w:hAnsi="黑体" w:eastAsia="黑体"/>
          <w:b/>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黑体" w:hAnsi="黑体" w:eastAsia="黑体"/>
          <w:sz w:val="44"/>
          <w:szCs w:val="44"/>
        </w:rPr>
      </w:pPr>
      <w:r>
        <w:rPr>
          <w:rStyle w:val="11"/>
          <w:rFonts w:hint="eastAsia" w:ascii="黑体" w:hAnsi="黑体" w:eastAsia="黑体"/>
          <w:sz w:val="44"/>
          <w:szCs w:val="44"/>
        </w:rPr>
        <w:t>兴银理财【添利】理财产品</w:t>
      </w:r>
    </w:p>
    <w:p>
      <w:pPr>
        <w:adjustRightInd w:val="0"/>
        <w:spacing w:line="360" w:lineRule="auto"/>
        <w:jc w:val="center"/>
        <w:rPr>
          <w:rStyle w:val="11"/>
          <w:rFonts w:ascii="黑体" w:hAnsi="黑体" w:eastAsia="黑体"/>
          <w:sz w:val="44"/>
          <w:szCs w:val="44"/>
        </w:rPr>
      </w:pPr>
      <w:r>
        <w:rPr>
          <w:rStyle w:val="11"/>
          <w:rFonts w:hint="eastAsia" w:ascii="黑体" w:hAnsi="黑体" w:eastAsia="黑体"/>
          <w:sz w:val="44"/>
          <w:szCs w:val="44"/>
        </w:rPr>
        <w:t>产品说明书</w:t>
      </w: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黑体" w:hAnsi="黑体" w:eastAsia="黑体"/>
          <w:bCs w:val="0"/>
          <w:sz w:val="28"/>
          <w:szCs w:val="28"/>
        </w:rPr>
      </w:pPr>
    </w:p>
    <w:p>
      <w:pPr>
        <w:adjustRightInd w:val="0"/>
        <w:spacing w:line="360" w:lineRule="auto"/>
        <w:jc w:val="center"/>
        <w:rPr>
          <w:rStyle w:val="11"/>
          <w:rFonts w:ascii="宋体" w:hAnsi="宋体" w:cs="Times New Roman"/>
          <w:sz w:val="32"/>
          <w:szCs w:val="32"/>
        </w:rPr>
      </w:pPr>
      <w:r>
        <w:rPr>
          <w:rStyle w:val="11"/>
          <w:rFonts w:hint="eastAsia" w:ascii="宋体" w:hAnsi="宋体" w:cs="Times New Roman"/>
          <w:sz w:val="32"/>
          <w:szCs w:val="32"/>
        </w:rPr>
        <w:t>理财产品管理人：兴银理财有限责任公司</w:t>
      </w: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宋体" w:hAnsi="宋体" w:cs="Times New Roman"/>
          <w:sz w:val="32"/>
          <w:szCs w:val="32"/>
        </w:rPr>
      </w:pPr>
      <w:r>
        <w:rPr>
          <w:rStyle w:val="11"/>
          <w:rFonts w:hint="eastAsia" w:ascii="宋体" w:hAnsi="宋体" w:cs="Times New Roman"/>
          <w:sz w:val="32"/>
          <w:szCs w:val="32"/>
        </w:rPr>
        <w:t>日期</w:t>
      </w:r>
      <w:r>
        <w:rPr>
          <w:rStyle w:val="11"/>
          <w:rFonts w:ascii="宋体" w:hAnsi="宋体" w:cs="Times New Roman"/>
          <w:sz w:val="32"/>
          <w:szCs w:val="32"/>
        </w:rPr>
        <w:t>：</w:t>
      </w:r>
      <w:r>
        <w:rPr>
          <w:rStyle w:val="11"/>
          <w:rFonts w:hint="eastAsia" w:ascii="宋体" w:hAnsi="宋体" w:cs="Times New Roman"/>
          <w:sz w:val="32"/>
          <w:szCs w:val="32"/>
        </w:rPr>
        <w:t>【</w:t>
      </w:r>
      <w:r>
        <w:rPr>
          <w:rStyle w:val="11"/>
          <w:rFonts w:hint="eastAsia" w:ascii="宋体" w:hAnsi="宋体" w:cs="Times New Roman"/>
          <w:sz w:val="32"/>
          <w:szCs w:val="32"/>
          <w:lang w:val="en-US" w:eastAsia="zh-CN"/>
        </w:rPr>
        <w:t>2025</w:t>
      </w:r>
      <w:r>
        <w:rPr>
          <w:rStyle w:val="11"/>
          <w:rFonts w:hint="eastAsia" w:ascii="宋体" w:hAnsi="宋体" w:cs="Times New Roman"/>
          <w:sz w:val="32"/>
          <w:szCs w:val="32"/>
        </w:rPr>
        <w:t>】年【</w:t>
      </w:r>
      <w:r>
        <w:rPr>
          <w:rStyle w:val="11"/>
          <w:rFonts w:hint="eastAsia" w:ascii="宋体" w:hAnsi="宋体" w:cs="Times New Roman"/>
          <w:sz w:val="32"/>
          <w:szCs w:val="32"/>
          <w:lang w:val="en-US" w:eastAsia="zh-CN"/>
        </w:rPr>
        <w:t>3</w:t>
      </w:r>
      <w:r>
        <w:rPr>
          <w:rStyle w:val="11"/>
          <w:rFonts w:hint="eastAsia" w:ascii="宋体" w:hAnsi="宋体" w:cs="Times New Roman"/>
          <w:sz w:val="32"/>
          <w:szCs w:val="32"/>
        </w:rPr>
        <w:t>】月</w:t>
      </w:r>
    </w:p>
    <w:p>
      <w:pPr>
        <w:adjustRightInd w:val="0"/>
        <w:spacing w:line="360" w:lineRule="auto"/>
        <w:jc w:val="center"/>
        <w:rPr>
          <w:rStyle w:val="11"/>
          <w:rFonts w:ascii="宋体" w:hAnsi="宋体"/>
          <w:sz w:val="32"/>
          <w:szCs w:val="32"/>
        </w:rPr>
      </w:pPr>
    </w:p>
    <w:p>
      <w:pPr>
        <w:pStyle w:val="16"/>
        <w:spacing w:line="360" w:lineRule="auto"/>
        <w:rPr>
          <w:rFonts w:hAnsi="宋体"/>
          <w:sz w:val="28"/>
          <w:szCs w:val="28"/>
        </w:rPr>
      </w:pPr>
      <w:r>
        <w:rPr>
          <w:rFonts w:hAnsi="宋体"/>
          <w:sz w:val="28"/>
          <w:szCs w:val="28"/>
        </w:rPr>
        <w:br w:type="page"/>
      </w:r>
    </w:p>
    <w:sdt>
      <w:sdtPr>
        <w:rPr>
          <w:rFonts w:ascii="Calibri" w:hAnsi="Calibri" w:eastAsia="宋体" w:cs="宋体"/>
          <w:b w:val="0"/>
          <w:bCs w:val="0"/>
          <w:color w:val="auto"/>
          <w:kern w:val="2"/>
          <w:sz w:val="21"/>
          <w:szCs w:val="22"/>
          <w:lang w:val="zh-CN"/>
        </w:rPr>
        <w:id w:val="624888713"/>
        <w:docPartObj>
          <w:docPartGallery w:val="Table of Contents"/>
          <w:docPartUnique/>
        </w:docPartObj>
      </w:sdtPr>
      <w:sdtEndPr>
        <w:rPr>
          <w:rFonts w:ascii="Calibri" w:hAnsi="Calibri" w:eastAsia="宋体" w:cs="宋体"/>
          <w:b w:val="0"/>
          <w:bCs w:val="0"/>
          <w:color w:val="auto"/>
          <w:kern w:val="2"/>
          <w:sz w:val="21"/>
          <w:szCs w:val="22"/>
          <w:lang w:val="en-US"/>
        </w:rPr>
      </w:sdtEndPr>
      <w:sdtContent>
        <w:p>
          <w:pPr>
            <w:pStyle w:val="17"/>
            <w:spacing w:line="360" w:lineRule="auto"/>
            <w:jc w:val="center"/>
          </w:pPr>
          <w:bookmarkStart w:id="66" w:name="_Toc78276587"/>
          <w:r>
            <w:rPr>
              <w:lang w:val="zh-CN"/>
            </w:rPr>
            <w:t>目录</w:t>
          </w:r>
        </w:p>
        <w:p>
          <w:pPr>
            <w:pStyle w:val="5"/>
            <w:rPr>
              <w:rFonts w:asciiTheme="minorHAnsi" w:hAnsiTheme="minorHAnsi" w:eastAsiaTheme="minorEastAsia" w:cstheme="minorBidi"/>
              <w:kern w:val="2"/>
              <w:sz w:val="21"/>
            </w:rPr>
          </w:pPr>
          <w:r>
            <w:fldChar w:fldCharType="begin"/>
          </w:r>
          <w:r>
            <w:instrText xml:space="preserve"> TOC \o "1-3" \h \z \u </w:instrText>
          </w:r>
          <w:r>
            <w:fldChar w:fldCharType="separate"/>
          </w:r>
          <w:r>
            <w:fldChar w:fldCharType="begin"/>
          </w:r>
          <w:r>
            <w:instrText xml:space="preserve"> HYPERLINK \l "_Toc176189278" </w:instrText>
          </w:r>
          <w:r>
            <w:fldChar w:fldCharType="separate"/>
          </w:r>
          <w:r>
            <w:rPr>
              <w:rStyle w:val="13"/>
              <w:rFonts w:hint="eastAsia" w:ascii="Times New Roman"/>
            </w:rPr>
            <w:t>第一条</w:t>
          </w:r>
          <w:r>
            <w:rPr>
              <w:rStyle w:val="13"/>
              <w:rFonts w:ascii="Times New Roman"/>
            </w:rPr>
            <w:t xml:space="preserve">  </w:t>
          </w:r>
          <w:r>
            <w:rPr>
              <w:rStyle w:val="13"/>
              <w:rFonts w:hint="eastAsia" w:ascii="Times New Roman"/>
            </w:rPr>
            <w:t>释义</w:t>
          </w:r>
          <w:r>
            <w:tab/>
          </w:r>
          <w:r>
            <w:fldChar w:fldCharType="begin"/>
          </w:r>
          <w:r>
            <w:instrText xml:space="preserve"> PAGEREF _Toc176189278 \h </w:instrText>
          </w:r>
          <w:r>
            <w:fldChar w:fldCharType="separate"/>
          </w:r>
          <w:r>
            <w:t>19</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"_Toc176189279" </w:instrText>
          </w:r>
          <w:r>
            <w:fldChar w:fldCharType="separate"/>
          </w:r>
          <w:r>
            <w:rPr>
              <w:rStyle w:val="13"/>
              <w:rFonts w:hint="eastAsia" w:hAnsi="宋体"/>
            </w:rPr>
            <w:t>第二条</w:t>
          </w:r>
          <w:r>
            <w:rPr>
              <w:rStyle w:val="13"/>
              <w:rFonts w:hAnsi="宋体"/>
            </w:rPr>
            <w:t xml:space="preserve">  </w:t>
          </w:r>
          <w:r>
            <w:rPr>
              <w:rStyle w:val="13"/>
              <w:rFonts w:hint="eastAsia" w:hAnsi="宋体"/>
            </w:rPr>
            <w:t>理财产品基本情况</w:t>
          </w:r>
          <w:r>
            <w:tab/>
          </w:r>
          <w:r>
            <w:fldChar w:fldCharType="begin"/>
          </w:r>
          <w:r>
            <w:instrText xml:space="preserve"> PAGEREF _Toc176189279 \h </w:instrText>
          </w:r>
          <w:r>
            <w:fldChar w:fldCharType="separate"/>
          </w:r>
          <w:r>
            <w:t>24</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"_Toc176189280" </w:instrText>
          </w:r>
          <w:r>
            <w:fldChar w:fldCharType="separate"/>
          </w:r>
          <w:r>
            <w:rPr>
              <w:rStyle w:val="13"/>
              <w:rFonts w:hint="eastAsia" w:ascii="Times New Roman"/>
            </w:rPr>
            <w:t>第三条</w:t>
          </w:r>
          <w:r>
            <w:rPr>
              <w:rStyle w:val="13"/>
              <w:rFonts w:ascii="Times New Roman"/>
            </w:rPr>
            <w:t xml:space="preserve">  </w:t>
          </w:r>
          <w:r>
            <w:rPr>
              <w:rStyle w:val="13"/>
              <w:rFonts w:hint="eastAsia" w:ascii="Times New Roman"/>
            </w:rPr>
            <w:t>理财产品的认购</w:t>
          </w:r>
          <w:r>
            <w:tab/>
          </w:r>
          <w:r>
            <w:fldChar w:fldCharType="begin"/>
          </w:r>
          <w:r>
            <w:instrText xml:space="preserve"> PAGEREF _Toc176189280 \h </w:instrText>
          </w:r>
          <w:r>
            <w:fldChar w:fldCharType="separate"/>
          </w:r>
          <w:r>
            <w:t>31</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"_Toc176189281" </w:instrText>
          </w:r>
          <w:r>
            <w:fldChar w:fldCharType="separate"/>
          </w:r>
          <w:r>
            <w:rPr>
              <w:rStyle w:val="13"/>
              <w:rFonts w:hint="eastAsia" w:ascii="Times New Roman"/>
            </w:rPr>
            <w:t>第四条</w:t>
          </w:r>
          <w:r>
            <w:rPr>
              <w:rStyle w:val="13"/>
              <w:rFonts w:ascii="Times New Roman"/>
            </w:rPr>
            <w:t xml:space="preserve">  </w:t>
          </w:r>
          <w:r>
            <w:rPr>
              <w:rStyle w:val="13"/>
              <w:rFonts w:hint="eastAsia" w:ascii="Times New Roman"/>
            </w:rPr>
            <w:t>理财产品的申购与赎回</w:t>
          </w:r>
          <w:r>
            <w:tab/>
          </w:r>
          <w:r>
            <w:fldChar w:fldCharType="begin"/>
          </w:r>
          <w:r>
            <w:instrText xml:space="preserve"> PAGEREF _Toc176189281 \h </w:instrText>
          </w:r>
          <w:r>
            <w:fldChar w:fldCharType="separate"/>
          </w:r>
          <w:r>
            <w:t>33</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"_Toc176189282" </w:instrText>
          </w:r>
          <w:r>
            <w:fldChar w:fldCharType="separate"/>
          </w:r>
          <w:r>
            <w:rPr>
              <w:rStyle w:val="13"/>
              <w:rFonts w:hint="eastAsia" w:ascii="Times New Roman"/>
            </w:rPr>
            <w:t>第五条</w:t>
          </w:r>
          <w:r>
            <w:rPr>
              <w:rStyle w:val="13"/>
              <w:rFonts w:ascii="Times New Roman"/>
            </w:rPr>
            <w:t xml:space="preserve">  </w:t>
          </w:r>
          <w:r>
            <w:rPr>
              <w:rStyle w:val="13"/>
              <w:rFonts w:hint="eastAsia" w:ascii="Times New Roman"/>
            </w:rPr>
            <w:t>理财产品的投资</w:t>
          </w:r>
          <w:r>
            <w:tab/>
          </w:r>
          <w:r>
            <w:fldChar w:fldCharType="begin"/>
          </w:r>
          <w:r>
            <w:instrText xml:space="preserve"> PAGEREF _Toc176189282 \h </w:instrText>
          </w:r>
          <w:r>
            <w:fldChar w:fldCharType="separate"/>
          </w:r>
          <w:r>
            <w:t>37</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"_Toc176189283" </w:instrText>
          </w:r>
          <w:r>
            <w:fldChar w:fldCharType="separate"/>
          </w:r>
          <w:r>
            <w:rPr>
              <w:rStyle w:val="13"/>
              <w:rFonts w:hint="eastAsia" w:ascii="Times New Roman"/>
            </w:rPr>
            <w:t>第六条</w:t>
          </w:r>
          <w:r>
            <w:rPr>
              <w:rStyle w:val="13"/>
              <w:rFonts w:ascii="Times New Roman"/>
            </w:rPr>
            <w:t xml:space="preserve">  </w:t>
          </w:r>
          <w:r>
            <w:rPr>
              <w:rStyle w:val="13"/>
              <w:rFonts w:hint="eastAsia" w:ascii="Times New Roman"/>
            </w:rPr>
            <w:t>理财产品的资产</w:t>
          </w:r>
          <w:r>
            <w:tab/>
          </w:r>
          <w:r>
            <w:fldChar w:fldCharType="begin"/>
          </w:r>
          <w:r>
            <w:instrText xml:space="preserve"> PAGEREF _Toc176189283 \h </w:instrText>
          </w:r>
          <w:r>
            <w:fldChar w:fldCharType="separate"/>
          </w:r>
          <w:r>
            <w:t>41</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"_Toc176189284" </w:instrText>
          </w:r>
          <w:r>
            <w:fldChar w:fldCharType="separate"/>
          </w:r>
          <w:r>
            <w:rPr>
              <w:rStyle w:val="13"/>
              <w:rFonts w:hint="eastAsia" w:ascii="Times New Roman"/>
            </w:rPr>
            <w:t>第七条</w:t>
          </w:r>
          <w:r>
            <w:rPr>
              <w:rStyle w:val="13"/>
              <w:rFonts w:ascii="Times New Roman"/>
            </w:rPr>
            <w:t xml:space="preserve">  </w:t>
          </w:r>
          <w:r>
            <w:rPr>
              <w:rStyle w:val="13"/>
              <w:rFonts w:hint="eastAsia" w:ascii="Times New Roman"/>
            </w:rPr>
            <w:t>理财产品项下资产的估值</w:t>
          </w:r>
          <w:r>
            <w:tab/>
          </w:r>
          <w:r>
            <w:fldChar w:fldCharType="begin"/>
          </w:r>
          <w:r>
            <w:instrText xml:space="preserve"> PAGEREF _Toc176189284 \h </w:instrText>
          </w:r>
          <w:r>
            <w:fldChar w:fldCharType="separate"/>
          </w:r>
          <w:r>
            <w:t>42</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"_Toc176189285" </w:instrText>
          </w:r>
          <w:r>
            <w:fldChar w:fldCharType="separate"/>
          </w:r>
          <w:r>
            <w:rPr>
              <w:rStyle w:val="13"/>
              <w:rFonts w:hint="eastAsia" w:ascii="Times New Roman"/>
            </w:rPr>
            <w:t>第八条</w:t>
          </w:r>
          <w:r>
            <w:rPr>
              <w:rStyle w:val="13"/>
              <w:rFonts w:ascii="Times New Roman"/>
            </w:rPr>
            <w:t xml:space="preserve">  </w:t>
          </w:r>
          <w:r>
            <w:rPr>
              <w:rStyle w:val="13"/>
              <w:rFonts w:hint="eastAsia" w:ascii="Times New Roman"/>
            </w:rPr>
            <w:t>理财产品的利益分配</w:t>
          </w:r>
          <w:r>
            <w:tab/>
          </w:r>
          <w:r>
            <w:fldChar w:fldCharType="begin"/>
          </w:r>
          <w:r>
            <w:instrText xml:space="preserve"> PAGEREF _Toc176189285 \h </w:instrText>
          </w:r>
          <w:r>
            <w:fldChar w:fldCharType="separate"/>
          </w:r>
          <w:r>
            <w:t>45</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"_Toc176189286" </w:instrText>
          </w:r>
          <w:r>
            <w:fldChar w:fldCharType="separate"/>
          </w:r>
          <w:r>
            <w:rPr>
              <w:rStyle w:val="13"/>
              <w:rFonts w:hint="eastAsia" w:ascii="Times New Roman"/>
            </w:rPr>
            <w:t>第九条</w:t>
          </w:r>
          <w:r>
            <w:rPr>
              <w:rStyle w:val="13"/>
              <w:rFonts w:ascii="Times New Roman"/>
            </w:rPr>
            <w:t xml:space="preserve">  </w:t>
          </w:r>
          <w:r>
            <w:rPr>
              <w:rStyle w:val="13"/>
              <w:rFonts w:hint="eastAsia" w:ascii="Times New Roman"/>
            </w:rPr>
            <w:t>理财产品的费用与税收</w:t>
          </w:r>
          <w:r>
            <w:tab/>
          </w:r>
          <w:r>
            <w:fldChar w:fldCharType="begin"/>
          </w:r>
          <w:r>
            <w:instrText xml:space="preserve"> PAGEREF _Toc176189286 \h </w:instrText>
          </w:r>
          <w:r>
            <w:fldChar w:fldCharType="separate"/>
          </w:r>
          <w:r>
            <w:t>47</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"_Toc176189287" </w:instrText>
          </w:r>
          <w:r>
            <w:fldChar w:fldCharType="separate"/>
          </w:r>
          <w:r>
            <w:rPr>
              <w:rStyle w:val="13"/>
              <w:rFonts w:hint="eastAsia"/>
            </w:rPr>
            <w:t>第十条</w:t>
          </w:r>
          <w:r>
            <w:rPr>
              <w:rStyle w:val="13"/>
            </w:rPr>
            <w:t xml:space="preserve">  </w:t>
          </w:r>
          <w:r>
            <w:rPr>
              <w:rStyle w:val="13"/>
              <w:rFonts w:hint="eastAsia"/>
            </w:rPr>
            <w:t>理财产品的终止与清算</w:t>
          </w:r>
          <w:r>
            <w:tab/>
          </w:r>
          <w:r>
            <w:fldChar w:fldCharType="begin"/>
          </w:r>
          <w:r>
            <w:instrText xml:space="preserve"> PAGEREF _Toc176189287 \h </w:instrText>
          </w:r>
          <w:r>
            <w:fldChar w:fldCharType="separate"/>
          </w:r>
          <w:r>
            <w:t>49</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"_Toc176189288" </w:instrText>
          </w:r>
          <w:r>
            <w:fldChar w:fldCharType="separate"/>
          </w:r>
          <w:r>
            <w:rPr>
              <w:rStyle w:val="13"/>
              <w:rFonts w:hint="eastAsia" w:ascii="Times New Roman"/>
            </w:rPr>
            <w:t>第十一条</w:t>
          </w:r>
          <w:r>
            <w:rPr>
              <w:rStyle w:val="13"/>
              <w:rFonts w:ascii="Times New Roman"/>
            </w:rPr>
            <w:t xml:space="preserve">  </w:t>
          </w:r>
          <w:r>
            <w:rPr>
              <w:rStyle w:val="13"/>
              <w:rFonts w:hint="eastAsia" w:ascii="Times New Roman"/>
            </w:rPr>
            <w:t>理财产品的信息披露</w:t>
          </w:r>
          <w:r>
            <w:tab/>
          </w:r>
          <w:r>
            <w:fldChar w:fldCharType="begin"/>
          </w:r>
          <w:r>
            <w:instrText xml:space="preserve"> PAGEREF _Toc176189288 \h </w:instrText>
          </w:r>
          <w:r>
            <w:fldChar w:fldCharType="separate"/>
          </w:r>
          <w:r>
            <w:t>51</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"_Toc176189289" </w:instrText>
          </w:r>
          <w:r>
            <w:fldChar w:fldCharType="separate"/>
          </w:r>
          <w:r>
            <w:rPr>
              <w:rStyle w:val="13"/>
              <w:rFonts w:hint="eastAsia" w:ascii="Times New Roman"/>
            </w:rPr>
            <w:t>第十二条</w:t>
          </w:r>
          <w:r>
            <w:rPr>
              <w:rStyle w:val="13"/>
              <w:rFonts w:ascii="Times New Roman"/>
            </w:rPr>
            <w:t xml:space="preserve">  </w:t>
          </w:r>
          <w:r>
            <w:rPr>
              <w:rStyle w:val="13"/>
              <w:rFonts w:hint="eastAsia" w:ascii="Times New Roman"/>
            </w:rPr>
            <w:t>理财产品的风险揭示</w:t>
          </w:r>
          <w:r>
            <w:tab/>
          </w:r>
          <w:r>
            <w:fldChar w:fldCharType="begin"/>
          </w:r>
          <w:r>
            <w:instrText xml:space="preserve"> PAGEREF _Toc176189289 \h </w:instrText>
          </w:r>
          <w:r>
            <w:fldChar w:fldCharType="separate"/>
          </w:r>
          <w:r>
            <w:t>53</w:t>
          </w:r>
          <w:r>
            <w:fldChar w:fldCharType="end"/>
          </w:r>
          <w:r>
            <w:fldChar w:fldCharType="end"/>
          </w:r>
        </w:p>
        <w:p>
          <w:pPr>
            <w:spacing w:line="360" w:lineRule="auto"/>
          </w:pPr>
          <w:r>
            <w:fldChar w:fldCharType="end"/>
          </w:r>
        </w:p>
      </w:sdtContent>
    </w:sdt>
    <w:p>
      <w:pPr>
        <w:rPr>
          <w:rFonts w:ascii="Times New Roman"/>
          <w:sz w:val="30"/>
        </w:rPr>
      </w:pPr>
      <w:r>
        <w:rPr>
          <w:rFonts w:ascii="Times New Roman"/>
          <w:sz w:val="30"/>
        </w:rPr>
        <w:br w:type="page"/>
      </w:r>
    </w:p>
    <w:p>
      <w:pPr>
        <w:pStyle w:val="2"/>
        <w:spacing w:before="0" w:after="0" w:line="360" w:lineRule="auto"/>
        <w:jc w:val="center"/>
        <w:rPr>
          <w:rFonts w:ascii="Times New Roman"/>
          <w:sz w:val="30"/>
        </w:rPr>
      </w:pPr>
      <w:bookmarkStart w:id="67" w:name="_Toc6906"/>
      <w:bookmarkStart w:id="68" w:name="_Toc176189278"/>
      <w:r>
        <w:rPr>
          <w:rFonts w:ascii="Times New Roman"/>
          <w:sz w:val="30"/>
        </w:rPr>
        <w:t>第</w:t>
      </w:r>
      <w:r>
        <w:rPr>
          <w:rFonts w:hint="eastAsia" w:ascii="Times New Roman"/>
          <w:sz w:val="30"/>
        </w:rPr>
        <w:t xml:space="preserve">一条 </w:t>
      </w:r>
      <w:r>
        <w:rPr>
          <w:rFonts w:ascii="Times New Roman"/>
          <w:sz w:val="30"/>
        </w:rPr>
        <w:t xml:space="preserve"> 释义</w:t>
      </w:r>
      <w:bookmarkEnd w:id="66"/>
      <w:bookmarkEnd w:id="67"/>
      <w:bookmarkEnd w:id="68"/>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（一）在本产品说明书中，除非上下文另有明确约定，下列用词</w:t>
      </w:r>
      <w:r>
        <w:rPr>
          <w:rFonts w:asciiTheme="majorEastAsia" w:hAnsiTheme="majorEastAsia" w:eastAsiaTheme="majorEastAsia"/>
          <w:bCs/>
          <w:color w:val="auto"/>
          <w:sz w:val="18"/>
          <w:szCs w:val="18"/>
        </w:rPr>
        <w:t>或简称</w:t>
      </w:r>
      <w:r>
        <w:rPr>
          <w:rFonts w:hint="eastAsia" w:asciiTheme="majorEastAsia" w:hAnsiTheme="majorEastAsia" w:eastAsiaTheme="majorEastAsia"/>
          <w:bCs/>
          <w:color w:val="auto"/>
          <w:sz w:val="18"/>
          <w:szCs w:val="18"/>
        </w:rPr>
        <w:t>具有如下含义：</w:t>
      </w:r>
      <w:r>
        <w:rPr>
          <w:rFonts w:asciiTheme="majorEastAsia" w:hAnsiTheme="majorEastAsia" w:eastAsiaTheme="majorEastAsia"/>
          <w:bCs/>
          <w:color w:val="auto"/>
          <w:sz w:val="18"/>
          <w:szCs w:val="18"/>
        </w:rPr>
        <w:t xml:space="preserve"> </w:t>
      </w:r>
    </w:p>
    <w:p>
      <w:pPr>
        <w:pStyle w:val="16"/>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1.</w:t>
      </w:r>
      <w:r>
        <w:rPr>
          <w:rFonts w:hint="eastAsia" w:asciiTheme="majorEastAsia" w:hAnsiTheme="majorEastAsia" w:eastAsiaTheme="majorEastAsia"/>
          <w:b/>
          <w:bCs/>
          <w:color w:val="auto"/>
          <w:sz w:val="18"/>
          <w:szCs w:val="18"/>
        </w:rPr>
        <w:t>参与主体用语</w:t>
      </w:r>
      <w:r>
        <w:rPr>
          <w:rFonts w:asciiTheme="majorEastAsia" w:hAnsiTheme="majorEastAsia" w:eastAsiaTheme="majorEastAsia"/>
          <w:b/>
          <w:bCs/>
          <w:color w:val="auto"/>
          <w:sz w:val="18"/>
          <w:szCs w:val="18"/>
        </w:rPr>
        <w:t xml:space="preserve">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黑体" w:hAnsi="黑体" w:eastAsia="黑体" w:cs="仿宋_GB2312"/>
          <w:bCs/>
          <w:color w:val="auto"/>
          <w:sz w:val="18"/>
          <w:szCs w:val="18"/>
        </w:rPr>
        <w:t>★</w:t>
      </w:r>
      <w:r>
        <w:rPr>
          <w:rFonts w:hint="eastAsia" w:ascii="黑体" w:hAnsi="黑体" w:eastAsia="黑体"/>
          <w:bCs/>
          <w:color w:val="auto"/>
          <w:sz w:val="18"/>
          <w:szCs w:val="18"/>
        </w:rPr>
        <w:t>管理人</w:t>
      </w:r>
      <w:r>
        <w:rPr>
          <w:rFonts w:ascii="黑体" w:hAnsi="黑体" w:eastAsia="黑体"/>
          <w:bCs/>
          <w:color w:val="auto"/>
          <w:sz w:val="18"/>
          <w:szCs w:val="18"/>
        </w:rPr>
        <w:t>/</w:t>
      </w:r>
      <w:r>
        <w:rPr>
          <w:rFonts w:hint="eastAsia" w:ascii="黑体" w:hAnsi="黑体" w:eastAsia="黑体"/>
          <w:bCs/>
          <w:color w:val="auto"/>
          <w:sz w:val="18"/>
          <w:szCs w:val="18"/>
        </w:rPr>
        <w:t>产品管理人/理财产品</w:t>
      </w:r>
      <w:r>
        <w:rPr>
          <w:rFonts w:ascii="黑体" w:hAnsi="黑体" w:eastAsia="黑体"/>
          <w:bCs/>
          <w:color w:val="auto"/>
          <w:sz w:val="18"/>
          <w:szCs w:val="18"/>
        </w:rPr>
        <w:t>管理人</w:t>
      </w:r>
      <w:r>
        <w:rPr>
          <w:rFonts w:hint="eastAsia" w:ascii="黑体" w:hAnsi="黑体" w:eastAsia="黑体"/>
          <w:bCs/>
          <w:color w:val="auto"/>
          <w:sz w:val="18"/>
          <w:szCs w:val="18"/>
        </w:rPr>
        <w:t>：指兴银理财有限责任公司（以下简称</w:t>
      </w:r>
      <w:r>
        <w:rPr>
          <w:rFonts w:ascii="黑体" w:hAnsi="黑体" w:eastAsia="黑体"/>
          <w:bCs/>
          <w:color w:val="auto"/>
          <w:sz w:val="18"/>
          <w:szCs w:val="18"/>
        </w:rPr>
        <w:t>“</w:t>
      </w:r>
      <w:r>
        <w:rPr>
          <w:rFonts w:hint="eastAsia" w:ascii="黑体" w:hAnsi="黑体" w:eastAsia="黑体"/>
          <w:bCs/>
          <w:color w:val="auto"/>
          <w:sz w:val="18"/>
          <w:szCs w:val="18"/>
        </w:rPr>
        <w:t>兴银理财</w:t>
      </w:r>
      <w:r>
        <w:rPr>
          <w:rFonts w:ascii="黑体" w:hAnsi="黑体" w:eastAsia="黑体"/>
          <w:bCs/>
          <w:color w:val="auto"/>
          <w:sz w:val="18"/>
          <w:szCs w:val="18"/>
        </w:rPr>
        <w:t>”</w:t>
      </w:r>
      <w:r>
        <w:rPr>
          <w:rFonts w:hint="eastAsia" w:ascii="黑体" w:hAnsi="黑体" w:eastAsia="黑体"/>
          <w:bCs/>
          <w:color w:val="auto"/>
          <w:sz w:val="18"/>
          <w:szCs w:val="18"/>
        </w:rPr>
        <w:t>）。</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托管人</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托管人/理财产品</w:t>
      </w:r>
      <w:r>
        <w:rPr>
          <w:rFonts w:asciiTheme="majorEastAsia" w:hAnsiTheme="majorEastAsia" w:eastAsiaTheme="majorEastAsia"/>
          <w:bCs/>
          <w:color w:val="auto"/>
          <w:sz w:val="18"/>
          <w:szCs w:val="18"/>
        </w:rPr>
        <w:t>托管人</w:t>
      </w:r>
      <w:r>
        <w:rPr>
          <w:rFonts w:hint="eastAsia" w:asciiTheme="majorEastAsia" w:hAnsiTheme="majorEastAsia" w:eastAsiaTheme="majorEastAsia"/>
          <w:bCs/>
          <w:color w:val="auto"/>
          <w:sz w:val="18"/>
          <w:szCs w:val="18"/>
        </w:rPr>
        <w:t>：指兴业银行股份有限公司（以下简称</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）。兴业银行成立于</w:t>
      </w:r>
      <w:r>
        <w:rPr>
          <w:rFonts w:asciiTheme="majorEastAsia" w:hAnsiTheme="majorEastAsia" w:eastAsiaTheme="majorEastAsia"/>
          <w:bCs/>
          <w:color w:val="auto"/>
          <w:sz w:val="18"/>
          <w:szCs w:val="18"/>
        </w:rPr>
        <w:t>1988年，于2005年开展资产托管业务，具备理财产品托管资格。</w:t>
      </w:r>
      <w:r>
        <w:rPr>
          <w:rFonts w:hint="eastAsia" w:asciiTheme="majorEastAsia" w:hAnsiTheme="majorEastAsia" w:eastAsiaTheme="majorEastAsia"/>
          <w:bCs/>
          <w:color w:val="auto"/>
          <w:sz w:val="18"/>
          <w:szCs w:val="18"/>
        </w:rPr>
        <w:t>托管人负责履行安全保管理财产品资金及其所投资的资产，办理清算、交割事宜，与管理人对账，监督理财产品投资运作等职责。</w:t>
      </w:r>
      <w:r>
        <w:rPr>
          <w:rFonts w:asciiTheme="majorEastAsia" w:hAnsiTheme="majorEastAsia" w:eastAsiaTheme="majorEastAsia"/>
          <w:bCs/>
          <w:color w:val="auto"/>
          <w:sz w:val="18"/>
          <w:szCs w:val="18"/>
        </w:rPr>
        <w:t xml:space="preserve">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w:t>
      </w:r>
      <w:r>
        <w:rPr>
          <w:rFonts w:hint="eastAsia" w:ascii="黑体" w:hAnsi="黑体" w:eastAsia="黑体"/>
          <w:bCs/>
          <w:color w:val="auto"/>
          <w:sz w:val="18"/>
          <w:szCs w:val="18"/>
        </w:rPr>
        <w:t>★销售机构：</w:t>
      </w:r>
      <w:r>
        <w:rPr>
          <w:rFonts w:hint="eastAsia" w:asciiTheme="majorEastAsia" w:hAnsiTheme="majorEastAsia" w:eastAsiaTheme="majorEastAsia"/>
          <w:bCs/>
          <w:sz w:val="18"/>
          <w:szCs w:val="18"/>
        </w:rPr>
        <w:t>指具备理财产品</w:t>
      </w:r>
      <w:r>
        <w:rPr>
          <w:rFonts w:asciiTheme="majorEastAsia" w:hAnsiTheme="majorEastAsia" w:eastAsiaTheme="majorEastAsia"/>
          <w:bCs/>
          <w:sz w:val="18"/>
          <w:szCs w:val="18"/>
        </w:rPr>
        <w:t>销售</w:t>
      </w:r>
      <w:r>
        <w:rPr>
          <w:rFonts w:hint="eastAsia" w:asciiTheme="majorEastAsia" w:hAnsiTheme="majorEastAsia" w:eastAsiaTheme="majorEastAsia"/>
          <w:bCs/>
          <w:sz w:val="18"/>
          <w:szCs w:val="18"/>
        </w:rPr>
        <w:t>资格</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机构。按是否销售本公司发行的理财产品，销售机构可分为</w:t>
      </w:r>
      <w:r>
        <w:rPr>
          <w:rFonts w:hint="eastAsia" w:asciiTheme="majorEastAsia" w:hAnsiTheme="majorEastAsia" w:eastAsiaTheme="majorEastAsia"/>
          <w:bCs/>
          <w:color w:val="auto"/>
          <w:sz w:val="18"/>
          <w:szCs w:val="18"/>
        </w:rPr>
        <w:t>直销机构和代销机构，其中：直销机构指销售本公司发行理财产品的理财公司，代销机构指接受理财公司委托销售理财产品的代理销售机构。销售机构在其渠道开展向投资者宣传推介、销售产品管理人依法发行的资产管理产品的活动。</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“销售”是指面向投资者开展的以下部分或全部业务活动：</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）以展示、介绍、比较单只或多只理财产品部分或全部特征信息并直接或间接提供认购、申购、赎回服务等方式宣传推介理财产品；</w:t>
      </w:r>
      <w:r>
        <w:rPr>
          <w:rFonts w:asciiTheme="majorEastAsia" w:hAnsiTheme="majorEastAsia" w:eastAsiaTheme="majorEastAsia"/>
          <w:bCs/>
          <w:color w:val="auto"/>
          <w:sz w:val="18"/>
          <w:szCs w:val="18"/>
        </w:rPr>
        <w:t>2）提供单只或多只理财产品投资建议；3）为投资者办理理财产品认购、申购和赎回；4）</w:t>
      </w:r>
      <w:r>
        <w:rPr>
          <w:rFonts w:hint="eastAsia" w:asciiTheme="majorEastAsia" w:hAnsiTheme="majorEastAsia" w:eastAsiaTheme="majorEastAsia"/>
          <w:bCs/>
          <w:color w:val="auto"/>
          <w:sz w:val="18"/>
          <w:szCs w:val="18"/>
        </w:rPr>
        <w:t>监管部门</w:t>
      </w:r>
      <w:r>
        <w:rPr>
          <w:rFonts w:asciiTheme="majorEastAsia" w:hAnsiTheme="majorEastAsia" w:eastAsiaTheme="majorEastAsia"/>
          <w:bCs/>
          <w:color w:val="auto"/>
          <w:sz w:val="18"/>
          <w:szCs w:val="18"/>
        </w:rPr>
        <w:t>认定的其他业务活动。各</w:t>
      </w:r>
      <w:r>
        <w:rPr>
          <w:rFonts w:hint="eastAsia" w:asciiTheme="majorEastAsia" w:hAnsiTheme="majorEastAsia" w:eastAsiaTheme="majorEastAsia"/>
          <w:bCs/>
          <w:color w:val="auto"/>
          <w:sz w:val="18"/>
          <w:szCs w:val="18"/>
        </w:rPr>
        <w:t>销售机构的具体名单见产品管理人届时发布的相关公告及相关《（代理）销售协议书》中的约定。</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投资者：指符合相关法律法规、监管规定要求的，可以购买理财产品份额的自然人、法人或者依法成立的其他组织。</w:t>
      </w:r>
      <w:r>
        <w:rPr>
          <w:rFonts w:asciiTheme="majorEastAsia" w:hAnsiTheme="majorEastAsia" w:eastAsiaTheme="majorEastAsia"/>
          <w:bCs/>
          <w:sz w:val="18"/>
          <w:szCs w:val="18"/>
        </w:rPr>
        <w:t xml:space="preserve"> </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（5）合格投资者：合格投资者是指具备相应风险识别能力和风险承受能力，投资于单只理财产品不低于一定金额且符合下列条件的自然人、法人或者依法成立的其他组织：</w:t>
      </w:r>
    </w:p>
    <w:p>
      <w:pPr>
        <w:pStyle w:val="16"/>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具有</w:t>
      </w:r>
      <w:r>
        <w:rPr>
          <w:rFonts w:asciiTheme="majorEastAsia" w:hAnsiTheme="majorEastAsia" w:eastAsiaTheme="majorEastAsia"/>
          <w:bCs/>
          <w:sz w:val="18"/>
          <w:szCs w:val="18"/>
        </w:rPr>
        <w:t>2年以上投资经历，且满足家庭金融净资产不低于300万元人民币，或者家庭金融资产不低于500万元人民币，或者近3年本人年均收入不低于40万元人民币；</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2）最近</w:t>
      </w:r>
      <w:r>
        <w:rPr>
          <w:rFonts w:asciiTheme="majorEastAsia" w:hAnsiTheme="majorEastAsia" w:eastAsiaTheme="majorEastAsia"/>
          <w:bCs/>
          <w:sz w:val="18"/>
          <w:szCs w:val="18"/>
        </w:rPr>
        <w:t>1年末净资产不低于1000万元人民币的法人或者依法成立的其他组织；</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3）国务院银行业监督管理机构规定的其他情形。</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（6）全国银行业理财信息登记系统：指供商业银行及商业银行理财公司进行理财产品电子化报告和信息登记的电子信息系统。</w:t>
      </w:r>
    </w:p>
    <w:p>
      <w:pPr>
        <w:pStyle w:val="16"/>
        <w:spacing w:line="360" w:lineRule="auto"/>
        <w:ind w:firstLine="361" w:firstLineChars="200"/>
        <w:rPr>
          <w:rFonts w:asciiTheme="majorEastAsia" w:hAnsiTheme="majorEastAsia" w:eastAsiaTheme="majorEastAsia"/>
          <w:bCs/>
          <w:color w:val="auto"/>
          <w:sz w:val="18"/>
          <w:szCs w:val="18"/>
        </w:rPr>
      </w:pPr>
      <w:r>
        <w:rPr>
          <w:rFonts w:asciiTheme="majorEastAsia" w:hAnsiTheme="majorEastAsia" w:eastAsiaTheme="majorEastAsia"/>
          <w:b/>
          <w:bCs/>
          <w:color w:val="auto"/>
          <w:sz w:val="18"/>
          <w:szCs w:val="18"/>
        </w:rPr>
        <w:t xml:space="preserve">2. </w:t>
      </w:r>
      <w:r>
        <w:rPr>
          <w:rFonts w:hint="eastAsia" w:asciiTheme="majorEastAsia" w:hAnsiTheme="majorEastAsia" w:eastAsiaTheme="majorEastAsia"/>
          <w:b/>
          <w:bCs/>
          <w:color w:val="auto"/>
          <w:sz w:val="18"/>
          <w:szCs w:val="18"/>
        </w:rPr>
        <w:t>法律文件用语</w:t>
      </w:r>
      <w:r>
        <w:rPr>
          <w:rFonts w:asciiTheme="majorEastAsia" w:hAnsiTheme="majorEastAsia" w:eastAsiaTheme="majorEastAsia"/>
          <w:b/>
          <w:bCs/>
          <w:color w:val="auto"/>
          <w:sz w:val="18"/>
          <w:szCs w:val="18"/>
        </w:rPr>
        <w:t xml:space="preserve"> </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理财产品销售文件</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：指产品管理人向投资者提供的，用于描述产品特征，约定权利义务的文件。具体指《兴银理财【添利】理财产品销售文件》，包括《投资协议书》《产品说明书》《（代理）销售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》《风险揭示书》《投资者权益须知》以及对该文件的有效修改或补充。上述文件共同构成一份完整且不可分割的理财产品销售文件。经</w:t>
      </w:r>
      <w:r>
        <w:rPr>
          <w:rFonts w:asciiTheme="majorEastAsia" w:hAnsiTheme="majorEastAsia" w:eastAsiaTheme="majorEastAsia"/>
          <w:bCs/>
          <w:sz w:val="18"/>
          <w:szCs w:val="18"/>
        </w:rPr>
        <w:t>产品</w:t>
      </w:r>
      <w:r>
        <w:rPr>
          <w:rFonts w:hint="eastAsia" w:asciiTheme="majorEastAsia" w:hAnsiTheme="majorEastAsia" w:eastAsiaTheme="majorEastAsia"/>
          <w:bCs/>
          <w:sz w:val="18"/>
          <w:szCs w:val="18"/>
        </w:rPr>
        <w:t>管理人</w:t>
      </w:r>
      <w:r>
        <w:rPr>
          <w:rFonts w:asciiTheme="majorEastAsia" w:hAnsiTheme="majorEastAsia" w:eastAsiaTheme="majorEastAsia"/>
          <w:bCs/>
          <w:sz w:val="18"/>
          <w:szCs w:val="18"/>
        </w:rPr>
        <w:t>委托，代理销售机构可以编制</w:t>
      </w:r>
      <w:r>
        <w:rPr>
          <w:rFonts w:hint="eastAsia" w:asciiTheme="majorEastAsia" w:hAnsiTheme="majorEastAsia" w:eastAsiaTheme="majorEastAsia"/>
          <w:bCs/>
          <w:sz w:val="18"/>
          <w:szCs w:val="18"/>
        </w:rPr>
        <w:t>《（代理）销售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《投资协议书》：指管理人统一编制的《兴银理财【添利】理财产品投资协议书》，以及对该文件的有效修改或补充。</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）《产品说明书》：指管理人统一编制的《兴银理财【添利】理财产品产品说明书》，以及对该文件的有效修改或补充。</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（4）《（代理）销售协议书》：指管理人统一编制的《兴银理财【添利】理财产品（代理）销售协议书》或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的《兴银理财【添利】理财产品（代理）销售协议书》（文件名称以代理销售机构实际编制为准），以及对该文件的有效修改或补充。</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）《风险揭示书》：指管理人统一编制的《兴银理财【添利】理财产品风险揭示书》或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的《兴银理财【添利】理财产品风险揭示书》（文件名称以代理销售机构实际编制为准），以及对该文件的有效修改或补充。</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）《投资者权益须知》：指管理人统一编制的《兴银理财【添利】理财产品投资者权益须知》或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自行编制</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《兴银理财【添利】理财产品投资者权益须知》（文件名称以代理销售机构实际编制为准），以及对该文件的有效修改或补充。</w:t>
      </w:r>
    </w:p>
    <w:p>
      <w:pPr>
        <w:pStyle w:val="16"/>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3. </w:t>
      </w:r>
      <w:r>
        <w:rPr>
          <w:rFonts w:hint="eastAsia" w:asciiTheme="majorEastAsia" w:hAnsiTheme="majorEastAsia" w:eastAsiaTheme="majorEastAsia"/>
          <w:b/>
          <w:bCs/>
          <w:color w:val="auto"/>
          <w:sz w:val="18"/>
          <w:szCs w:val="18"/>
        </w:rPr>
        <w:t>理财产品用语</w:t>
      </w:r>
      <w:r>
        <w:rPr>
          <w:rFonts w:asciiTheme="majorEastAsia" w:hAnsiTheme="majorEastAsia" w:eastAsiaTheme="majorEastAsia"/>
          <w:b/>
          <w:bCs/>
          <w:color w:val="auto"/>
          <w:sz w:val="18"/>
          <w:szCs w:val="18"/>
        </w:rPr>
        <w:t xml:space="preserve">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1）理财产品登记编码：指本款理财产品</w:t>
      </w:r>
      <w:r>
        <w:rPr>
          <w:rFonts w:hint="eastAsia" w:asciiTheme="majorEastAsia" w:hAnsiTheme="majorEastAsia" w:eastAsiaTheme="majorEastAsia"/>
          <w:bCs/>
          <w:color w:val="auto"/>
          <w:sz w:val="18"/>
          <w:szCs w:val="18"/>
        </w:rPr>
        <w:t>在全国银行业理财信息登记系统</w:t>
      </w:r>
      <w:r>
        <w:rPr>
          <w:rFonts w:asciiTheme="majorEastAsia" w:hAnsiTheme="majorEastAsia" w:eastAsiaTheme="majorEastAsia"/>
          <w:bCs/>
          <w:color w:val="auto"/>
          <w:sz w:val="18"/>
          <w:szCs w:val="18"/>
        </w:rPr>
        <w:t>对理财产品进行信息登记后</w:t>
      </w:r>
      <w:r>
        <w:rPr>
          <w:rFonts w:hint="eastAsia" w:asciiTheme="majorEastAsia" w:hAnsiTheme="majorEastAsia" w:eastAsiaTheme="majorEastAsia"/>
          <w:bCs/>
          <w:color w:val="auto"/>
          <w:sz w:val="18"/>
          <w:szCs w:val="18"/>
        </w:rPr>
        <w:t>，由全国银行业理财信息登记系统发放的唯一性的理财产品编码。投资者可依据登记编码在中国理财网（w</w:t>
      </w:r>
      <w:r>
        <w:rPr>
          <w:rFonts w:asciiTheme="majorEastAsia" w:hAnsiTheme="majorEastAsia" w:eastAsiaTheme="majorEastAsia"/>
          <w:bCs/>
          <w:color w:val="auto"/>
          <w:sz w:val="18"/>
          <w:szCs w:val="18"/>
        </w:rPr>
        <w:t>ww.chinawealth.com.cn</w:t>
      </w:r>
      <w:r>
        <w:rPr>
          <w:rFonts w:hint="eastAsia" w:asciiTheme="majorEastAsia" w:hAnsiTheme="majorEastAsia" w:eastAsiaTheme="majorEastAsia"/>
          <w:bCs/>
          <w:color w:val="auto"/>
          <w:sz w:val="18"/>
          <w:szCs w:val="18"/>
        </w:rPr>
        <w:t>）查询产品信息。</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2）理财</w:t>
      </w:r>
      <w:r>
        <w:rPr>
          <w:rFonts w:hint="eastAsia" w:asciiTheme="majorEastAsia" w:hAnsiTheme="majorEastAsia" w:eastAsiaTheme="majorEastAsia"/>
          <w:bCs/>
          <w:color w:val="auto"/>
          <w:sz w:val="18"/>
          <w:szCs w:val="18"/>
        </w:rPr>
        <w:t>产品代码</w:t>
      </w:r>
      <w:r>
        <w:rPr>
          <w:rFonts w:asciiTheme="majorEastAsia" w:hAnsiTheme="majorEastAsia" w:eastAsiaTheme="majorEastAsia"/>
          <w:bCs/>
          <w:color w:val="auto"/>
          <w:sz w:val="18"/>
          <w:szCs w:val="18"/>
        </w:rPr>
        <w:t>/产品代码</w:t>
      </w:r>
      <w:r>
        <w:rPr>
          <w:rFonts w:hint="eastAsia" w:asciiTheme="majorEastAsia" w:hAnsiTheme="majorEastAsia" w:eastAsiaTheme="majorEastAsia"/>
          <w:bCs/>
          <w:color w:val="auto"/>
          <w:sz w:val="18"/>
          <w:szCs w:val="18"/>
        </w:rPr>
        <w:t>：指产品管理人在全国银行业理财信息登记系统中为理财产品设置的内部识别码。</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（3）理财产品销售代码/销售代码</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指本款理财产品若设置不同</w:t>
      </w:r>
      <w:r>
        <w:rPr>
          <w:rFonts w:asciiTheme="majorEastAsia" w:hAnsiTheme="majorEastAsia" w:eastAsiaTheme="majorEastAsia"/>
          <w:bCs/>
          <w:color w:val="auto"/>
          <w:sz w:val="18"/>
          <w:szCs w:val="18"/>
        </w:rPr>
        <w:t>产品份额类别</w:t>
      </w:r>
      <w:r>
        <w:rPr>
          <w:rFonts w:hint="eastAsia" w:asciiTheme="majorEastAsia" w:hAnsiTheme="majorEastAsia" w:eastAsiaTheme="majorEastAsia"/>
          <w:bCs/>
          <w:color w:val="auto"/>
          <w:sz w:val="18"/>
          <w:szCs w:val="18"/>
        </w:rPr>
        <w:t>，为在理财产品销售管理</w:t>
      </w:r>
      <w:r>
        <w:rPr>
          <w:rFonts w:asciiTheme="majorEastAsia" w:hAnsiTheme="majorEastAsia" w:eastAsiaTheme="majorEastAsia"/>
          <w:bCs/>
          <w:color w:val="auto"/>
          <w:sz w:val="18"/>
          <w:szCs w:val="18"/>
        </w:rPr>
        <w:t>过程中</w:t>
      </w:r>
      <w:r>
        <w:rPr>
          <w:rFonts w:hint="eastAsia" w:asciiTheme="majorEastAsia" w:hAnsiTheme="majorEastAsia" w:eastAsiaTheme="majorEastAsia"/>
          <w:bCs/>
          <w:color w:val="auto"/>
          <w:sz w:val="18"/>
          <w:szCs w:val="18"/>
        </w:rPr>
        <w:t>区分不同产品份额类别，管理人</w:t>
      </w:r>
      <w:r>
        <w:rPr>
          <w:rFonts w:asciiTheme="majorEastAsia" w:hAnsiTheme="majorEastAsia" w:eastAsiaTheme="majorEastAsia"/>
          <w:bCs/>
          <w:color w:val="auto"/>
          <w:sz w:val="18"/>
          <w:szCs w:val="18"/>
        </w:rPr>
        <w:t>在同一</w:t>
      </w:r>
      <w:r>
        <w:rPr>
          <w:rFonts w:hint="eastAsia" w:asciiTheme="majorEastAsia" w:hAnsiTheme="majorEastAsia" w:eastAsiaTheme="majorEastAsia"/>
          <w:bCs/>
          <w:color w:val="auto"/>
          <w:sz w:val="18"/>
          <w:szCs w:val="18"/>
        </w:rPr>
        <w:t>理财</w:t>
      </w:r>
      <w:r>
        <w:rPr>
          <w:rFonts w:asciiTheme="majorEastAsia" w:hAnsiTheme="majorEastAsia" w:eastAsiaTheme="majorEastAsia"/>
          <w:bCs/>
          <w:color w:val="auto"/>
          <w:sz w:val="18"/>
          <w:szCs w:val="18"/>
        </w:rPr>
        <w:t>产品代码项下</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w:t>
      </w:r>
      <w:r>
        <w:rPr>
          <w:rFonts w:hint="eastAsia" w:asciiTheme="majorEastAsia" w:hAnsiTheme="majorEastAsia" w:eastAsiaTheme="majorEastAsia"/>
          <w:bCs/>
          <w:color w:val="auto"/>
          <w:sz w:val="18"/>
          <w:szCs w:val="18"/>
        </w:rPr>
        <w:t>每</w:t>
      </w:r>
      <w:r>
        <w:rPr>
          <w:rFonts w:asciiTheme="majorEastAsia" w:hAnsiTheme="majorEastAsia" w:eastAsiaTheme="majorEastAsia"/>
          <w:bCs/>
          <w:color w:val="auto"/>
          <w:sz w:val="18"/>
          <w:szCs w:val="18"/>
        </w:rPr>
        <w:t>类份额类别设置的</w:t>
      </w:r>
      <w:r>
        <w:rPr>
          <w:rFonts w:hint="eastAsia" w:asciiTheme="majorEastAsia" w:hAnsiTheme="majorEastAsia" w:eastAsiaTheme="majorEastAsia"/>
          <w:bCs/>
          <w:color w:val="auto"/>
          <w:sz w:val="18"/>
          <w:szCs w:val="18"/>
        </w:rPr>
        <w:t>唯一性内部识别码。若本款理财产品不设置差异化产品份额类别，理财产品代码即为理财产品销售代码。</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（4）理财产品风险等级：理财产品风险等级为产品管理人和销售机构经过审慎评估后确定的产品风险等级。</w:t>
      </w:r>
      <w:r>
        <w:rPr>
          <w:rFonts w:hint="eastAsia" w:asciiTheme="majorEastAsia" w:hAnsiTheme="majorEastAsia" w:eastAsiaTheme="majorEastAsia"/>
          <w:bCs/>
          <w:sz w:val="18"/>
          <w:szCs w:val="18"/>
        </w:rPr>
        <w:t>若理财产品通过代理销售机构销售的，理财产品评级以代理销售机构最终披露的评级结果为准。产品管理人和代理销售机构对理财产品的风险等级评估结果不一致时，代理销售机构应采用对应较高风险的评级结果。</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（5）投资者风险承受能力评估：指销售机构对理财投资者的风险承受能力进行评价的过程。</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6</w:t>
      </w:r>
      <w:r>
        <w:rPr>
          <w:rFonts w:hint="eastAsia" w:asciiTheme="majorEastAsia" w:hAnsiTheme="majorEastAsia" w:eastAsiaTheme="majorEastAsia"/>
          <w:bCs/>
          <w:color w:val="auto"/>
          <w:sz w:val="18"/>
          <w:szCs w:val="18"/>
        </w:rPr>
        <w:t>）适合投资者：指适合购买理财产品的投资者类型。</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7</w:t>
      </w:r>
      <w:r>
        <w:rPr>
          <w:rFonts w:hint="eastAsia" w:asciiTheme="majorEastAsia" w:hAnsiTheme="majorEastAsia" w:eastAsiaTheme="majorEastAsia"/>
          <w:bCs/>
          <w:color w:val="auto"/>
          <w:sz w:val="18"/>
          <w:szCs w:val="18"/>
        </w:rPr>
        <w:t>）理财产品份额/产品份额/理财份额：指投资者持有本理财产品的单位数额。投资者基于其所持有的理财产品单位数额享有理财产品利益、承担理财产品风险。理财</w:t>
      </w:r>
      <w:r>
        <w:rPr>
          <w:rFonts w:asciiTheme="majorEastAsia" w:hAnsiTheme="majorEastAsia" w:eastAsiaTheme="majorEastAsia"/>
          <w:bCs/>
          <w:color w:val="auto"/>
          <w:sz w:val="18"/>
          <w:szCs w:val="18"/>
        </w:rPr>
        <w:t>产品份额四舍五入保留2位小数</w:t>
      </w:r>
      <w:r>
        <w:rPr>
          <w:rFonts w:hint="eastAsia" w:asciiTheme="majorEastAsia" w:hAnsiTheme="majorEastAsia" w:eastAsiaTheme="majorEastAsia"/>
          <w:bCs/>
          <w:color w:val="auto"/>
          <w:sz w:val="18"/>
          <w:szCs w:val="18"/>
        </w:rPr>
        <w:t>。</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8</w:t>
      </w:r>
      <w:r>
        <w:rPr>
          <w:rFonts w:hint="eastAsia" w:asciiTheme="majorEastAsia" w:hAnsiTheme="majorEastAsia" w:eastAsiaTheme="majorEastAsia"/>
          <w:bCs/>
          <w:color w:val="auto"/>
          <w:sz w:val="18"/>
          <w:szCs w:val="18"/>
        </w:rPr>
        <w:t>）</w:t>
      </w:r>
      <w:r>
        <w:rPr>
          <w:rFonts w:hint="eastAsia" w:hAnsi="宋体"/>
          <w:color w:val="auto"/>
          <w:sz w:val="18"/>
          <w:szCs w:val="18"/>
        </w:rPr>
        <w:t>理财产品资产净值/理财资产净值/产品资产净值</w:t>
      </w:r>
      <w:r>
        <w:rPr>
          <w:rFonts w:hint="eastAsia" w:asciiTheme="majorEastAsia" w:hAnsiTheme="majorEastAsia" w:eastAsiaTheme="majorEastAsia"/>
          <w:bCs/>
          <w:color w:val="auto"/>
          <w:sz w:val="18"/>
          <w:szCs w:val="18"/>
        </w:rPr>
        <w:t>：理财产品资产净值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产品资产总值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产品负债总值。</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理财产品资产总值是指理财产品拥有的各类有价证券、银行存款、应收款项及其他资产的价值总和。</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负债总值是指理财产品运作及融资时形成的负债价值总和，包括融资资金本息、应付各项费用（包括托管费、销售服务费、固定管理费、计入负债的业绩报酬、其他费用等）、应付税金及其他应付款项等。</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）理财产品份额净值/理财份额净值/产品份额净值：指理财产品份额的单位净值，即每</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份理财产品份额以人民币计价的价格。理财产品份额净值</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理财资产净值</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总</w:t>
      </w:r>
      <w:r>
        <w:rPr>
          <w:rFonts w:asciiTheme="majorEastAsia" w:hAnsiTheme="majorEastAsia" w:eastAsiaTheme="majorEastAsia"/>
          <w:bCs/>
          <w:color w:val="auto"/>
          <w:sz w:val="18"/>
          <w:szCs w:val="18"/>
        </w:rPr>
        <w:t>份额</w:t>
      </w:r>
      <w:r>
        <w:rPr>
          <w:rFonts w:hint="eastAsia" w:asciiTheme="majorEastAsia" w:hAnsiTheme="majorEastAsia" w:eastAsiaTheme="majorEastAsia"/>
          <w:bCs/>
          <w:color w:val="auto"/>
          <w:sz w:val="18"/>
          <w:szCs w:val="18"/>
        </w:rPr>
        <w:t>。投资者按该份额净值进行理财产品申购、赎回和终止时分配。理财</w:t>
      </w:r>
      <w:r>
        <w:rPr>
          <w:rFonts w:asciiTheme="majorEastAsia" w:hAnsiTheme="majorEastAsia" w:eastAsiaTheme="majorEastAsia"/>
          <w:bCs/>
          <w:color w:val="auto"/>
          <w:sz w:val="18"/>
          <w:szCs w:val="18"/>
        </w:rPr>
        <w:t>产品份额净值四舍五入保留5位小数。</w:t>
      </w:r>
    </w:p>
    <w:p>
      <w:pPr>
        <w:pStyle w:val="16"/>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理财产品份额净值</w:t>
      </w:r>
      <w:r>
        <w:rPr>
          <w:rFonts w:hint="eastAsia" w:asciiTheme="majorEastAsia" w:hAnsiTheme="majorEastAsia" w:eastAsiaTheme="majorEastAsia"/>
          <w:bCs/>
          <w:color w:val="auto"/>
          <w:sz w:val="18"/>
          <w:szCs w:val="18"/>
        </w:rPr>
        <w:t>可以展示为</w:t>
      </w:r>
      <w:r>
        <w:rPr>
          <w:rFonts w:asciiTheme="majorEastAsia" w:hAnsiTheme="majorEastAsia" w:eastAsiaTheme="majorEastAsia"/>
          <w:bCs/>
          <w:color w:val="auto"/>
          <w:sz w:val="18"/>
          <w:szCs w:val="18"/>
        </w:rPr>
        <w:t>当前理财产品份额净值</w:t>
      </w:r>
      <w:r>
        <w:rPr>
          <w:rFonts w:hint="eastAsia" w:asciiTheme="majorEastAsia" w:hAnsiTheme="majorEastAsia" w:eastAsiaTheme="majorEastAsia"/>
          <w:bCs/>
          <w:color w:val="auto"/>
          <w:sz w:val="18"/>
          <w:szCs w:val="18"/>
        </w:rPr>
        <w:t>和累计理财产品份额净值。</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当前理财产品份额净值，指</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当前</w:t>
      </w:r>
      <w:r>
        <w:rPr>
          <w:rFonts w:asciiTheme="majorEastAsia" w:hAnsiTheme="majorEastAsia" w:eastAsiaTheme="majorEastAsia"/>
          <w:bCs/>
          <w:color w:val="auto"/>
          <w:sz w:val="18"/>
          <w:szCs w:val="18"/>
        </w:rPr>
        <w:t>的</w:t>
      </w:r>
      <w:r>
        <w:rPr>
          <w:rFonts w:hint="eastAsia" w:asciiTheme="majorEastAsia" w:hAnsiTheme="majorEastAsia" w:eastAsiaTheme="majorEastAsia"/>
          <w:bCs/>
          <w:color w:val="auto"/>
          <w:sz w:val="18"/>
          <w:szCs w:val="18"/>
        </w:rPr>
        <w:t>份额净值。</w:t>
      </w:r>
    </w:p>
    <w:p>
      <w:pPr>
        <w:pStyle w:val="16"/>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累计理财产品份额净值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指产品当前份额净值及产品成立到现在</w:t>
      </w:r>
      <w:r>
        <w:rPr>
          <w:rFonts w:hint="eastAsia" w:asciiTheme="majorEastAsia" w:hAnsiTheme="majorEastAsia" w:eastAsiaTheme="majorEastAsia"/>
          <w:bCs/>
          <w:color w:val="auto"/>
          <w:sz w:val="18"/>
          <w:szCs w:val="18"/>
        </w:rPr>
        <w:t>单位</w:t>
      </w:r>
      <w:r>
        <w:rPr>
          <w:rFonts w:asciiTheme="majorEastAsia" w:hAnsiTheme="majorEastAsia" w:eastAsiaTheme="majorEastAsia"/>
          <w:bCs/>
          <w:color w:val="auto"/>
          <w:sz w:val="18"/>
          <w:szCs w:val="18"/>
        </w:rPr>
        <w:t>理财产品</w:t>
      </w:r>
      <w:r>
        <w:rPr>
          <w:rFonts w:hint="eastAsia" w:asciiTheme="majorEastAsia" w:hAnsiTheme="majorEastAsia" w:eastAsiaTheme="majorEastAsia"/>
          <w:bCs/>
          <w:color w:val="auto"/>
          <w:sz w:val="18"/>
          <w:szCs w:val="18"/>
        </w:rPr>
        <w:t>份额</w:t>
      </w:r>
      <w:r>
        <w:rPr>
          <w:rFonts w:asciiTheme="majorEastAsia" w:hAnsiTheme="majorEastAsia" w:eastAsiaTheme="majorEastAsia"/>
          <w:bCs/>
          <w:color w:val="auto"/>
          <w:sz w:val="18"/>
          <w:szCs w:val="18"/>
        </w:rPr>
        <w:t>分红之和</w:t>
      </w:r>
      <w:r>
        <w:rPr>
          <w:rFonts w:hint="eastAsia" w:asciiTheme="majorEastAsia" w:hAnsiTheme="majorEastAsia" w:eastAsiaTheme="majorEastAsia"/>
          <w:bCs/>
          <w:color w:val="auto"/>
          <w:sz w:val="18"/>
          <w:szCs w:val="18"/>
        </w:rPr>
        <w:t>。</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（注：若无特别说明，理财产品份额净值通常指当前理财产品份额净值）</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（10）理财产品估值：指计算评估理财产品资产和理财产品负债的价值，以确定理财产品份额净值、每万份理财产品收益和7日年化收益率的过程。</w:t>
      </w:r>
    </w:p>
    <w:p>
      <w:pPr>
        <w:pStyle w:val="16"/>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1）</w:t>
      </w:r>
      <w:r>
        <w:rPr>
          <w:rFonts w:hint="eastAsia" w:ascii="黑体" w:hAnsi="黑体" w:eastAsia="黑体"/>
          <w:bCs/>
          <w:color w:val="auto"/>
          <w:sz w:val="18"/>
          <w:szCs w:val="18"/>
        </w:rPr>
        <w:t>★业绩比较基准：</w:t>
      </w:r>
      <w:r>
        <w:rPr>
          <w:rFonts w:hint="eastAsia" w:asciiTheme="majorEastAsia" w:hAnsiTheme="majorEastAsia" w:eastAsiaTheme="majorEastAsia"/>
          <w:bCs/>
          <w:color w:val="auto"/>
          <w:sz w:val="18"/>
          <w:szCs w:val="18"/>
        </w:rPr>
        <w:t>指管理人综合考虑市场环境、产品性质、投资策略、过往表现等因素，对理财产品设置的投资目标和相关解释说明。</w:t>
      </w:r>
      <w:r>
        <w:rPr>
          <w:rFonts w:hint="eastAsia" w:ascii="黑体" w:hAnsi="黑体" w:eastAsia="黑体"/>
          <w:bCs/>
          <w:color w:val="auto"/>
          <w:sz w:val="18"/>
          <w:szCs w:val="18"/>
        </w:rPr>
        <w:t>业绩比较基准不是预期收益率，不代表产品的未来表现和实际收益，</w:t>
      </w:r>
      <w:r>
        <w:rPr>
          <w:rFonts w:hint="eastAsia" w:ascii="黑体" w:hAnsi="黑体"/>
          <w:sz w:val="18"/>
        </w:rPr>
        <w:t>不</w:t>
      </w:r>
      <w:r>
        <w:rPr>
          <w:rFonts w:hint="eastAsia" w:ascii="黑体" w:hAnsi="黑体" w:eastAsia="黑体"/>
          <w:bCs/>
          <w:sz w:val="18"/>
          <w:szCs w:val="18"/>
        </w:rPr>
        <w:t>构成对</w:t>
      </w:r>
      <w:r>
        <w:rPr>
          <w:rFonts w:hint="eastAsia" w:ascii="黑体" w:hAnsi="黑体"/>
          <w:sz w:val="18"/>
        </w:rPr>
        <w:t>产品收益的</w:t>
      </w:r>
      <w:r>
        <w:rPr>
          <w:rFonts w:hint="eastAsia" w:ascii="黑体" w:hAnsi="黑体" w:eastAsia="黑体"/>
          <w:bCs/>
          <w:sz w:val="18"/>
          <w:szCs w:val="18"/>
        </w:rPr>
        <w:t>承诺</w:t>
      </w:r>
      <w:r>
        <w:rPr>
          <w:rFonts w:hint="eastAsia" w:ascii="黑体" w:hAnsi="黑体"/>
          <w:sz w:val="18"/>
        </w:rPr>
        <w:t>，</w:t>
      </w:r>
      <w:r>
        <w:rPr>
          <w:rFonts w:hint="eastAsia" w:ascii="黑体" w:hAnsi="黑体" w:eastAsia="黑体"/>
          <w:bCs/>
          <w:color w:val="auto"/>
          <w:sz w:val="18"/>
          <w:szCs w:val="18"/>
        </w:rPr>
        <w:t>投资须谨慎。</w:t>
      </w:r>
    </w:p>
    <w:p>
      <w:pPr>
        <w:pStyle w:val="16"/>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2）</w:t>
      </w:r>
      <w:r>
        <w:rPr>
          <w:rFonts w:hint="eastAsia" w:ascii="黑体" w:hAnsi="黑体" w:eastAsia="黑体"/>
          <w:bCs/>
          <w:color w:val="auto"/>
          <w:sz w:val="18"/>
          <w:szCs w:val="18"/>
        </w:rPr>
        <w:t>★业绩报酬计提基准：</w:t>
      </w:r>
      <w:r>
        <w:rPr>
          <w:rFonts w:hint="eastAsia" w:asciiTheme="majorEastAsia" w:hAnsiTheme="majorEastAsia" w:eastAsiaTheme="majorEastAsia"/>
          <w:bCs/>
          <w:color w:val="auto"/>
          <w:sz w:val="18"/>
          <w:szCs w:val="18"/>
        </w:rPr>
        <w:t>指管理人计算超额业绩报酬的参照</w:t>
      </w:r>
      <w:r>
        <w:rPr>
          <w:rFonts w:asciiTheme="majorEastAsia" w:hAnsiTheme="majorEastAsia" w:eastAsiaTheme="majorEastAsia"/>
          <w:bCs/>
          <w:color w:val="auto"/>
          <w:sz w:val="18"/>
          <w:szCs w:val="18"/>
        </w:rPr>
        <w:t>标准</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业绩报酬计提基准不是预期收益率，不代表产品的未来表现和实际收益，不构成对产品收益的承诺，投资须谨慎。</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3）理财产品利益/理财利益：指投资者因持有理财产品份额，按照销售文件约定取得或有权取得的理财产品管理人分配的理财产品资产。</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4</w:t>
      </w:r>
      <w:r>
        <w:rPr>
          <w:rFonts w:asciiTheme="majorEastAsia" w:hAnsiTheme="majorEastAsia" w:eastAsiaTheme="majorEastAsia"/>
          <w:bCs/>
          <w:color w:val="auto"/>
          <w:sz w:val="18"/>
          <w:szCs w:val="18"/>
        </w:rPr>
        <w:t xml:space="preserve">）利益分配：指产品管理人向投资者进行理财产品利益分配。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5</w:t>
      </w:r>
      <w:r>
        <w:rPr>
          <w:rFonts w:asciiTheme="majorEastAsia" w:hAnsiTheme="majorEastAsia" w:eastAsiaTheme="majorEastAsia"/>
          <w:bCs/>
          <w:color w:val="auto"/>
          <w:sz w:val="18"/>
          <w:szCs w:val="18"/>
        </w:rPr>
        <w:t xml:space="preserve">）期间分配：指在理财产品终止日（不含当日）前的理财产品利益分配。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6</w:t>
      </w:r>
      <w:r>
        <w:rPr>
          <w:rFonts w:asciiTheme="majorEastAsia" w:hAnsiTheme="majorEastAsia" w:eastAsiaTheme="majorEastAsia"/>
          <w:bCs/>
          <w:color w:val="auto"/>
          <w:sz w:val="18"/>
          <w:szCs w:val="18"/>
        </w:rPr>
        <w:t>）终止分配：指在理财产品终止日当日及之后的理财产品利益分配。</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7）认购：指投资者根据本销售文件约定在认购期</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募集期内申请购买理财产品份额的行为。</w:t>
      </w:r>
      <w:r>
        <w:rPr>
          <w:rFonts w:asciiTheme="majorEastAsia" w:hAnsiTheme="majorEastAsia" w:eastAsiaTheme="majorEastAsia"/>
          <w:bCs/>
          <w:color w:val="auto"/>
          <w:sz w:val="18"/>
          <w:szCs w:val="18"/>
        </w:rPr>
        <w:t xml:space="preserve"> </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8）申购：</w:t>
      </w:r>
      <w:r>
        <w:rPr>
          <w:rFonts w:hint="eastAsia" w:asciiTheme="minorEastAsia" w:hAnsiTheme="minorEastAsia" w:eastAsiaTheme="minorEastAsia"/>
          <w:color w:val="auto"/>
          <w:sz w:val="18"/>
          <w:szCs w:val="18"/>
        </w:rPr>
        <w:t>指开放式理财产品成立后，投资者申请购买理财产品份额的行为。</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首次申购，指未进行认购的投资者，在理财产品成立后申请购买理财产品份额的行为。</w:t>
      </w:r>
      <w:r>
        <w:rPr>
          <w:rFonts w:asciiTheme="minorEastAsia" w:hAnsiTheme="minorEastAsia" w:eastAsiaTheme="minorEastAsia"/>
          <w:color w:val="auto"/>
          <w:sz w:val="18"/>
          <w:szCs w:val="18"/>
        </w:rPr>
        <w:t>投资者全额赎回不再持有理财产品份额后再次申购</w:t>
      </w:r>
      <w:r>
        <w:rPr>
          <w:rFonts w:hint="eastAsia" w:asciiTheme="minorEastAsia" w:hAnsiTheme="minorEastAsia" w:eastAsiaTheme="minorEastAsia"/>
          <w:color w:val="auto"/>
          <w:sz w:val="18"/>
          <w:szCs w:val="18"/>
        </w:rPr>
        <w:t>的</w:t>
      </w:r>
      <w:r>
        <w:rPr>
          <w:rFonts w:asciiTheme="minorEastAsia" w:hAnsiTheme="minorEastAsia" w:eastAsiaTheme="minorEastAsia"/>
          <w:color w:val="auto"/>
          <w:sz w:val="18"/>
          <w:szCs w:val="18"/>
        </w:rPr>
        <w:t>，视同首次申购处理。</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追加申购，指已经完成认购或首次申购的投资者，在理财产品成立后申请购买理财产品份额的行为。</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ajorEastAsia" w:hAnsiTheme="majorEastAsia" w:eastAsiaTheme="majorEastAsia"/>
          <w:bCs/>
          <w:color w:val="auto"/>
          <w:sz w:val="18"/>
          <w:szCs w:val="18"/>
        </w:rPr>
        <w:t>（19）赎回：</w:t>
      </w:r>
      <w:r>
        <w:rPr>
          <w:rFonts w:hint="eastAsia" w:asciiTheme="minorEastAsia" w:hAnsiTheme="minorEastAsia" w:eastAsiaTheme="minorEastAsia"/>
          <w:color w:val="auto"/>
          <w:sz w:val="18"/>
          <w:szCs w:val="18"/>
        </w:rPr>
        <w:t>指开放式理财产品成立后，投资者申请赎回理财产品份额的行为，即投资者申请将理财产品份额兑换为现金。</w:t>
      </w:r>
    </w:p>
    <w:p>
      <w:pPr>
        <w:pStyle w:val="16"/>
        <w:spacing w:line="360" w:lineRule="auto"/>
        <w:ind w:firstLine="360" w:firstLineChars="200"/>
        <w:rPr>
          <w:rFonts w:asciiTheme="minorEastAsia" w:hAnsiTheme="min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0）巨额赎回：</w:t>
      </w:r>
      <w:r>
        <w:rPr>
          <w:rFonts w:hint="eastAsia" w:asciiTheme="minorEastAsia" w:hAnsiTheme="minorEastAsia"/>
          <w:bCs/>
          <w:color w:val="auto"/>
          <w:sz w:val="18"/>
          <w:szCs w:val="18"/>
        </w:rPr>
        <w:t>单个开放日中，本产品的产品份额净赎回申请（赎回申请总份额扣除申购总份额后的余额</w:t>
      </w:r>
      <w:r>
        <w:rPr>
          <w:rFonts w:asciiTheme="minorEastAsia" w:hAnsiTheme="minorEastAsia"/>
          <w:bCs/>
          <w:color w:val="auto"/>
          <w:sz w:val="18"/>
          <w:szCs w:val="18"/>
        </w:rPr>
        <w:t>,</w:t>
      </w:r>
      <w:r>
        <w:rPr>
          <w:rFonts w:hint="eastAsia" w:asciiTheme="minorEastAsia" w:hAnsiTheme="minorEastAsia"/>
          <w:bCs/>
          <w:color w:val="auto"/>
          <w:sz w:val="18"/>
          <w:szCs w:val="18"/>
        </w:rPr>
        <w:t>下同）之和达到上一日产品总份额的</w:t>
      </w:r>
      <w:r>
        <w:rPr>
          <w:rFonts w:asciiTheme="minorEastAsia" w:hAnsiTheme="minorEastAsia"/>
          <w:bCs/>
          <w:color w:val="auto"/>
          <w:sz w:val="18"/>
          <w:szCs w:val="18"/>
        </w:rPr>
        <w:t>约定百分比</w:t>
      </w:r>
      <w:r>
        <w:rPr>
          <w:rFonts w:hint="eastAsia" w:asciiTheme="minorEastAsia" w:hAnsiTheme="minorEastAsia"/>
          <w:bCs/>
          <w:color w:val="auto"/>
          <w:sz w:val="18"/>
          <w:szCs w:val="18"/>
        </w:rPr>
        <w:t>，为巨额赎回。</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21）流动性受限资产：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22）7个工作日可变现资产：包括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4. </w:t>
      </w:r>
      <w:r>
        <w:rPr>
          <w:rFonts w:hint="eastAsia" w:asciiTheme="majorEastAsia" w:hAnsiTheme="majorEastAsia" w:eastAsiaTheme="majorEastAsia"/>
          <w:b/>
          <w:bCs/>
          <w:color w:val="auto"/>
          <w:sz w:val="18"/>
          <w:szCs w:val="18"/>
        </w:rPr>
        <w:t>期间与日期</w:t>
      </w:r>
      <w:r>
        <w:rPr>
          <w:rFonts w:asciiTheme="majorEastAsia" w:hAnsiTheme="majorEastAsia" w:eastAsiaTheme="majorEastAsia"/>
          <w:b/>
          <w:bCs/>
          <w:color w:val="auto"/>
          <w:sz w:val="18"/>
          <w:szCs w:val="18"/>
        </w:rPr>
        <w:t xml:space="preserve">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1）日</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指自然日</w:t>
      </w:r>
      <w:r>
        <w:rPr>
          <w:rFonts w:hint="eastAsia" w:asciiTheme="majorEastAsia" w:hAnsiTheme="majorEastAsia" w:eastAsiaTheme="majorEastAsia"/>
          <w:bCs/>
          <w:color w:val="auto"/>
          <w:sz w:val="18"/>
          <w:szCs w:val="18"/>
        </w:rPr>
        <w:t>。</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（2）交易日：指银行间市场、证券交易所市场的共同正常开盘交易日。</w:t>
      </w:r>
      <w:r>
        <w:rPr>
          <w:rFonts w:asciiTheme="majorEastAsia" w:hAnsiTheme="majorEastAsia" w:eastAsiaTheme="majorEastAsia"/>
          <w:bCs/>
          <w:color w:val="auto"/>
          <w:sz w:val="18"/>
          <w:szCs w:val="18"/>
        </w:rPr>
        <w:t xml:space="preserve">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3）</w:t>
      </w:r>
      <w:r>
        <w:rPr>
          <w:rFonts w:hint="eastAsia" w:asciiTheme="majorEastAsia" w:hAnsiTheme="majorEastAsia" w:eastAsiaTheme="majorEastAsia"/>
          <w:bCs/>
          <w:color w:val="auto"/>
          <w:sz w:val="18"/>
          <w:szCs w:val="18"/>
        </w:rPr>
        <w:t>工作日：指国家法定工作日。</w:t>
      </w:r>
      <w:r>
        <w:rPr>
          <w:rFonts w:asciiTheme="majorEastAsia" w:hAnsiTheme="majorEastAsia" w:eastAsiaTheme="majorEastAsia"/>
          <w:bCs/>
          <w:color w:val="auto"/>
          <w:sz w:val="18"/>
          <w:szCs w:val="18"/>
        </w:rPr>
        <w:t xml:space="preserve"> </w:t>
      </w:r>
    </w:p>
    <w:p>
      <w:pPr>
        <w:pStyle w:val="16"/>
        <w:spacing w:line="360" w:lineRule="auto"/>
        <w:ind w:firstLine="360" w:firstLineChars="20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）成立日：指理财产品开始运作的日期。</w:t>
      </w:r>
    </w:p>
    <w:p>
      <w:pPr>
        <w:pStyle w:val="16"/>
        <w:spacing w:line="360" w:lineRule="auto"/>
        <w:ind w:firstLine="360" w:firstLineChars="20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）终止日：指理财产品终止的日期。</w:t>
      </w:r>
    </w:p>
    <w:p>
      <w:pPr>
        <w:pStyle w:val="16"/>
        <w:spacing w:line="360" w:lineRule="auto"/>
        <w:ind w:firstLine="360" w:firstLineChars="20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pPr>
        <w:pStyle w:val="16"/>
        <w:spacing w:line="360" w:lineRule="auto"/>
        <w:ind w:firstLine="360" w:firstLineChars="20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int="eastAsia" w:hAnsi="宋体"/>
          <w:color w:val="auto"/>
          <w:sz w:val="18"/>
          <w:szCs w:val="18"/>
        </w:rPr>
        <w:t>日</w:t>
      </w:r>
      <w:r>
        <w:rPr>
          <w:rFonts w:hAnsi="宋体"/>
          <w:color w:val="auto"/>
          <w:sz w:val="18"/>
          <w:szCs w:val="18"/>
        </w:rPr>
        <w:t>终</w:t>
      </w:r>
      <w:r>
        <w:rPr>
          <w:rFonts w:hint="eastAsia" w:hAnsi="宋体"/>
          <w:color w:val="auto"/>
          <w:sz w:val="18"/>
          <w:szCs w:val="18"/>
        </w:rPr>
        <w:t>产品份额净值</w:t>
      </w:r>
      <w:r>
        <w:rPr>
          <w:rFonts w:hAnsi="宋体"/>
          <w:color w:val="auto"/>
          <w:sz w:val="18"/>
          <w:szCs w:val="18"/>
        </w:rPr>
        <w:t>计算</w:t>
      </w:r>
      <w:r>
        <w:rPr>
          <w:rFonts w:hint="eastAsia" w:hAnsi="宋体"/>
          <w:color w:val="auto"/>
          <w:sz w:val="18"/>
          <w:szCs w:val="18"/>
        </w:rPr>
        <w:t>并确定可供分配的</w:t>
      </w:r>
      <w:r>
        <w:rPr>
          <w:rFonts w:hAnsi="宋体"/>
          <w:color w:val="auto"/>
          <w:sz w:val="18"/>
          <w:szCs w:val="18"/>
        </w:rPr>
        <w:t>投资</w:t>
      </w:r>
      <w:r>
        <w:rPr>
          <w:rFonts w:hint="eastAsia" w:hAnsi="宋体"/>
          <w:color w:val="auto"/>
          <w:sz w:val="18"/>
          <w:szCs w:val="18"/>
        </w:rPr>
        <w:t>期间</w:t>
      </w:r>
      <w:r>
        <w:rPr>
          <w:rFonts w:hAnsi="宋体"/>
          <w:color w:val="auto"/>
          <w:sz w:val="18"/>
          <w:szCs w:val="18"/>
        </w:rPr>
        <w:t>理财</w:t>
      </w:r>
      <w:r>
        <w:rPr>
          <w:rFonts w:hint="eastAsia" w:hAnsi="宋体"/>
          <w:color w:val="auto"/>
          <w:sz w:val="18"/>
          <w:szCs w:val="18"/>
        </w:rPr>
        <w:t>利益的日期。</w:t>
      </w:r>
    </w:p>
    <w:p>
      <w:pPr>
        <w:pStyle w:val="16"/>
        <w:spacing w:line="360" w:lineRule="auto"/>
        <w:ind w:firstLine="360" w:firstLineChars="200"/>
        <w:rPr>
          <w:rFonts w:hAnsi="宋体"/>
          <w:bCs/>
          <w:color w:val="auto"/>
          <w:sz w:val="18"/>
          <w:szCs w:val="18"/>
        </w:rPr>
      </w:pPr>
      <w:r>
        <w:rPr>
          <w:rFonts w:hint="eastAsia" w:hAnsi="宋体"/>
          <w:bCs/>
          <w:color w:val="auto"/>
          <w:sz w:val="18"/>
          <w:szCs w:val="18"/>
        </w:rPr>
        <w:t>（</w:t>
      </w:r>
      <w:r>
        <w:rPr>
          <w:rFonts w:hAnsi="宋体"/>
          <w:bCs/>
          <w:color w:val="auto"/>
          <w:sz w:val="18"/>
          <w:szCs w:val="18"/>
        </w:rPr>
        <w:t>8</w:t>
      </w:r>
      <w:r>
        <w:rPr>
          <w:rFonts w:hint="eastAsia" w:hAnsi="宋体"/>
          <w:bCs/>
          <w:color w:val="auto"/>
          <w:sz w:val="18"/>
          <w:szCs w:val="18"/>
        </w:rPr>
        <w:t>）分配日：指</w:t>
      </w:r>
      <w:r>
        <w:rPr>
          <w:rFonts w:asciiTheme="majorEastAsia" w:hAnsiTheme="majorEastAsia" w:eastAsiaTheme="majorEastAsia"/>
          <w:bCs/>
          <w:color w:val="auto"/>
          <w:sz w:val="18"/>
          <w:szCs w:val="18"/>
        </w:rPr>
        <w:t>产品管理人向投资者进行理财产品利益分配</w:t>
      </w:r>
      <w:r>
        <w:rPr>
          <w:rFonts w:hint="eastAsia" w:hAnsi="宋体"/>
          <w:bCs/>
          <w:color w:val="auto"/>
          <w:sz w:val="18"/>
          <w:szCs w:val="18"/>
        </w:rPr>
        <w:t>的日期。</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）募集期：指理财产品成立前，理财产品管理人接受理财产品认购的时间。</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（10）持有期：指自产品成立日/申购确认日起，投资者持有该产品份额的期间。</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1）产品存续期：指自理财产品成立日起，至理财产品终止日的期间。</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（12）申购申请日：指投资者做出申购申请的当日。</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（13）赎回申请日：指投资者做出赎回申请的当日。</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（14）申购日：指产品管理人接受投资者申购申请的当日。</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（15）赎回日：指产品管理人接受投资者赎回申请的当日。</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（16）申购确认日：指产品管理人确认投资者申购申请有效性的当日。</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（17）赎回确认日：指产品管理人确认投资者赎回申请有效性的当日。</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8）清算期：指自本理财产品终止日至投资者理财利益到账日之间的期间。</w:t>
      </w:r>
    </w:p>
    <w:p>
      <w:pPr>
        <w:pStyle w:val="16"/>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5. </w:t>
      </w:r>
      <w:r>
        <w:rPr>
          <w:rFonts w:hint="eastAsia" w:asciiTheme="majorEastAsia" w:hAnsiTheme="majorEastAsia" w:eastAsiaTheme="majorEastAsia"/>
          <w:b/>
          <w:bCs/>
          <w:color w:val="auto"/>
          <w:sz w:val="18"/>
          <w:szCs w:val="18"/>
        </w:rPr>
        <w:t>费用</w:t>
      </w:r>
    </w:p>
    <w:p>
      <w:pPr>
        <w:pStyle w:val="16"/>
        <w:spacing w:line="360" w:lineRule="auto"/>
        <w:ind w:firstLine="360" w:firstLineChars="200"/>
        <w:rPr>
          <w:rFonts w:hAnsi="宋体"/>
          <w:sz w:val="18"/>
          <w:szCs w:val="18"/>
        </w:rPr>
      </w:pPr>
      <w:r>
        <w:rPr>
          <w:rFonts w:hint="eastAsia" w:hAnsi="宋体"/>
          <w:sz w:val="18"/>
          <w:szCs w:val="18"/>
        </w:rPr>
        <w:t>（1）</w:t>
      </w:r>
      <w:r>
        <w:rPr>
          <w:rFonts w:hint="eastAsia" w:ascii="黑体" w:hAnsi="黑体" w:eastAsia="黑体" w:cs="仿宋_GB2312"/>
          <w:bCs/>
          <w:color w:val="auto"/>
          <w:sz w:val="18"/>
          <w:szCs w:val="18"/>
        </w:rPr>
        <w:t>★</w:t>
      </w:r>
      <w:r>
        <w:rPr>
          <w:rFonts w:hAnsi="宋体"/>
          <w:sz w:val="18"/>
          <w:szCs w:val="18"/>
        </w:rPr>
        <w:t>认购费：</w:t>
      </w:r>
      <w:r>
        <w:rPr>
          <w:rFonts w:hint="eastAsia" w:hAnsi="宋体"/>
          <w:sz w:val="18"/>
          <w:szCs w:val="18"/>
        </w:rPr>
        <w:t>指</w:t>
      </w:r>
      <w:r>
        <w:rPr>
          <w:rFonts w:hAnsi="宋体"/>
          <w:sz w:val="18"/>
          <w:szCs w:val="18"/>
        </w:rPr>
        <w:t>投资者认购产品时</w:t>
      </w:r>
      <w:r>
        <w:rPr>
          <w:rFonts w:hint="eastAsia" w:hAnsi="宋体"/>
          <w:sz w:val="18"/>
          <w:szCs w:val="18"/>
        </w:rPr>
        <w:t>需缴纳的费用。</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（2）</w:t>
      </w:r>
      <w:r>
        <w:rPr>
          <w:rFonts w:hint="eastAsia" w:ascii="黑体" w:hAnsi="黑体" w:eastAsia="黑体" w:cs="仿宋_GB2312"/>
          <w:bCs/>
          <w:sz w:val="18"/>
          <w:szCs w:val="18"/>
        </w:rPr>
        <w:t>★</w:t>
      </w:r>
      <w:r>
        <w:rPr>
          <w:rFonts w:ascii="宋体" w:hAnsi="宋体"/>
          <w:kern w:val="0"/>
          <w:sz w:val="18"/>
          <w:szCs w:val="18"/>
        </w:rPr>
        <w:t>申购费：</w:t>
      </w:r>
      <w:r>
        <w:rPr>
          <w:rFonts w:hint="eastAsia" w:ascii="宋体" w:hAnsi="宋体"/>
          <w:kern w:val="0"/>
          <w:sz w:val="18"/>
          <w:szCs w:val="18"/>
        </w:rPr>
        <w:t>指</w:t>
      </w:r>
      <w:r>
        <w:rPr>
          <w:rFonts w:ascii="宋体" w:hAnsi="宋体"/>
          <w:kern w:val="0"/>
          <w:sz w:val="18"/>
          <w:szCs w:val="18"/>
        </w:rPr>
        <w:t>投资者申购产品时</w:t>
      </w:r>
      <w:r>
        <w:rPr>
          <w:rFonts w:hint="eastAsia" w:ascii="宋体" w:hAnsi="宋体"/>
          <w:kern w:val="0"/>
          <w:sz w:val="18"/>
          <w:szCs w:val="18"/>
        </w:rPr>
        <w:t>需缴纳的费用。</w:t>
      </w:r>
    </w:p>
    <w:p>
      <w:pPr>
        <w:pStyle w:val="16"/>
        <w:spacing w:line="360" w:lineRule="auto"/>
        <w:ind w:firstLine="360" w:firstLineChars="200"/>
        <w:rPr>
          <w:rFonts w:hAnsi="宋体"/>
          <w:sz w:val="18"/>
          <w:szCs w:val="18"/>
        </w:rPr>
      </w:pPr>
      <w:r>
        <w:rPr>
          <w:rFonts w:hint="eastAsia" w:hAnsi="宋体"/>
          <w:sz w:val="18"/>
          <w:szCs w:val="18"/>
        </w:rPr>
        <w:t>（3）</w:t>
      </w:r>
      <w:r>
        <w:rPr>
          <w:rFonts w:hint="eastAsia" w:ascii="黑体" w:hAnsi="黑体" w:eastAsia="黑体" w:cs="仿宋_GB2312"/>
          <w:bCs/>
          <w:color w:val="auto"/>
          <w:sz w:val="18"/>
          <w:szCs w:val="18"/>
        </w:rPr>
        <w:t>★</w:t>
      </w:r>
      <w:r>
        <w:rPr>
          <w:rFonts w:hint="eastAsia" w:hAnsi="宋体"/>
          <w:sz w:val="18"/>
          <w:szCs w:val="18"/>
        </w:rPr>
        <w:t>赎回费：指投资者赎回产品时需缴纳的费用。</w:t>
      </w:r>
    </w:p>
    <w:p>
      <w:pPr>
        <w:pStyle w:val="16"/>
        <w:spacing w:line="360" w:lineRule="auto"/>
        <w:ind w:firstLine="360" w:firstLineChars="200"/>
        <w:rPr>
          <w:rFonts w:hAnsi="宋体"/>
          <w:sz w:val="18"/>
          <w:szCs w:val="18"/>
        </w:rPr>
      </w:pPr>
      <w:r>
        <w:rPr>
          <w:rFonts w:hint="eastAsia" w:hAnsi="宋体"/>
          <w:sz w:val="18"/>
          <w:szCs w:val="18"/>
        </w:rPr>
        <w:t>（4）</w:t>
      </w:r>
      <w:r>
        <w:rPr>
          <w:rFonts w:hint="eastAsia" w:ascii="黑体" w:hAnsi="黑体" w:eastAsia="黑体" w:cs="仿宋_GB2312"/>
          <w:bCs/>
          <w:color w:val="auto"/>
          <w:sz w:val="18"/>
          <w:szCs w:val="18"/>
        </w:rPr>
        <w:t>★</w:t>
      </w:r>
      <w:r>
        <w:rPr>
          <w:rFonts w:hint="eastAsia" w:hAnsi="宋体"/>
          <w:sz w:val="18"/>
          <w:szCs w:val="18"/>
        </w:rPr>
        <w:t>销售服务费：指因理财产品销售行为产生的费用。</w:t>
      </w:r>
    </w:p>
    <w:p>
      <w:pPr>
        <w:pStyle w:val="16"/>
        <w:spacing w:line="360" w:lineRule="auto"/>
        <w:ind w:firstLine="360" w:firstLineChars="200"/>
        <w:rPr>
          <w:rFonts w:hAnsi="宋体"/>
          <w:sz w:val="18"/>
          <w:szCs w:val="18"/>
        </w:rPr>
      </w:pPr>
      <w:r>
        <w:rPr>
          <w:rFonts w:hint="eastAsia" w:hAnsi="宋体"/>
          <w:sz w:val="18"/>
          <w:szCs w:val="18"/>
        </w:rPr>
        <w:t>（5）</w:t>
      </w:r>
      <w:r>
        <w:rPr>
          <w:rFonts w:hint="eastAsia" w:ascii="黑体" w:hAnsi="黑体" w:eastAsia="黑体" w:cs="仿宋_GB2312"/>
          <w:bCs/>
          <w:color w:val="auto"/>
          <w:sz w:val="18"/>
          <w:szCs w:val="18"/>
        </w:rPr>
        <w:t>★</w:t>
      </w:r>
      <w:r>
        <w:rPr>
          <w:rFonts w:hint="eastAsia" w:hAnsi="宋体"/>
          <w:sz w:val="18"/>
          <w:szCs w:val="18"/>
        </w:rPr>
        <w:t>投资管理费：指因理财产品投资管理产生的费用。</w:t>
      </w:r>
    </w:p>
    <w:p>
      <w:pPr>
        <w:pStyle w:val="16"/>
        <w:spacing w:line="360" w:lineRule="auto"/>
        <w:ind w:firstLine="360" w:firstLineChars="200"/>
        <w:rPr>
          <w:rFonts w:hAnsi="宋体"/>
          <w:sz w:val="18"/>
          <w:szCs w:val="18"/>
        </w:rPr>
      </w:pPr>
      <w:r>
        <w:rPr>
          <w:rFonts w:hint="eastAsia" w:hAnsi="宋体"/>
          <w:sz w:val="18"/>
          <w:szCs w:val="18"/>
        </w:rPr>
        <w:t>（6）</w:t>
      </w:r>
      <w:r>
        <w:rPr>
          <w:rFonts w:hint="eastAsia" w:ascii="黑体" w:hAnsi="黑体" w:eastAsia="黑体" w:cs="仿宋_GB2312"/>
          <w:bCs/>
          <w:color w:val="auto"/>
          <w:sz w:val="18"/>
          <w:szCs w:val="18"/>
        </w:rPr>
        <w:t>★</w:t>
      </w:r>
      <w:r>
        <w:rPr>
          <w:rFonts w:hint="eastAsia" w:hAnsi="宋体"/>
          <w:sz w:val="18"/>
          <w:szCs w:val="18"/>
        </w:rPr>
        <w:t>产品托管费：指因理财产品进行托管产生的费用。</w:t>
      </w:r>
    </w:p>
    <w:p>
      <w:pPr>
        <w:pStyle w:val="16"/>
        <w:spacing w:line="360" w:lineRule="auto"/>
        <w:ind w:firstLine="360" w:firstLineChars="200"/>
        <w:rPr>
          <w:rFonts w:asciiTheme="majorEastAsia" w:hAnsiTheme="majorEastAsia" w:eastAsiaTheme="majorEastAsia"/>
          <w:bCs/>
          <w:color w:val="auto"/>
          <w:sz w:val="18"/>
          <w:szCs w:val="18"/>
        </w:rPr>
      </w:pPr>
      <w:r>
        <w:rPr>
          <w:rFonts w:hint="eastAsia" w:hAnsi="宋体"/>
          <w:sz w:val="18"/>
          <w:szCs w:val="18"/>
        </w:rPr>
        <w:t>（7）</w:t>
      </w:r>
      <w:r>
        <w:rPr>
          <w:rFonts w:hint="eastAsia" w:ascii="黑体" w:hAnsi="黑体" w:eastAsia="黑体" w:cs="仿宋_GB2312"/>
          <w:bCs/>
          <w:color w:val="auto"/>
          <w:sz w:val="18"/>
          <w:szCs w:val="18"/>
        </w:rPr>
        <w:t>★</w:t>
      </w:r>
      <w:r>
        <w:rPr>
          <w:rFonts w:hint="eastAsia" w:hAnsi="宋体"/>
          <w:sz w:val="18"/>
          <w:szCs w:val="18"/>
        </w:rPr>
        <w:t>超额业绩报酬/业绩报酬：指产品管理人依照理财产品销售</w:t>
      </w:r>
      <w:r>
        <w:rPr>
          <w:rFonts w:hAnsi="宋体"/>
          <w:sz w:val="18"/>
          <w:szCs w:val="18"/>
        </w:rPr>
        <w:t>文件</w:t>
      </w:r>
      <w:r>
        <w:rPr>
          <w:rFonts w:hint="eastAsia" w:hAnsi="宋体"/>
          <w:sz w:val="18"/>
          <w:szCs w:val="18"/>
        </w:rPr>
        <w:t>约定规则收取的浮动性质的管理费用。</w:t>
      </w:r>
    </w:p>
    <w:p>
      <w:pPr>
        <w:pStyle w:val="16"/>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6. </w:t>
      </w:r>
      <w:r>
        <w:rPr>
          <w:rFonts w:hint="eastAsia" w:asciiTheme="majorEastAsia" w:hAnsiTheme="majorEastAsia" w:eastAsiaTheme="majorEastAsia"/>
          <w:b/>
          <w:bCs/>
          <w:color w:val="auto"/>
          <w:sz w:val="18"/>
          <w:szCs w:val="18"/>
        </w:rPr>
        <w:t>其他</w:t>
      </w:r>
      <w:r>
        <w:rPr>
          <w:rFonts w:asciiTheme="majorEastAsia" w:hAnsiTheme="majorEastAsia" w:eastAsiaTheme="majorEastAsia"/>
          <w:b/>
          <w:bCs/>
          <w:color w:val="auto"/>
          <w:sz w:val="18"/>
          <w:szCs w:val="18"/>
        </w:rPr>
        <w:t xml:space="preserve">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元：指人民币元。</w:t>
      </w:r>
      <w:r>
        <w:rPr>
          <w:rFonts w:asciiTheme="majorEastAsia" w:hAnsiTheme="majorEastAsia" w:eastAsiaTheme="majorEastAsia"/>
          <w:bCs/>
          <w:color w:val="auto"/>
          <w:sz w:val="18"/>
          <w:szCs w:val="18"/>
        </w:rPr>
        <w:t xml:space="preserve"> </w:t>
      </w:r>
    </w:p>
    <w:p>
      <w:pPr>
        <w:spacing w:line="360" w:lineRule="auto"/>
        <w:ind w:firstLine="360" w:firstLineChars="200"/>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）适用法律：指在理财销售文件签署日和履行过程中，适用中华人民共和国法律（为本销售文件之目的，在此不包括香港、澳门特别行政区和台湾地区的法律），包括中国任何立法机构、政府部门、银行业</w:t>
      </w:r>
      <w:r>
        <w:rPr>
          <w:rFonts w:asciiTheme="majorEastAsia" w:hAnsiTheme="majorEastAsia" w:eastAsiaTheme="majorEastAsia"/>
          <w:bCs/>
          <w:sz w:val="18"/>
          <w:szCs w:val="18"/>
        </w:rPr>
        <w:t>理财登记托管中心、</w:t>
      </w:r>
      <w:r>
        <w:rPr>
          <w:rFonts w:hint="eastAsia" w:asciiTheme="majorEastAsia" w:hAnsiTheme="majorEastAsia" w:eastAsiaTheme="majorEastAsia"/>
          <w:bCs/>
          <w:sz w:val="18"/>
          <w:szCs w:val="18"/>
        </w:rPr>
        <w:t>银行间交易商协会、证券交易所、证券登记结算机构、相关</w:t>
      </w:r>
      <w:r>
        <w:rPr>
          <w:rFonts w:asciiTheme="majorEastAsia" w:hAnsiTheme="majorEastAsia" w:eastAsiaTheme="majorEastAsia"/>
          <w:bCs/>
          <w:sz w:val="18"/>
          <w:szCs w:val="18"/>
        </w:rPr>
        <w:t>行</w:t>
      </w:r>
      <w:r>
        <w:rPr>
          <w:rFonts w:hint="eastAsia" w:asciiTheme="majorEastAsia" w:hAnsiTheme="majorEastAsia" w:eastAsiaTheme="majorEastAsia"/>
          <w:bCs/>
          <w:sz w:val="18"/>
          <w:szCs w:val="18"/>
        </w:rPr>
        <w:t>业协会依法颁布的，适用于本理财产品相关事宜的法律、行政法规、地方法规、部委规章、地方政府规章、规范性文件、规则、通知、须知、业务指南、指引或操作规程，及其有效的修改、更新或补充。</w:t>
      </w:r>
    </w:p>
    <w:p>
      <w:pPr>
        <w:widowControl/>
        <w:spacing w:line="360" w:lineRule="auto"/>
        <w:jc w:val="left"/>
        <w:rPr>
          <w:rFonts w:ascii="宋体" w:hAnsi="宋体"/>
          <w:color w:val="000000"/>
          <w:kern w:val="0"/>
          <w:sz w:val="28"/>
          <w:szCs w:val="28"/>
        </w:rPr>
      </w:pPr>
      <w:r>
        <w:rPr>
          <w:rFonts w:hAnsi="宋体"/>
          <w:sz w:val="28"/>
          <w:szCs w:val="28"/>
        </w:rPr>
        <w:br w:type="page"/>
      </w:r>
    </w:p>
    <w:p>
      <w:pPr>
        <w:pStyle w:val="2"/>
        <w:spacing w:before="0" w:after="0" w:line="360" w:lineRule="auto"/>
        <w:jc w:val="center"/>
        <w:rPr>
          <w:rFonts w:hAnsi="宋体"/>
          <w:sz w:val="28"/>
          <w:szCs w:val="28"/>
        </w:rPr>
      </w:pPr>
      <w:bookmarkStart w:id="69" w:name="_Toc29961"/>
      <w:bookmarkStart w:id="70" w:name="_Toc79154665"/>
      <w:bookmarkStart w:id="71" w:name="_Toc176189279"/>
      <w:r>
        <w:rPr>
          <w:rFonts w:hint="eastAsia" w:hAnsi="宋体"/>
          <w:sz w:val="28"/>
          <w:szCs w:val="28"/>
        </w:rPr>
        <w:t>第二条  理财产品基本情况</w:t>
      </w:r>
      <w:bookmarkEnd w:id="69"/>
      <w:bookmarkEnd w:id="70"/>
      <w:bookmarkEnd w:id="71"/>
      <w:r>
        <w:rPr>
          <w:rFonts w:hint="eastAsia" w:hAnsi="宋体"/>
          <w:sz w:val="28"/>
          <w:szCs w:val="28"/>
        </w:rPr>
        <w:t xml:space="preserve"> </w:t>
      </w:r>
    </w:p>
    <w:tbl>
      <w:tblPr>
        <w:tblStyle w:val="8"/>
        <w:tblW w:w="964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945"/>
        <w:gridCol w:w="769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1" w:hRule="atLeast"/>
          <w:jc w:val="center"/>
        </w:trPr>
        <w:tc>
          <w:tcPr>
            <w:tcW w:w="1945"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理财产品名称</w:t>
            </w:r>
          </w:p>
        </w:tc>
        <w:tc>
          <w:tcPr>
            <w:tcW w:w="7699" w:type="dxa"/>
            <w:shd w:val="solid" w:color="FFFFFF" w:fill="FFFFFF"/>
          </w:tcPr>
          <w:p>
            <w:pPr>
              <w:spacing w:line="360" w:lineRule="auto"/>
              <w:jc w:val="left"/>
              <w:rPr>
                <w:rFonts w:ascii="宋体" w:hAnsi="宋体"/>
                <w:bCs/>
                <w:sz w:val="18"/>
                <w:szCs w:val="18"/>
              </w:rPr>
            </w:pPr>
            <w:r>
              <w:rPr>
                <w:rFonts w:hint="eastAsia" w:asciiTheme="majorEastAsia" w:hAnsiTheme="majorEastAsia" w:eastAsiaTheme="majorEastAsia"/>
                <w:bCs/>
                <w:sz w:val="18"/>
                <w:szCs w:val="18"/>
              </w:rPr>
              <w:t>【</w:t>
            </w:r>
            <w:r>
              <w:rPr>
                <w:rFonts w:hint="eastAsia" w:asciiTheme="minorEastAsia" w:hAnsiTheme="minorEastAsia"/>
                <w:sz w:val="18"/>
                <w:szCs w:val="18"/>
              </w:rPr>
              <w:t>兴银理财添利天天利</w:t>
            </w:r>
            <w:r>
              <w:rPr>
                <w:rFonts w:hint="eastAsia" w:asciiTheme="minorEastAsia" w:hAnsiTheme="minorEastAsia"/>
                <w:sz w:val="18"/>
                <w:szCs w:val="18"/>
                <w:lang w:val="en-US" w:eastAsia="zh-CN"/>
              </w:rPr>
              <w:t>51</w:t>
            </w:r>
            <w:r>
              <w:rPr>
                <w:rFonts w:hint="eastAsia" w:asciiTheme="minorEastAsia" w:hAnsiTheme="minorEastAsia"/>
                <w:sz w:val="18"/>
                <w:szCs w:val="18"/>
              </w:rPr>
              <w:t>号现金管理型理财产品</w:t>
            </w:r>
            <w:r>
              <w:rPr>
                <w:rFonts w:hint="eastAsia" w:asciiTheme="majorEastAsia" w:hAnsiTheme="majorEastAsia" w:eastAsiaTheme="majorEastAsia"/>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83" w:hRule="atLeast"/>
          <w:jc w:val="center"/>
        </w:trPr>
        <w:tc>
          <w:tcPr>
            <w:tcW w:w="1945"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产品销售名称</w:t>
            </w:r>
          </w:p>
        </w:tc>
        <w:tc>
          <w:tcPr>
            <w:tcW w:w="7699" w:type="dxa"/>
            <w:shd w:val="solid" w:color="FFFFFF" w:fill="FFFFFF"/>
          </w:tcPr>
          <w:p>
            <w:pPr>
              <w:widowControl/>
              <w:spacing w:line="360" w:lineRule="auto"/>
              <w:jc w:val="left"/>
              <w:rPr>
                <w:rFonts w:hint="eastAsia" w:ascii="宋体" w:hAnsi="宋体" w:eastAsiaTheme="majorEastAsia"/>
                <w:kern w:val="0"/>
                <w:sz w:val="22"/>
                <w:lang w:eastAsia="zh-CN"/>
              </w:rPr>
            </w:pPr>
            <w:r>
              <w:rPr>
                <w:rFonts w:hint="eastAsia" w:asciiTheme="majorEastAsia" w:hAnsiTheme="majorEastAsia" w:eastAsiaTheme="majorEastAsia"/>
                <w:bCs/>
                <w:kern w:val="0"/>
                <w:sz w:val="18"/>
                <w:szCs w:val="18"/>
              </w:rPr>
              <w:t>【</w:t>
            </w:r>
            <w:r>
              <w:rPr>
                <w:rFonts w:hint="eastAsia" w:asciiTheme="minorEastAsia" w:hAnsiTheme="minorEastAsia"/>
                <w:sz w:val="18"/>
                <w:szCs w:val="18"/>
              </w:rPr>
              <w:t>兴银添利天天利51号</w:t>
            </w:r>
            <w:r>
              <w:rPr>
                <w:rFonts w:hint="eastAsia" w:asciiTheme="minorEastAsia" w:hAnsiTheme="minorEastAsia"/>
                <w:sz w:val="18"/>
                <w:szCs w:val="18"/>
                <w:lang w:val="en-US" w:eastAsia="zh-CN"/>
              </w:rPr>
              <w:t>C</w:t>
            </w:r>
            <w:r>
              <w:rPr>
                <w:rFonts w:hint="eastAsia" w:asciiTheme="majorEastAsia" w:hAnsiTheme="majorEastAsia" w:eastAsiaTheme="majorEastAsia"/>
                <w:bCs/>
                <w:kern w:val="0"/>
                <w:sz w:val="18"/>
                <w:szCs w:val="18"/>
              </w:rPr>
              <w:t>】</w:t>
            </w:r>
            <w:r>
              <w:rPr>
                <w:rFonts w:hint="eastAsia" w:hAnsi="宋体" w:eastAsiaTheme="majorEastAsia"/>
                <w:sz w:val="18"/>
                <w:szCs w:val="18"/>
                <w:lang w:eastAsia="zh-CN"/>
              </w:rPr>
              <w:t>（适用【C】类份额）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45"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产品登记编码</w:t>
            </w:r>
          </w:p>
        </w:tc>
        <w:tc>
          <w:tcPr>
            <w:tcW w:w="7699" w:type="dxa"/>
            <w:shd w:val="solid" w:color="FFFFFF" w:fill="FFFFFF"/>
          </w:tcPr>
          <w:p>
            <w:pPr>
              <w:spacing w:line="360" w:lineRule="auto"/>
              <w:jc w:val="left"/>
              <w:rPr>
                <w:rFonts w:ascii="宋体" w:hAnsi="宋体"/>
                <w:b/>
                <w:sz w:val="18"/>
                <w:szCs w:val="18"/>
              </w:rPr>
            </w:pPr>
            <w:r>
              <w:rPr>
                <w:rFonts w:hint="eastAsia" w:asciiTheme="minorEastAsia" w:hAnsiTheme="minorEastAsia"/>
                <w:sz w:val="18"/>
                <w:szCs w:val="18"/>
              </w:rPr>
              <w:t>【</w:t>
            </w:r>
            <w:r>
              <w:rPr>
                <w:rFonts w:hint="eastAsia" w:ascii="宋体" w:hAnsi="宋体"/>
                <w:bCs/>
                <w:sz w:val="18"/>
                <w:szCs w:val="18"/>
              </w:rPr>
              <w:t>Z7002025000121</w:t>
            </w:r>
            <w:r>
              <w:rPr>
                <w:rFonts w:hint="eastAsia" w:asciiTheme="minorEastAsia" w:hAnsiTheme="minorEastAsia"/>
                <w:sz w:val="18"/>
                <w:szCs w:val="18"/>
              </w:rPr>
              <w:t>】</w:t>
            </w:r>
            <w:r>
              <w:rPr>
                <w:rFonts w:hint="eastAsia" w:asciiTheme="majorEastAsia" w:hAnsiTheme="majorEastAsia" w:eastAsiaTheme="majorEastAsia"/>
                <w:sz w:val="18"/>
                <w:szCs w:val="18"/>
              </w:rPr>
              <w:t>投资者可依据理财产品登记编码在中国理财网</w:t>
            </w:r>
            <w:r>
              <w:rPr>
                <w:rFonts w:asciiTheme="majorEastAsia" w:hAnsiTheme="majorEastAsia" w:eastAsiaTheme="majorEastAsia"/>
                <w:sz w:val="18"/>
                <w:szCs w:val="18"/>
              </w:rPr>
              <w:t>(</w:t>
            </w:r>
            <w:r>
              <w:fldChar w:fldCharType="begin"/>
            </w:r>
            <w:r>
              <w:instrText xml:space="preserve"> HYPERLINK "http://www.chinawealth.com.cn" </w:instrText>
            </w:r>
            <w:r>
              <w:fldChar w:fldCharType="separate"/>
            </w:r>
            <w:r>
              <w:rPr>
                <w:rFonts w:asciiTheme="majorEastAsia" w:hAnsiTheme="majorEastAsia" w:eastAsiaTheme="majorEastAsia"/>
                <w:sz w:val="18"/>
                <w:szCs w:val="18"/>
              </w:rPr>
              <w:t>www.chinawealth.com.cn</w:t>
            </w:r>
            <w:r>
              <w:rPr>
                <w:rFonts w:asciiTheme="majorEastAsia" w:hAnsiTheme="majorEastAsia" w:eastAsiaTheme="majorEastAsia"/>
                <w:sz w:val="18"/>
                <w:szCs w:val="18"/>
              </w:rPr>
              <w:fldChar w:fldCharType="end"/>
            </w:r>
            <w:r>
              <w:rPr>
                <w:rFonts w:asciiTheme="majorEastAsia" w:hAnsiTheme="majorEastAsia" w:eastAsiaTheme="majorEastAsia"/>
                <w:sz w:val="18"/>
                <w:szCs w:val="18"/>
              </w:rPr>
              <w:t>）</w:t>
            </w:r>
            <w:r>
              <w:rPr>
                <w:rFonts w:hint="eastAsia" w:asciiTheme="majorEastAsia" w:hAnsiTheme="majorEastAsia" w:eastAsiaTheme="majorEastAsia"/>
                <w:sz w:val="18"/>
                <w:szCs w:val="18"/>
              </w:rPr>
              <w:t>查询产品信息。</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产品代码</w:t>
            </w:r>
          </w:p>
        </w:tc>
        <w:tc>
          <w:tcPr>
            <w:tcW w:w="7699" w:type="dxa"/>
            <w:shd w:val="solid" w:color="FFFFFF" w:fill="FFFFFF"/>
            <w:vAlign w:val="center"/>
          </w:tcPr>
          <w:p>
            <w:pPr>
              <w:spacing w:line="360" w:lineRule="auto"/>
              <w:jc w:val="left"/>
              <w:rPr>
                <w:rFonts w:ascii="宋体" w:hAnsi="宋体"/>
                <w:bCs/>
                <w:sz w:val="18"/>
                <w:szCs w:val="18"/>
              </w:rPr>
            </w:pPr>
            <w:r>
              <w:rPr>
                <w:rFonts w:ascii="宋体" w:hAnsi="宋体"/>
                <w:bCs/>
                <w:sz w:val="18"/>
                <w:szCs w:val="18"/>
              </w:rPr>
              <w:t>【</w:t>
            </w:r>
            <w:r>
              <w:rPr>
                <w:rFonts w:hint="eastAsia" w:ascii="宋体" w:hAnsi="宋体"/>
                <w:bCs/>
                <w:color w:val="000000" w:themeColor="text1"/>
                <w:sz w:val="18"/>
                <w:szCs w:val="18"/>
                <w14:textFill>
                  <w14:solidFill>
                    <w14:schemeClr w14:val="tx1"/>
                  </w14:solidFill>
                </w14:textFill>
              </w:rPr>
              <w:t>9TTL9510</w:t>
            </w:r>
            <w:r>
              <w:rPr>
                <w:rFonts w:hint="eastAsia" w:ascii="宋体" w:hAnsi="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45" w:type="dxa"/>
            <w:shd w:val="solid" w:color="FFFFFF" w:fill="FFFFFF"/>
          </w:tcPr>
          <w:p>
            <w:pPr>
              <w:spacing w:line="360" w:lineRule="auto"/>
              <w:jc w:val="left"/>
              <w:rPr>
                <w:rFonts w:hAnsi="宋体"/>
                <w:b/>
                <w:sz w:val="18"/>
                <w:szCs w:val="18"/>
              </w:rPr>
            </w:pPr>
            <w:r>
              <w:rPr>
                <w:rFonts w:hint="eastAsia" w:hAnsi="宋体"/>
                <w:b/>
                <w:sz w:val="18"/>
                <w:szCs w:val="18"/>
              </w:rPr>
              <w:t>★销售代码</w:t>
            </w:r>
          </w:p>
        </w:tc>
        <w:tc>
          <w:tcPr>
            <w:tcW w:w="7699" w:type="dxa"/>
            <w:shd w:val="solid" w:color="FFFFFF" w:fill="FFFFFF"/>
          </w:tcPr>
          <w:p>
            <w:pPr>
              <w:spacing w:line="360" w:lineRule="auto"/>
              <w:jc w:val="left"/>
              <w:rPr>
                <w:rFonts w:hint="eastAsia" w:hAnsi="宋体" w:eastAsia="宋体"/>
                <w:sz w:val="18"/>
                <w:szCs w:val="18"/>
                <w:lang w:eastAsia="zh-CN"/>
              </w:rPr>
            </w:pPr>
            <w:r>
              <w:rPr>
                <w:rFonts w:hint="eastAsia" w:hAnsi="宋体"/>
                <w:sz w:val="18"/>
                <w:szCs w:val="18"/>
              </w:rPr>
              <w:t>【</w:t>
            </w:r>
            <w:r>
              <w:rPr>
                <w:rFonts w:hint="eastAsia" w:ascii="宋体" w:hAnsi="宋体"/>
                <w:bCs/>
                <w:sz w:val="18"/>
                <w:szCs w:val="18"/>
              </w:rPr>
              <w:t>9TTL951</w:t>
            </w:r>
            <w:r>
              <w:rPr>
                <w:rFonts w:hint="eastAsia" w:ascii="宋体" w:hAnsi="宋体"/>
                <w:bCs/>
                <w:sz w:val="18"/>
                <w:szCs w:val="18"/>
                <w:lang w:val="en-US" w:eastAsia="zh-CN"/>
              </w:rPr>
              <w:t>C</w:t>
            </w:r>
            <w:r>
              <w:rPr>
                <w:rFonts w:hint="eastAsia" w:hAnsi="宋体"/>
                <w:sz w:val="18"/>
                <w:szCs w:val="18"/>
              </w:rPr>
              <w:t>】</w:t>
            </w:r>
            <w:r>
              <w:rPr>
                <w:rFonts w:hint="eastAsia" w:hAnsi="宋体"/>
                <w:sz w:val="18"/>
                <w:szCs w:val="18"/>
                <w:lang w:eastAsia="zh-CN"/>
              </w:rPr>
              <w:t>（适用【C】类份额）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hAnsi="宋体"/>
                <w:b/>
                <w:sz w:val="18"/>
                <w:szCs w:val="18"/>
              </w:rPr>
              <w:t>产品</w:t>
            </w:r>
            <w:r>
              <w:rPr>
                <w:rFonts w:hAnsi="宋体"/>
                <w:b/>
                <w:sz w:val="18"/>
                <w:szCs w:val="18"/>
              </w:rPr>
              <w:t>份额类别</w:t>
            </w:r>
          </w:p>
        </w:tc>
        <w:tc>
          <w:tcPr>
            <w:tcW w:w="7699" w:type="dxa"/>
            <w:shd w:val="solid" w:color="FFFFFF" w:fill="FFFFFF"/>
            <w:vAlign w:val="center"/>
          </w:tcPr>
          <w:p>
            <w:pPr>
              <w:spacing w:line="360" w:lineRule="auto"/>
              <w:rPr>
                <w:rFonts w:ascii="宋体" w:hAnsi="宋体"/>
                <w:bCs/>
                <w:sz w:val="18"/>
                <w:szCs w:val="18"/>
              </w:rPr>
            </w:pPr>
            <w:r>
              <w:rPr>
                <w:rFonts w:ascii="宋体" w:hAnsi="宋体"/>
                <w:bCs/>
                <w:sz w:val="18"/>
                <w:szCs w:val="18"/>
              </w:rPr>
              <w:t>1</w:t>
            </w:r>
            <w:r>
              <w:rPr>
                <w:rFonts w:hint="eastAsia" w:ascii="宋体" w:hAnsi="宋体"/>
                <w:bCs/>
                <w:sz w:val="18"/>
                <w:szCs w:val="18"/>
              </w:rPr>
              <w:t>.本产品根据投资者购买理财产品的金额、</w:t>
            </w:r>
            <w:r>
              <w:rPr>
                <w:rFonts w:ascii="宋体" w:hAnsi="宋体"/>
                <w:bCs/>
                <w:sz w:val="18"/>
                <w:szCs w:val="18"/>
              </w:rPr>
              <w:t>投资者</w:t>
            </w:r>
            <w:r>
              <w:rPr>
                <w:rFonts w:hint="eastAsia" w:ascii="宋体" w:hAnsi="宋体"/>
                <w:bCs/>
                <w:sz w:val="18"/>
                <w:szCs w:val="18"/>
              </w:rPr>
              <w:t>类型、</w:t>
            </w:r>
            <w:r>
              <w:rPr>
                <w:rFonts w:ascii="宋体" w:hAnsi="宋体"/>
                <w:bCs/>
                <w:sz w:val="18"/>
                <w:szCs w:val="18"/>
              </w:rPr>
              <w:t>销售渠道</w:t>
            </w:r>
            <w:r>
              <w:rPr>
                <w:rFonts w:hint="eastAsia" w:ascii="宋体" w:hAnsi="宋体"/>
                <w:bCs/>
                <w:sz w:val="18"/>
                <w:szCs w:val="18"/>
              </w:rPr>
              <w:t>等因素，对投资者所持有的理财产品份额设置不同的理财产品份额类别。</w:t>
            </w:r>
          </w:p>
          <w:p>
            <w:pPr>
              <w:spacing w:line="360" w:lineRule="auto"/>
              <w:rPr>
                <w:rFonts w:ascii="宋体" w:hAnsi="宋体"/>
                <w:bCs/>
                <w:sz w:val="18"/>
                <w:szCs w:val="18"/>
              </w:rPr>
            </w:pPr>
            <w:r>
              <w:rPr>
                <w:rFonts w:ascii="宋体" w:hAnsi="宋体"/>
                <w:bCs/>
                <w:sz w:val="18"/>
                <w:szCs w:val="18"/>
              </w:rPr>
              <w:t>2</w:t>
            </w:r>
            <w:r>
              <w:rPr>
                <w:rFonts w:hint="eastAsia" w:ascii="宋体" w:hAnsi="宋体"/>
                <w:bCs/>
                <w:sz w:val="18"/>
                <w:szCs w:val="18"/>
              </w:rPr>
              <w:t>.本产品设置不同的理财产品份额，每类理财产品份额以下内容可能单独设置：</w:t>
            </w:r>
          </w:p>
          <w:p>
            <w:pPr>
              <w:spacing w:line="360" w:lineRule="auto"/>
              <w:rPr>
                <w:rFonts w:ascii="宋体" w:hAnsi="宋体"/>
                <w:bCs/>
                <w:sz w:val="18"/>
                <w:szCs w:val="18"/>
              </w:rPr>
            </w:pPr>
            <w:r>
              <w:rPr>
                <w:rFonts w:hint="eastAsia" w:ascii="宋体" w:hAnsi="宋体"/>
                <w:bCs/>
                <w:sz w:val="18"/>
                <w:szCs w:val="18"/>
              </w:rPr>
              <w:t>（1）销售名称</w:t>
            </w:r>
          </w:p>
          <w:p>
            <w:pPr>
              <w:spacing w:line="360" w:lineRule="auto"/>
              <w:rPr>
                <w:rFonts w:ascii="宋体" w:hAnsi="宋体"/>
                <w:bCs/>
                <w:sz w:val="18"/>
                <w:szCs w:val="18"/>
              </w:rPr>
            </w:pPr>
            <w:r>
              <w:rPr>
                <w:rFonts w:hint="eastAsia" w:ascii="宋体" w:hAnsi="宋体"/>
                <w:bCs/>
                <w:sz w:val="18"/>
                <w:szCs w:val="18"/>
              </w:rPr>
              <w:t>（2）收费方式</w:t>
            </w:r>
          </w:p>
          <w:p>
            <w:pPr>
              <w:spacing w:line="360" w:lineRule="auto"/>
              <w:rPr>
                <w:rFonts w:ascii="宋体" w:hAnsi="宋体"/>
                <w:bCs/>
                <w:sz w:val="18"/>
                <w:szCs w:val="18"/>
              </w:rPr>
            </w:pPr>
            <w:r>
              <w:rPr>
                <w:rFonts w:hint="eastAsia" w:ascii="宋体" w:hAnsi="宋体"/>
                <w:bCs/>
                <w:sz w:val="18"/>
                <w:szCs w:val="18"/>
              </w:rPr>
              <w:t>（3）销售服务费</w:t>
            </w:r>
          </w:p>
          <w:p>
            <w:pPr>
              <w:spacing w:line="360" w:lineRule="auto"/>
              <w:rPr>
                <w:rFonts w:ascii="宋体" w:hAnsi="宋体"/>
                <w:bCs/>
                <w:sz w:val="18"/>
                <w:szCs w:val="18"/>
              </w:rPr>
            </w:pPr>
            <w:r>
              <w:rPr>
                <w:rFonts w:hint="eastAsia" w:ascii="宋体" w:hAnsi="宋体"/>
                <w:bCs/>
                <w:sz w:val="18"/>
                <w:szCs w:val="18"/>
              </w:rPr>
              <w:t>（4）销售代码</w:t>
            </w:r>
          </w:p>
          <w:p>
            <w:pPr>
              <w:spacing w:line="360" w:lineRule="auto"/>
              <w:rPr>
                <w:rFonts w:ascii="宋体" w:hAnsi="宋体"/>
                <w:bCs/>
                <w:sz w:val="18"/>
                <w:szCs w:val="18"/>
              </w:rPr>
            </w:pPr>
            <w:r>
              <w:rPr>
                <w:rFonts w:hint="eastAsia" w:ascii="宋体" w:hAnsi="宋体"/>
                <w:bCs/>
                <w:sz w:val="18"/>
                <w:szCs w:val="18"/>
              </w:rPr>
              <w:t>（5）销售对象</w:t>
            </w:r>
          </w:p>
          <w:p>
            <w:pPr>
              <w:spacing w:line="360" w:lineRule="auto"/>
              <w:rPr>
                <w:rFonts w:ascii="宋体" w:hAnsi="宋体"/>
                <w:bCs/>
                <w:sz w:val="18"/>
                <w:szCs w:val="18"/>
              </w:rPr>
            </w:pPr>
            <w:r>
              <w:rPr>
                <w:rFonts w:hint="eastAsia" w:ascii="宋体" w:hAnsi="宋体"/>
                <w:bCs/>
                <w:sz w:val="18"/>
                <w:szCs w:val="18"/>
              </w:rPr>
              <w:t>（6）销售起点金额（认购、申购的起点金额）</w:t>
            </w:r>
          </w:p>
          <w:p>
            <w:pPr>
              <w:spacing w:line="360" w:lineRule="auto"/>
              <w:rPr>
                <w:rFonts w:ascii="宋体" w:hAnsi="宋体"/>
                <w:bCs/>
                <w:sz w:val="18"/>
                <w:szCs w:val="18"/>
              </w:rPr>
            </w:pPr>
            <w:r>
              <w:rPr>
                <w:rFonts w:hint="eastAsia" w:ascii="宋体" w:hAnsi="宋体"/>
                <w:bCs/>
                <w:sz w:val="18"/>
                <w:szCs w:val="18"/>
              </w:rPr>
              <w:t>（7）投资者认购、申购和赎回的数量限制</w:t>
            </w:r>
          </w:p>
          <w:p>
            <w:pPr>
              <w:spacing w:line="360" w:lineRule="auto"/>
              <w:rPr>
                <w:rFonts w:ascii="宋体" w:hAnsi="宋体"/>
                <w:bCs/>
                <w:sz w:val="18"/>
                <w:szCs w:val="18"/>
              </w:rPr>
            </w:pPr>
            <w:r>
              <w:rPr>
                <w:rFonts w:hint="eastAsia" w:ascii="宋体" w:hAnsi="宋体"/>
                <w:bCs/>
                <w:sz w:val="18"/>
                <w:szCs w:val="18"/>
              </w:rPr>
              <w:t>（8）投资者</w:t>
            </w:r>
            <w:r>
              <w:rPr>
                <w:rFonts w:hint="eastAsia" w:asciiTheme="minorEastAsia" w:hAnsiTheme="minorEastAsia"/>
                <w:bCs/>
                <w:sz w:val="18"/>
                <w:szCs w:val="18"/>
              </w:rPr>
              <w:t>持有本产品的最高限额、最低限额</w:t>
            </w:r>
          </w:p>
          <w:p>
            <w:pPr>
              <w:spacing w:line="360" w:lineRule="auto"/>
              <w:rPr>
                <w:rFonts w:ascii="宋体" w:hAnsi="宋体"/>
                <w:bCs/>
                <w:sz w:val="18"/>
                <w:szCs w:val="18"/>
              </w:rPr>
            </w:pPr>
            <w:r>
              <w:rPr>
                <w:rFonts w:hint="eastAsia" w:ascii="宋体" w:hAnsi="宋体"/>
                <w:bCs/>
                <w:sz w:val="18"/>
                <w:szCs w:val="18"/>
              </w:rPr>
              <w:t>（9）分别计算和公告产品份额净值</w:t>
            </w:r>
          </w:p>
          <w:p>
            <w:pPr>
              <w:spacing w:line="360" w:lineRule="auto"/>
              <w:rPr>
                <w:rFonts w:ascii="宋体" w:hAnsi="宋体"/>
                <w:bCs/>
                <w:sz w:val="18"/>
                <w:szCs w:val="18"/>
              </w:rPr>
            </w:pPr>
            <w:r>
              <w:rPr>
                <w:rFonts w:ascii="宋体" w:hAnsi="宋体"/>
                <w:bCs/>
                <w:sz w:val="18"/>
                <w:szCs w:val="18"/>
              </w:rPr>
              <w:t>3</w:t>
            </w:r>
            <w:r>
              <w:rPr>
                <w:rFonts w:hint="eastAsia" w:ascii="宋体" w:hAnsi="宋体"/>
                <w:bCs/>
                <w:sz w:val="18"/>
                <w:szCs w:val="18"/>
              </w:rPr>
              <w:t>.投资者可根据实际情况自行选择认购的产品份额类别。</w:t>
            </w:r>
          </w:p>
          <w:p>
            <w:pPr>
              <w:spacing w:line="360" w:lineRule="auto"/>
              <w:rPr>
                <w:rFonts w:ascii="宋体" w:hAnsi="宋体"/>
                <w:b/>
                <w:bCs/>
                <w:sz w:val="18"/>
                <w:szCs w:val="18"/>
              </w:rPr>
            </w:pPr>
            <w:r>
              <w:rPr>
                <w:rFonts w:hint="eastAsia" w:ascii="黑体" w:hAnsi="黑体" w:eastAsia="黑体"/>
                <w:sz w:val="18"/>
                <w:szCs w:val="18"/>
              </w:rPr>
              <w:t>注：本产品说明书所列示产品份额类别仅为本产品项下某一类产品份额。其他类别的产品份额情况以产品管理人披露为准。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b/>
                <w:bCs/>
                <w:sz w:val="18"/>
                <w:szCs w:val="18"/>
              </w:rPr>
            </w:pPr>
            <w:r>
              <w:rPr>
                <w:rFonts w:hint="eastAsia" w:hAnsi="宋体"/>
                <w:sz w:val="18"/>
                <w:szCs w:val="18"/>
              </w:rPr>
              <w:t>★</w:t>
            </w:r>
            <w:r>
              <w:rPr>
                <w:rFonts w:hint="eastAsia" w:asciiTheme="majorEastAsia" w:hAnsiTheme="majorEastAsia" w:eastAsiaTheme="majorEastAsia"/>
                <w:b/>
                <w:sz w:val="18"/>
                <w:szCs w:val="18"/>
              </w:rPr>
              <w:t>产品基本类型</w:t>
            </w:r>
          </w:p>
        </w:tc>
        <w:tc>
          <w:tcPr>
            <w:tcW w:w="7699" w:type="dxa"/>
            <w:shd w:val="solid" w:color="FFFFFF" w:fill="FFFFFF"/>
            <w:vAlign w:val="center"/>
          </w:tcPr>
          <w:p>
            <w:pPr>
              <w:spacing w:line="360" w:lineRule="auto"/>
              <w:rPr>
                <w:rFonts w:ascii="黑体" w:hAnsi="黑体" w:eastAsia="黑体"/>
                <w:b/>
                <w:bCs/>
                <w:sz w:val="18"/>
                <w:szCs w:val="18"/>
              </w:rPr>
            </w:pPr>
            <w:r>
              <w:rPr>
                <w:rFonts w:hint="eastAsia" w:ascii="黑体" w:hAnsi="黑体" w:eastAsia="黑体"/>
                <w:sz w:val="18"/>
                <w:szCs w:val="18"/>
              </w:rPr>
              <w:t>公募</w:t>
            </w:r>
            <w:r>
              <w:rPr>
                <w:rFonts w:hint="eastAsia" w:ascii="黑体" w:hAnsi="黑体" w:eastAsia="黑体"/>
                <w:bCs/>
                <w:sz w:val="18"/>
                <w:szCs w:val="18"/>
              </w:rPr>
              <w:t>、开放式、固定</w:t>
            </w:r>
            <w:r>
              <w:rPr>
                <w:rFonts w:ascii="黑体" w:hAnsi="黑体" w:eastAsia="黑体"/>
                <w:bCs/>
                <w:sz w:val="18"/>
                <w:szCs w:val="18"/>
              </w:rPr>
              <w:t>收益</w:t>
            </w:r>
            <w:r>
              <w:rPr>
                <w:rFonts w:hint="eastAsia" w:ascii="黑体" w:hAnsi="黑体" w:eastAsia="黑体"/>
                <w:bCs/>
                <w:sz w:val="18"/>
                <w:szCs w:val="18"/>
              </w:rPr>
              <w:t>类、非保本浮动</w:t>
            </w:r>
            <w:r>
              <w:rPr>
                <w:rFonts w:ascii="黑体" w:hAnsi="黑体" w:eastAsia="黑体"/>
                <w:bCs/>
                <w:sz w:val="18"/>
                <w:szCs w:val="18"/>
              </w:rPr>
              <w:t>收益</w:t>
            </w:r>
            <w:r>
              <w:rPr>
                <w:rFonts w:hint="eastAsia" w:ascii="黑体" w:hAnsi="黑体" w:eastAsia="黑体"/>
                <w:bCs/>
                <w:sz w:val="18"/>
                <w:szCs w:val="18"/>
              </w:rPr>
              <w:t>、净值型</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产品募集方式</w:t>
            </w:r>
          </w:p>
        </w:tc>
        <w:tc>
          <w:tcPr>
            <w:tcW w:w="7699" w:type="dxa"/>
            <w:shd w:val="solid" w:color="FFFFFF" w:fill="FFFFFF"/>
            <w:vAlign w:val="center"/>
          </w:tcPr>
          <w:p>
            <w:pPr>
              <w:spacing w:line="360" w:lineRule="auto"/>
              <w:rPr>
                <w:rFonts w:ascii="宋体" w:hAnsi="宋体"/>
                <w:b/>
                <w:bCs/>
                <w:sz w:val="18"/>
                <w:szCs w:val="18"/>
              </w:rPr>
            </w:pPr>
            <w:r>
              <w:rPr>
                <w:rFonts w:hint="eastAsia" w:asciiTheme="majorEastAsia" w:hAnsiTheme="majorEastAsia" w:eastAsiaTheme="majorEastAsia"/>
                <w:sz w:val="18"/>
                <w:szCs w:val="18"/>
              </w:rPr>
              <w:t>公募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产品运作方式</w:t>
            </w:r>
          </w:p>
        </w:tc>
        <w:tc>
          <w:tcPr>
            <w:tcW w:w="7699" w:type="dxa"/>
            <w:shd w:val="solid" w:color="FFFFFF" w:fill="FFFFFF"/>
            <w:vAlign w:val="center"/>
          </w:tcPr>
          <w:p>
            <w:pPr>
              <w:spacing w:line="360" w:lineRule="auto"/>
              <w:rPr>
                <w:rFonts w:ascii="宋体" w:hAnsi="宋体"/>
                <w:b/>
                <w:bCs/>
                <w:sz w:val="18"/>
                <w:szCs w:val="18"/>
              </w:rPr>
            </w:pPr>
            <w:r>
              <w:rPr>
                <w:rFonts w:hint="eastAsia" w:ascii="宋体" w:hAnsi="宋体"/>
                <w:bCs/>
                <w:sz w:val="18"/>
                <w:szCs w:val="18"/>
              </w:rPr>
              <w:t>开放式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黑体" w:hAnsi="黑体" w:eastAsia="黑体"/>
                <w:sz w:val="18"/>
                <w:szCs w:val="18"/>
              </w:rPr>
              <w:t>★</w:t>
            </w:r>
            <w:r>
              <w:rPr>
                <w:rFonts w:hint="eastAsia" w:asciiTheme="majorEastAsia" w:hAnsiTheme="majorEastAsia" w:eastAsiaTheme="majorEastAsia"/>
                <w:b/>
                <w:sz w:val="18"/>
                <w:szCs w:val="18"/>
              </w:rPr>
              <w:t>产品投资性质</w:t>
            </w:r>
          </w:p>
        </w:tc>
        <w:tc>
          <w:tcPr>
            <w:tcW w:w="7699" w:type="dxa"/>
            <w:shd w:val="solid" w:color="FFFFFF" w:fill="FFFFFF"/>
            <w:vAlign w:val="center"/>
          </w:tcPr>
          <w:p>
            <w:pPr>
              <w:adjustRightInd w:val="0"/>
              <w:snapToGrid w:val="0"/>
              <w:spacing w:line="360" w:lineRule="auto"/>
              <w:rPr>
                <w:rFonts w:ascii="黑体" w:hAnsi="黑体" w:eastAsia="黑体"/>
                <w:bCs/>
                <w:sz w:val="18"/>
                <w:szCs w:val="18"/>
              </w:rPr>
            </w:pPr>
            <w:r>
              <w:rPr>
                <w:rFonts w:hint="eastAsia" w:ascii="黑体" w:hAnsi="黑体" w:eastAsia="黑体"/>
                <w:bCs/>
                <w:sz w:val="18"/>
                <w:szCs w:val="18"/>
              </w:rPr>
              <w:t>固定收益类</w:t>
            </w:r>
          </w:p>
          <w:p>
            <w:pPr>
              <w:adjustRightInd w:val="0"/>
              <w:snapToGrid w:val="0"/>
              <w:spacing w:line="360" w:lineRule="auto"/>
              <w:rPr>
                <w:rFonts w:ascii="黑体" w:hAnsi="黑体" w:eastAsia="黑体"/>
                <w:bCs/>
                <w:sz w:val="18"/>
                <w:szCs w:val="18"/>
              </w:rPr>
            </w:pPr>
            <w:r>
              <w:rPr>
                <w:rFonts w:hint="eastAsia" w:ascii="黑体" w:hAnsi="黑体" w:eastAsia="黑体"/>
                <w:bCs/>
                <w:sz w:val="18"/>
                <w:szCs w:val="18"/>
              </w:rPr>
              <w:t>固定</w:t>
            </w:r>
            <w:r>
              <w:rPr>
                <w:rFonts w:ascii="黑体" w:hAnsi="黑体" w:eastAsia="黑体"/>
                <w:bCs/>
                <w:sz w:val="18"/>
                <w:szCs w:val="18"/>
              </w:rPr>
              <w:t>收益</w:t>
            </w:r>
            <w:r>
              <w:rPr>
                <w:rFonts w:hint="eastAsia" w:ascii="黑体" w:hAnsi="黑体" w:eastAsia="黑体"/>
                <w:bCs/>
                <w:sz w:val="18"/>
                <w:szCs w:val="18"/>
              </w:rPr>
              <w:t>类</w:t>
            </w:r>
            <w:r>
              <w:rPr>
                <w:rFonts w:ascii="黑体" w:hAnsi="黑体" w:eastAsia="黑体"/>
                <w:bCs/>
                <w:sz w:val="18"/>
                <w:szCs w:val="18"/>
              </w:rPr>
              <w:t>产品是指根据监管</w:t>
            </w:r>
            <w:r>
              <w:rPr>
                <w:rFonts w:hint="eastAsia" w:ascii="黑体" w:hAnsi="黑体" w:eastAsia="黑体"/>
                <w:bCs/>
                <w:sz w:val="18"/>
                <w:szCs w:val="18"/>
              </w:rPr>
              <w:t>相关规定</w:t>
            </w:r>
            <w:r>
              <w:rPr>
                <w:rFonts w:ascii="黑体" w:hAnsi="黑体" w:eastAsia="黑体"/>
                <w:bCs/>
                <w:sz w:val="18"/>
                <w:szCs w:val="18"/>
              </w:rPr>
              <w:t>，投资于债权类资产的</w:t>
            </w:r>
            <w:r>
              <w:rPr>
                <w:rFonts w:hint="eastAsia" w:ascii="黑体" w:hAnsi="黑体" w:eastAsia="黑体"/>
                <w:bCs/>
                <w:sz w:val="18"/>
                <w:szCs w:val="18"/>
              </w:rPr>
              <w:t>比例</w:t>
            </w:r>
            <w:r>
              <w:rPr>
                <w:rFonts w:ascii="黑体" w:hAnsi="黑体" w:eastAsia="黑体"/>
                <w:bCs/>
                <w:sz w:val="18"/>
                <w:szCs w:val="18"/>
              </w:rPr>
              <w:t>不低于80%的产品</w:t>
            </w:r>
            <w:r>
              <w:rPr>
                <w:rFonts w:hint="eastAsia" w:ascii="黑体" w:hAnsi="黑体" w:eastAsia="黑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黑体" w:hAnsi="黑体" w:eastAsia="黑体"/>
                <w:sz w:val="18"/>
                <w:szCs w:val="18"/>
              </w:rPr>
              <w:t>★</w:t>
            </w:r>
            <w:r>
              <w:rPr>
                <w:rFonts w:hint="eastAsia" w:asciiTheme="majorEastAsia" w:hAnsiTheme="majorEastAsia" w:eastAsiaTheme="majorEastAsia"/>
                <w:b/>
                <w:sz w:val="18"/>
                <w:szCs w:val="18"/>
              </w:rPr>
              <w:t>产品</w:t>
            </w:r>
            <w:r>
              <w:rPr>
                <w:rFonts w:asciiTheme="majorEastAsia" w:hAnsiTheme="majorEastAsia" w:eastAsiaTheme="majorEastAsia"/>
                <w:b/>
                <w:sz w:val="18"/>
                <w:szCs w:val="18"/>
              </w:rPr>
              <w:t>收益特征</w:t>
            </w:r>
          </w:p>
        </w:tc>
        <w:tc>
          <w:tcPr>
            <w:tcW w:w="7699" w:type="dxa"/>
            <w:shd w:val="solid" w:color="FFFFFF" w:fill="FFFFFF"/>
            <w:vAlign w:val="center"/>
          </w:tcPr>
          <w:p>
            <w:pPr>
              <w:adjustRightInd w:val="0"/>
              <w:snapToGrid w:val="0"/>
              <w:spacing w:line="360" w:lineRule="auto"/>
              <w:rPr>
                <w:rFonts w:ascii="黑体" w:hAnsi="黑体" w:eastAsia="黑体"/>
                <w:b/>
                <w:sz w:val="18"/>
                <w:szCs w:val="18"/>
              </w:rPr>
            </w:pPr>
            <w:r>
              <w:rPr>
                <w:rFonts w:hint="eastAsia" w:ascii="黑体" w:hAnsi="黑体" w:eastAsia="黑体"/>
                <w:sz w:val="18"/>
                <w:szCs w:val="18"/>
              </w:rPr>
              <w:t>非保本浮动收益</w:t>
            </w:r>
          </w:p>
          <w:p>
            <w:pPr>
              <w:adjustRightInd w:val="0"/>
              <w:snapToGrid w:val="0"/>
              <w:spacing w:line="360" w:lineRule="auto"/>
              <w:rPr>
                <w:rFonts w:ascii="黑体" w:hAnsi="黑体" w:eastAsia="黑体"/>
                <w:sz w:val="18"/>
                <w:szCs w:val="18"/>
              </w:rPr>
            </w:pPr>
            <w:r>
              <w:rPr>
                <w:rFonts w:hint="eastAsia" w:ascii="黑体" w:hAnsi="黑体" w:eastAsia="黑体"/>
                <w:sz w:val="18"/>
                <w:szCs w:val="18"/>
              </w:rPr>
              <w:t>本产品不保证本金且不保证收益。本产品的收益随投资收益浮动，投资者可能会因市场变动而蒙受损失。</w:t>
            </w:r>
          </w:p>
          <w:p>
            <w:pPr>
              <w:adjustRightInd w:val="0"/>
              <w:snapToGrid w:val="0"/>
              <w:spacing w:line="360" w:lineRule="auto"/>
              <w:rPr>
                <w:rFonts w:ascii="黑体" w:hAnsi="黑体" w:eastAsia="黑体"/>
                <w:b/>
                <w:color w:val="000000" w:themeColor="text1"/>
                <w:sz w:val="18"/>
                <w:szCs w:val="18"/>
                <w14:textFill>
                  <w14:solidFill>
                    <w14:schemeClr w14:val="tx1"/>
                  </w14:solidFill>
                </w14:textFill>
              </w:rPr>
            </w:pPr>
            <w:r>
              <w:rPr>
                <w:rFonts w:hint="eastAsia" w:ascii="黑体" w:hAnsi="黑体" w:eastAsia="黑体"/>
                <w:bCs/>
                <w:sz w:val="18"/>
                <w:szCs w:val="18"/>
              </w:rPr>
              <w:t>产品管理人对本产品的本金并不提供保证，也不承诺任何固定收益。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理财币种</w:t>
            </w:r>
          </w:p>
        </w:tc>
        <w:tc>
          <w:tcPr>
            <w:tcW w:w="7699"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人民币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Theme="majorEastAsia" w:hAnsiTheme="majorEastAsia" w:eastAsiaTheme="majorEastAsia"/>
                <w:b/>
                <w:bCs/>
                <w:sz w:val="18"/>
                <w:szCs w:val="18"/>
              </w:rPr>
              <w:t>产品风险评级</w:t>
            </w:r>
          </w:p>
        </w:tc>
        <w:tc>
          <w:tcPr>
            <w:tcW w:w="7699" w:type="dxa"/>
            <w:shd w:val="solid" w:color="FFFFFF" w:fill="FFFFFF"/>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 xml:space="preserve">本产品属于【■ </w:t>
            </w:r>
            <w:r>
              <w:rPr>
                <w:rFonts w:asciiTheme="majorEastAsia" w:hAnsiTheme="majorEastAsia" w:eastAsiaTheme="majorEastAsia"/>
                <w:bCs/>
                <w:sz w:val="18"/>
                <w:szCs w:val="18"/>
              </w:rPr>
              <w:t>R1、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R2、</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R4、</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R5】理财产品</w:t>
            </w:r>
            <w:r>
              <w:rPr>
                <w:rFonts w:hint="eastAsia" w:asciiTheme="majorEastAsia" w:hAnsiTheme="majorEastAsia" w:eastAsiaTheme="majorEastAsia"/>
                <w:bCs/>
                <w:sz w:val="18"/>
                <w:szCs w:val="18"/>
              </w:rPr>
              <w:t>。</w:t>
            </w:r>
          </w:p>
          <w:p>
            <w:pPr>
              <w:spacing w:line="360" w:lineRule="auto"/>
              <w:rPr>
                <w:rFonts w:ascii="黑体" w:hAnsi="黑体" w:eastAsia="黑体"/>
                <w:sz w:val="18"/>
                <w:szCs w:val="18"/>
              </w:rPr>
            </w:pPr>
            <w:r>
              <w:rPr>
                <w:rFonts w:hint="eastAsia" w:ascii="黑体" w:hAnsi="黑体" w:eastAsia="黑体"/>
                <w:sz w:val="18"/>
                <w:szCs w:val="18"/>
              </w:rPr>
              <w:t>本评级为理财产品管理人内部评级，仅供参考。</w:t>
            </w:r>
          </w:p>
          <w:p>
            <w:pPr>
              <w:spacing w:line="360" w:lineRule="auto"/>
              <w:rPr>
                <w:rFonts w:ascii="宋体" w:hAnsi="宋体"/>
                <w:b/>
                <w:bCs/>
                <w:sz w:val="18"/>
                <w:szCs w:val="18"/>
              </w:rPr>
            </w:pPr>
            <w:r>
              <w:rPr>
                <w:rFonts w:hint="eastAsia" w:ascii="黑体" w:hAnsi="黑体" w:eastAsia="黑体"/>
                <w:bCs/>
                <w:sz w:val="18"/>
                <w:szCs w:val="18"/>
              </w:rPr>
              <w:t>注</w:t>
            </w:r>
            <w:r>
              <w:rPr>
                <w:rFonts w:ascii="黑体" w:hAnsi="黑体" w:eastAsia="黑体"/>
                <w:bCs/>
                <w:sz w:val="18"/>
                <w:szCs w:val="18"/>
              </w:rPr>
              <w:t>：</w:t>
            </w:r>
            <w:r>
              <w:rPr>
                <w:rFonts w:hint="eastAsia" w:ascii="黑体" w:hAnsi="黑体" w:eastAsia="黑体"/>
                <w:bCs/>
                <w:sz w:val="18"/>
                <w:szCs w:val="18"/>
              </w:rPr>
              <w:t>若本</w:t>
            </w:r>
            <w:r>
              <w:rPr>
                <w:rFonts w:ascii="黑体" w:hAnsi="黑体" w:eastAsia="黑体"/>
                <w:bCs/>
                <w:sz w:val="18"/>
                <w:szCs w:val="18"/>
              </w:rPr>
              <w:t>产品通过代理销售机构销售的，</w:t>
            </w:r>
            <w:r>
              <w:rPr>
                <w:rFonts w:hint="eastAsia" w:ascii="黑体" w:hAnsi="黑体" w:eastAsia="黑体"/>
                <w:bCs/>
                <w:sz w:val="18"/>
                <w:szCs w:val="18"/>
              </w:rPr>
              <w:t>理财产品</w:t>
            </w:r>
            <w:r>
              <w:rPr>
                <w:rFonts w:ascii="黑体" w:hAnsi="黑体" w:eastAsia="黑体"/>
                <w:bCs/>
                <w:sz w:val="18"/>
                <w:szCs w:val="18"/>
              </w:rPr>
              <w:t>评级</w:t>
            </w:r>
            <w:r>
              <w:rPr>
                <w:rFonts w:hint="eastAsia" w:ascii="黑体" w:hAnsi="黑体" w:eastAsia="黑体"/>
                <w:bCs/>
                <w:sz w:val="18"/>
                <w:szCs w:val="18"/>
              </w:rPr>
              <w:t>以</w:t>
            </w:r>
            <w:r>
              <w:rPr>
                <w:rFonts w:ascii="黑体" w:hAnsi="黑体" w:eastAsia="黑体"/>
                <w:bCs/>
                <w:sz w:val="18"/>
                <w:szCs w:val="18"/>
              </w:rPr>
              <w:t>代理销售机构最终披露的评级结果为准。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销售对象</w:t>
            </w:r>
          </w:p>
        </w:tc>
        <w:tc>
          <w:tcPr>
            <w:tcW w:w="7699" w:type="dxa"/>
            <w:shd w:val="solid" w:color="FFFFFF" w:fill="FFFFFF"/>
            <w:vAlign w:val="bottom"/>
          </w:tcPr>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asciiTheme="majorEastAsia" w:hAnsiTheme="majorEastAsia" w:eastAsiaTheme="majorEastAsia"/>
                <w:bCs/>
                <w:color w:val="000000" w:themeColor="text1"/>
                <w:sz w:val="18"/>
                <w:szCs w:val="18"/>
                <w14:textFill>
                  <w14:solidFill>
                    <w14:schemeClr w14:val="tx1"/>
                  </w14:solidFill>
                </w14:textFill>
              </w:rPr>
              <w:t>本产品适合以下类型投资者：</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个人投资者</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机构投资者</w:t>
            </w:r>
            <w:r>
              <w:rPr>
                <w:rFonts w:hint="eastAsia" w:asciiTheme="majorEastAsia" w:hAnsiTheme="majorEastAsia" w:eastAsiaTheme="majorEastAsia"/>
                <w:bCs/>
                <w:color w:val="000000" w:themeColor="text1"/>
                <w:sz w:val="18"/>
                <w:szCs w:val="18"/>
                <w:lang w:val="en-US" w:eastAsia="zh-CN"/>
                <w14:textFill>
                  <w14:solidFill>
                    <w14:schemeClr w14:val="tx1"/>
                  </w14:solidFill>
                </w14:textFill>
              </w:rPr>
              <w:t xml:space="preserve">  </w:t>
            </w: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一般</w:t>
            </w:r>
            <w:r>
              <w:rPr>
                <w:rFonts w:asciiTheme="majorEastAsia" w:hAnsiTheme="majorEastAsia" w:eastAsiaTheme="majorEastAsia"/>
                <w:bCs/>
                <w:color w:val="000000" w:themeColor="text1"/>
                <w:sz w:val="18"/>
                <w:szCs w:val="18"/>
                <w14:textFill>
                  <w14:solidFill>
                    <w14:schemeClr w14:val="tx1"/>
                  </w14:solidFill>
                </w14:textFill>
              </w:rPr>
              <w:t>机构</w:t>
            </w:r>
            <w:r>
              <w:rPr>
                <w:rFonts w:hint="eastAsia" w:asciiTheme="majorEastAsia" w:hAnsiTheme="majorEastAsia" w:eastAsiaTheme="majorEastAsia"/>
                <w:bCs/>
                <w:color w:val="000000" w:themeColor="text1"/>
                <w:sz w:val="18"/>
                <w:szCs w:val="18"/>
                <w14:textFill>
                  <w14:solidFill>
                    <w14:schemeClr w14:val="tx1"/>
                  </w14:solidFill>
                </w14:textFill>
              </w:rPr>
              <w:t xml:space="preserve">客户 </w:t>
            </w:r>
            <w:r>
              <w:rPr>
                <w:rFonts w:asciiTheme="majorEastAsia" w:hAnsiTheme="majorEastAsia" w:eastAsiaTheme="majorEastAsia"/>
                <w:bCs/>
                <w:color w:val="000000" w:themeColor="text1"/>
                <w:sz w:val="18"/>
                <w:szCs w:val="18"/>
                <w14:textFill>
                  <w14:solidFill>
                    <w14:schemeClr w14:val="tx1"/>
                  </w14:solidFill>
                </w14:textFill>
              </w:rPr>
              <w:t xml:space="preserve"> </w:t>
            </w: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金融同业客户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销售场景</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本产品可在销售机构线上渠道和线下渠道等场景进行销售。</w:t>
            </w:r>
          </w:p>
          <w:p>
            <w:pPr>
              <w:spacing w:line="360" w:lineRule="auto"/>
              <w:rPr>
                <w:rFonts w:asciiTheme="majorEastAsia" w:hAnsiTheme="majorEastAsia" w:eastAsiaTheme="majorEastAsia"/>
                <w:b/>
                <w:bCs/>
                <w:color w:val="000000" w:themeColor="text1"/>
                <w:sz w:val="18"/>
                <w:szCs w:val="18"/>
                <w14:textFill>
                  <w14:solidFill>
                    <w14:schemeClr w14:val="tx1"/>
                  </w14:solidFill>
                </w14:textFill>
              </w:rPr>
            </w:pPr>
            <w:r>
              <w:rPr>
                <w:rFonts w:hint="eastAsia" w:ascii="黑体" w:hAnsi="黑体" w:eastAsia="黑体"/>
                <w:sz w:val="18"/>
                <w:szCs w:val="18"/>
              </w:rPr>
              <w:t>注：当销售机构销售产品风险评级为</w:t>
            </w:r>
            <w:r>
              <w:rPr>
                <w:rFonts w:ascii="黑体" w:hAnsi="黑体" w:eastAsia="黑体"/>
                <w:sz w:val="18"/>
                <w:szCs w:val="18"/>
              </w:rPr>
              <w:t>R4</w:t>
            </w:r>
            <w:r>
              <w:rPr>
                <w:rFonts w:hint="eastAsia" w:ascii="黑体" w:hAnsi="黑体" w:eastAsia="黑体"/>
                <w:sz w:val="18"/>
                <w:szCs w:val="18"/>
              </w:rPr>
              <w:t>及</w:t>
            </w:r>
            <w:r>
              <w:rPr>
                <w:rFonts w:ascii="黑体" w:hAnsi="黑体" w:eastAsia="黑体"/>
                <w:sz w:val="18"/>
                <w:szCs w:val="18"/>
              </w:rPr>
              <w:t>以上</w:t>
            </w:r>
            <w:r>
              <w:rPr>
                <w:rFonts w:hint="eastAsia" w:ascii="黑体" w:hAnsi="黑体" w:eastAsia="黑体"/>
                <w:sz w:val="18"/>
                <w:szCs w:val="18"/>
              </w:rPr>
              <w:t>的理财产品时，可在销售机构的营业网点进行，也可依据销售机构的政策在营业网点之外的其他场景进行（具体政策以销售机构公布执行的为准）。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sz w:val="18"/>
                <w:szCs w:val="18"/>
              </w:rPr>
              <w:t>销售机构</w:t>
            </w:r>
          </w:p>
        </w:tc>
        <w:tc>
          <w:tcPr>
            <w:tcW w:w="7699"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 直销适用</w:t>
            </w:r>
          </w:p>
          <w:p>
            <w:pPr>
              <w:spacing w:line="360" w:lineRule="auto"/>
              <w:jc w:val="left"/>
              <w:rPr>
                <w:rFonts w:ascii="宋体" w:hAnsi="宋体"/>
                <w:sz w:val="18"/>
                <w:szCs w:val="18"/>
              </w:rPr>
            </w:pPr>
            <w:r>
              <w:rPr>
                <w:rFonts w:hint="eastAsia" w:ascii="宋体" w:hAnsi="宋体"/>
                <w:sz w:val="18"/>
                <w:szCs w:val="18"/>
              </w:rPr>
              <w:t>本产品由产品管理人销售。</w:t>
            </w:r>
          </w:p>
          <w:p>
            <w:pPr>
              <w:spacing w:line="360" w:lineRule="auto"/>
              <w:jc w:val="left"/>
              <w:rPr>
                <w:rFonts w:ascii="宋体" w:hAnsi="宋体"/>
                <w:sz w:val="18"/>
                <w:szCs w:val="18"/>
              </w:rPr>
            </w:pPr>
            <w:r>
              <w:rPr>
                <w:rFonts w:hint="eastAsia" w:asciiTheme="majorEastAsia" w:hAnsiTheme="majorEastAsia" w:eastAsiaTheme="majorEastAsia"/>
                <w:bCs/>
                <w:sz w:val="18"/>
                <w:szCs w:val="18"/>
              </w:rPr>
              <w:t>■</w:t>
            </w:r>
            <w:r>
              <w:rPr>
                <w:rFonts w:hint="eastAsia" w:ascii="宋体" w:hAnsi="宋体"/>
                <w:sz w:val="18"/>
                <w:szCs w:val="18"/>
              </w:rPr>
              <w:t xml:space="preserve"> 代销适用</w:t>
            </w:r>
          </w:p>
          <w:p>
            <w:pPr>
              <w:spacing w:line="360" w:lineRule="auto"/>
              <w:jc w:val="left"/>
              <w:rPr>
                <w:rFonts w:ascii="宋体" w:hAnsi="宋体"/>
                <w:sz w:val="18"/>
                <w:szCs w:val="18"/>
              </w:rPr>
            </w:pPr>
            <w:r>
              <w:rPr>
                <w:rFonts w:hint="eastAsia" w:ascii="宋体" w:hAnsi="宋体"/>
                <w:sz w:val="18"/>
                <w:szCs w:val="18"/>
              </w:rPr>
              <w:t>本产品由代理销售机构</w:t>
            </w:r>
            <w:r>
              <w:rPr>
                <w:rFonts w:ascii="宋体" w:hAnsi="宋体"/>
                <w:sz w:val="18"/>
                <w:szCs w:val="18"/>
              </w:rPr>
              <w:t>销售</w:t>
            </w:r>
            <w:r>
              <w:rPr>
                <w:rFonts w:hint="eastAsia" w:ascii="宋体" w:hAnsi="宋体"/>
                <w:sz w:val="18"/>
                <w:szCs w:val="18"/>
              </w:rPr>
              <w:t>。</w:t>
            </w:r>
          </w:p>
          <w:p>
            <w:pPr>
              <w:spacing w:line="360" w:lineRule="auto"/>
              <w:rPr>
                <w:rFonts w:asciiTheme="majorEastAsia" w:hAnsiTheme="majorEastAsia" w:eastAsiaTheme="majorEastAsia"/>
                <w:bCs/>
                <w:sz w:val="18"/>
                <w:szCs w:val="18"/>
              </w:rPr>
            </w:pPr>
            <w:r>
              <w:rPr>
                <w:rFonts w:hint="eastAsia" w:ascii="宋体" w:hAnsi="宋体"/>
                <w:sz w:val="18"/>
                <w:szCs w:val="18"/>
              </w:rPr>
              <w:t>代理销售</w:t>
            </w:r>
            <w:r>
              <w:rPr>
                <w:rFonts w:ascii="宋体" w:hAnsi="宋体"/>
                <w:sz w:val="18"/>
                <w:szCs w:val="18"/>
              </w:rPr>
              <w:t>机构</w:t>
            </w:r>
            <w:r>
              <w:rPr>
                <w:rFonts w:hint="eastAsia" w:ascii="宋体" w:hAnsi="宋体"/>
                <w:sz w:val="18"/>
                <w:szCs w:val="18"/>
              </w:rPr>
              <w:t>合作业务</w:t>
            </w:r>
            <w:r>
              <w:rPr>
                <w:rFonts w:ascii="宋体" w:hAnsi="宋体"/>
                <w:sz w:val="18"/>
                <w:szCs w:val="18"/>
              </w:rPr>
              <w:t>情况</w:t>
            </w:r>
            <w:r>
              <w:rPr>
                <w:rFonts w:hint="eastAsia" w:ascii="宋体" w:hAnsi="宋体"/>
                <w:sz w:val="18"/>
                <w:szCs w:val="18"/>
              </w:rPr>
              <w:t>以</w:t>
            </w:r>
            <w:r>
              <w:rPr>
                <w:rFonts w:ascii="宋体" w:hAnsi="宋体"/>
                <w:sz w:val="18"/>
                <w:szCs w:val="18"/>
              </w:rPr>
              <w:t>产品管理人</w:t>
            </w:r>
            <w:r>
              <w:rPr>
                <w:rFonts w:hint="eastAsia" w:ascii="宋体" w:hAnsi="宋体"/>
                <w:sz w:val="18"/>
                <w:szCs w:val="18"/>
              </w:rPr>
              <w:t>公告为准，</w:t>
            </w:r>
            <w:r>
              <w:rPr>
                <w:rFonts w:ascii="宋体" w:hAnsi="宋体"/>
                <w:sz w:val="18"/>
                <w:szCs w:val="18"/>
              </w:rPr>
              <w:t>具体代理</w:t>
            </w:r>
            <w:r>
              <w:rPr>
                <w:rFonts w:hint="eastAsia" w:ascii="宋体" w:hAnsi="宋体"/>
                <w:sz w:val="18"/>
                <w:szCs w:val="18"/>
              </w:rPr>
              <w:t>销售机构</w:t>
            </w:r>
            <w:r>
              <w:rPr>
                <w:rFonts w:ascii="宋体" w:hAnsi="宋体"/>
                <w:sz w:val="18"/>
                <w:szCs w:val="18"/>
              </w:rPr>
              <w:t>以《</w:t>
            </w:r>
            <w:r>
              <w:rPr>
                <w:rFonts w:hint="eastAsia" w:ascii="宋体" w:hAnsi="宋体"/>
                <w:sz w:val="18"/>
                <w:szCs w:val="18"/>
              </w:rPr>
              <w:t>（代理）</w:t>
            </w:r>
            <w:r>
              <w:rPr>
                <w:rFonts w:ascii="宋体" w:hAnsi="宋体"/>
                <w:sz w:val="18"/>
                <w:szCs w:val="18"/>
              </w:rPr>
              <w:t>销售协议书》</w:t>
            </w:r>
            <w:r>
              <w:rPr>
                <w:rFonts w:hint="eastAsia" w:ascii="宋体" w:hAnsi="宋体"/>
                <w:sz w:val="18"/>
                <w:szCs w:val="18"/>
              </w:rPr>
              <w:t>为准</w:t>
            </w:r>
            <w:r>
              <w:rPr>
                <w:rFonts w:ascii="宋体" w:hAnsi="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管理人</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理财产品托管人</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兴业银行股份有限公司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产品规模</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1.本产品计划初始</w:t>
            </w:r>
            <w:r>
              <w:rPr>
                <w:rFonts w:asciiTheme="majorEastAsia" w:hAnsiTheme="majorEastAsia" w:eastAsiaTheme="majorEastAsia"/>
                <w:bCs/>
                <w:sz w:val="18"/>
                <w:szCs w:val="18"/>
              </w:rPr>
              <w:t>募集</w:t>
            </w:r>
            <w:r>
              <w:rPr>
                <w:rFonts w:hint="eastAsia" w:asciiTheme="majorEastAsia" w:hAnsiTheme="majorEastAsia" w:eastAsiaTheme="majorEastAsia"/>
                <w:bCs/>
                <w:sz w:val="18"/>
                <w:szCs w:val="18"/>
              </w:rPr>
              <w:t>规模为【</w:t>
            </w:r>
            <w:r>
              <w:rPr>
                <w:rFonts w:hint="eastAsia" w:asciiTheme="majorEastAsia" w:hAnsiTheme="majorEastAsia" w:eastAsiaTheme="majorEastAsia"/>
                <w:bCs/>
                <w:sz w:val="18"/>
                <w:szCs w:val="18"/>
                <w:lang w:val="en-US" w:eastAsia="zh-CN"/>
              </w:rPr>
              <w:t>0.3</w:t>
            </w:r>
            <w:r>
              <w:rPr>
                <w:rFonts w:hint="eastAsia" w:asciiTheme="majorEastAsia" w:hAnsiTheme="majorEastAsia" w:eastAsiaTheme="majorEastAsia"/>
                <w:bCs/>
                <w:sz w:val="18"/>
                <w:szCs w:val="18"/>
              </w:rPr>
              <w:t>】亿元，最小成立规模为【</w:t>
            </w:r>
            <w:r>
              <w:rPr>
                <w:rFonts w:hint="eastAsia" w:asciiTheme="majorEastAsia" w:hAnsiTheme="majorEastAsia" w:eastAsiaTheme="majorEastAsia"/>
                <w:bCs/>
                <w:sz w:val="18"/>
                <w:szCs w:val="18"/>
                <w:lang w:val="en-US" w:eastAsia="zh-CN"/>
              </w:rPr>
              <w:t>/</w:t>
            </w:r>
            <w:r>
              <w:rPr>
                <w:rFonts w:hint="eastAsia" w:asciiTheme="majorEastAsia" w:hAnsiTheme="majorEastAsia" w:eastAsiaTheme="majorEastAsia"/>
                <w:bCs/>
                <w:sz w:val="18"/>
                <w:szCs w:val="18"/>
              </w:rPr>
              <w:t>】亿元。</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w:t>
            </w:r>
            <w:r>
              <w:rPr>
                <w:rFonts w:asciiTheme="majorEastAsia" w:hAnsiTheme="majorEastAsia" w:eastAsiaTheme="majorEastAsia"/>
                <w:bCs/>
                <w:sz w:val="18"/>
                <w:szCs w:val="18"/>
              </w:rPr>
              <w:t>有权根据实际需要对产品规模进行调整，产品最终规模以</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实际募集/管理的</w:t>
            </w:r>
            <w:r>
              <w:rPr>
                <w:rFonts w:hint="eastAsia" w:asciiTheme="majorEastAsia" w:hAnsiTheme="majorEastAsia" w:eastAsiaTheme="majorEastAsia"/>
                <w:bCs/>
                <w:sz w:val="18"/>
                <w:szCs w:val="18"/>
              </w:rPr>
              <w:t>金</w:t>
            </w:r>
            <w:r>
              <w:rPr>
                <w:rFonts w:asciiTheme="majorEastAsia" w:hAnsiTheme="majorEastAsia" w:eastAsiaTheme="majorEastAsia"/>
                <w:bCs/>
                <w:sz w:val="18"/>
                <w:szCs w:val="18"/>
              </w:rPr>
              <w:t>额为准。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sz w:val="18"/>
                <w:szCs w:val="18"/>
              </w:rPr>
              <w:t>产品期限</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□有固定期限：【】</w:t>
            </w:r>
          </w:p>
          <w:p>
            <w:pPr>
              <w:spacing w:line="360" w:lineRule="auto"/>
              <w:rPr>
                <w:rFonts w:cs="仿宋_GB2312" w:asciiTheme="majorEastAsia" w:hAnsiTheme="majorEastAsia" w:eastAsiaTheme="majorEastAsia"/>
                <w:kern w:val="0"/>
                <w:sz w:val="18"/>
                <w:szCs w:val="18"/>
              </w:rPr>
            </w:pPr>
            <w:r>
              <w:rPr>
                <w:rFonts w:hint="eastAsia" w:asciiTheme="majorEastAsia" w:hAnsiTheme="majorEastAsia" w:eastAsiaTheme="majorEastAsia"/>
                <w:bCs/>
                <w:sz w:val="18"/>
                <w:szCs w:val="18"/>
              </w:rPr>
              <w:t>■</w:t>
            </w:r>
            <w:r>
              <w:rPr>
                <w:rFonts w:hint="eastAsia" w:cs="仿宋_GB2312" w:asciiTheme="majorEastAsia" w:hAnsiTheme="majorEastAsia" w:eastAsiaTheme="majorEastAsia"/>
                <w:kern w:val="0"/>
                <w:sz w:val="18"/>
                <w:szCs w:val="18"/>
              </w:rPr>
              <w:t>无固定期限</w:t>
            </w:r>
          </w:p>
          <w:p>
            <w:pPr>
              <w:spacing w:line="360" w:lineRule="auto"/>
              <w:rPr>
                <w:rFonts w:cs="仿宋_GB2312" w:asciiTheme="majorEastAsia" w:hAnsiTheme="majorEastAsia" w:eastAsiaTheme="majorEastAsia"/>
                <w:kern w:val="0"/>
                <w:sz w:val="18"/>
                <w:szCs w:val="18"/>
              </w:rPr>
            </w:pPr>
            <w:r>
              <w:rPr>
                <w:rFonts w:hint="eastAsia" w:ascii="黑体" w:hAnsi="黑体" w:eastAsia="黑体"/>
                <w:bCs/>
                <w:sz w:val="18"/>
                <w:szCs w:val="18"/>
              </w:rPr>
              <w:t>注：本产品的实际期限受制于本理财产品销售文件“提前终止”及“延期终止”情形。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sz w:val="18"/>
                <w:szCs w:val="18"/>
              </w:rPr>
              <w:t>认购期/募集期</w:t>
            </w:r>
          </w:p>
        </w:tc>
        <w:tc>
          <w:tcPr>
            <w:tcW w:w="7699"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w:t>
            </w:r>
            <w:r>
              <w:rPr>
                <w:rFonts w:asciiTheme="minorEastAsia" w:hAnsiTheme="minorEastAsia"/>
                <w:bCs/>
                <w:sz w:val="18"/>
                <w:szCs w:val="18"/>
              </w:rPr>
              <w:t>本产品认购期/募集期为</w:t>
            </w:r>
            <w:r>
              <w:rPr>
                <w:rFonts w:hint="eastAsia" w:asciiTheme="minorEastAsia" w:hAnsiTheme="minorEastAsia"/>
                <w:bCs/>
                <w:sz w:val="18"/>
                <w:szCs w:val="18"/>
              </w:rPr>
              <w:t>：</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2025</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03</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12</w:t>
            </w:r>
            <w:r>
              <w:rPr>
                <w:rFonts w:hint="eastAsia" w:cs="Times New Roman" w:asciiTheme="minorEastAsia" w:hAnsiTheme="minorEastAsia"/>
                <w:sz w:val="18"/>
                <w:szCs w:val="18"/>
              </w:rPr>
              <w:t>】日【</w:t>
            </w:r>
            <w:r>
              <w:rPr>
                <w:rFonts w:hint="eastAsia" w:cs="Times New Roman" w:asciiTheme="minorEastAsia" w:hAnsiTheme="minorEastAsia"/>
                <w:sz w:val="18"/>
                <w:szCs w:val="18"/>
                <w:lang w:val="en-US" w:eastAsia="zh-CN"/>
              </w:rPr>
              <w:t>09：00</w:t>
            </w:r>
            <w:r>
              <w:rPr>
                <w:rFonts w:hint="eastAsia" w:cs="Times New Roman" w:asciiTheme="minorEastAsia" w:hAnsiTheme="minorEastAsia"/>
                <w:sz w:val="18"/>
                <w:szCs w:val="18"/>
              </w:rPr>
              <w:t>】</w:t>
            </w:r>
            <w:r>
              <w:rPr>
                <w:rFonts w:hint="eastAsia" w:cs="仿宋_GB2312" w:asciiTheme="minorEastAsia" w:hAnsiTheme="minorEastAsia"/>
                <w:sz w:val="18"/>
                <w:szCs w:val="18"/>
              </w:rPr>
              <w:t>至</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2025</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03</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12</w:t>
            </w:r>
            <w:r>
              <w:rPr>
                <w:rFonts w:hint="eastAsia" w:cs="Times New Roman" w:asciiTheme="minorEastAsia" w:hAnsiTheme="minorEastAsia"/>
                <w:sz w:val="18"/>
                <w:szCs w:val="18"/>
              </w:rPr>
              <w:t>】日</w:t>
            </w:r>
            <w:r>
              <w:rPr>
                <w:rFonts w:hint="eastAsia" w:asciiTheme="majorEastAsia" w:hAnsiTheme="majorEastAsia" w:eastAsiaTheme="majorEastAsia"/>
                <w:sz w:val="18"/>
                <w:szCs w:val="18"/>
              </w:rPr>
              <w:t>【</w:t>
            </w:r>
            <w:r>
              <w:rPr>
                <w:rFonts w:hint="eastAsia" w:asciiTheme="majorEastAsia" w:hAnsiTheme="majorEastAsia" w:eastAsiaTheme="majorEastAsia"/>
                <w:sz w:val="18"/>
                <w:szCs w:val="18"/>
                <w:lang w:val="en-US" w:eastAsia="zh-CN"/>
              </w:rPr>
              <w:t>17：00</w:t>
            </w:r>
            <w:r>
              <w:rPr>
                <w:rFonts w:hint="eastAsia" w:asciiTheme="majorEastAsia" w:hAnsiTheme="majorEastAsia" w:eastAsiaTheme="majorEastAsia"/>
                <w:sz w:val="18"/>
                <w:szCs w:val="18"/>
              </w:rPr>
              <w:t>】</w:t>
            </w:r>
            <w:r>
              <w:rPr>
                <w:rFonts w:asciiTheme="majorEastAsia" w:hAnsiTheme="majorEastAsia" w:eastAsiaTheme="majorEastAsia"/>
                <w:sz w:val="18"/>
                <w:szCs w:val="18"/>
              </w:rPr>
              <w:t>。</w:t>
            </w:r>
          </w:p>
          <w:p>
            <w:pPr>
              <w:spacing w:line="360" w:lineRule="auto"/>
              <w:rPr>
                <w:rFonts w:ascii="宋体" w:hAnsi="宋体"/>
                <w:bCs/>
                <w:sz w:val="18"/>
                <w:szCs w:val="18"/>
              </w:rPr>
            </w:pPr>
            <w:r>
              <w:rPr>
                <w:rFonts w:ascii="宋体" w:hAnsi="宋体"/>
                <w:bCs/>
                <w:sz w:val="18"/>
                <w:szCs w:val="18"/>
              </w:rPr>
              <w:t>2</w:t>
            </w:r>
            <w:r>
              <w:rPr>
                <w:rFonts w:hint="eastAsia" w:asciiTheme="minorEastAsia" w:hAnsiTheme="minorEastAsia"/>
                <w:bCs/>
                <w:sz w:val="18"/>
                <w:szCs w:val="18"/>
              </w:rPr>
              <w:t>.</w:t>
            </w:r>
            <w:r>
              <w:rPr>
                <w:rFonts w:hint="eastAsia" w:ascii="宋体" w:hAnsi="宋体"/>
                <w:bCs/>
                <w:sz w:val="18"/>
                <w:szCs w:val="18"/>
              </w:rPr>
              <w:t>投资者在认购期/募集</w:t>
            </w:r>
            <w:r>
              <w:rPr>
                <w:rFonts w:hint="eastAsia" w:ascii="宋体" w:hAnsi="宋体"/>
                <w:sz w:val="18"/>
              </w:rPr>
              <w:t>期内认购</w:t>
            </w:r>
            <w:r>
              <w:rPr>
                <w:rFonts w:hint="eastAsia" w:ascii="宋体" w:hAnsi="宋体"/>
                <w:bCs/>
                <w:sz w:val="18"/>
                <w:szCs w:val="18"/>
              </w:rPr>
              <w:t>本</w:t>
            </w:r>
            <w:r>
              <w:rPr>
                <w:rFonts w:hint="eastAsia" w:ascii="宋体" w:hAnsi="宋体"/>
                <w:sz w:val="18"/>
              </w:rPr>
              <w:t>理财</w:t>
            </w:r>
            <w:r>
              <w:rPr>
                <w:rFonts w:hint="eastAsia" w:ascii="宋体" w:hAnsi="宋体"/>
                <w:bCs/>
                <w:sz w:val="18"/>
                <w:szCs w:val="18"/>
              </w:rPr>
              <w:t>产品后，</w:t>
            </w:r>
            <w:r>
              <w:rPr>
                <w:rFonts w:hint="eastAsia" w:ascii="宋体" w:hAnsi="宋体"/>
                <w:sz w:val="18"/>
              </w:rPr>
              <w:t>理财</w:t>
            </w:r>
            <w:r>
              <w:rPr>
                <w:rFonts w:hint="eastAsia" w:ascii="宋体" w:hAnsi="宋体"/>
                <w:bCs/>
                <w:sz w:val="18"/>
                <w:szCs w:val="18"/>
              </w:rPr>
              <w:t>资金将在成立日开始进行投资。</w:t>
            </w:r>
          </w:p>
          <w:p>
            <w:pPr>
              <w:spacing w:line="360" w:lineRule="auto"/>
              <w:rPr>
                <w:rFonts w:asciiTheme="majorEastAsia" w:hAnsiTheme="majorEastAsia" w:eastAsiaTheme="majorEastAsia"/>
                <w:bCs/>
                <w:sz w:val="18"/>
                <w:szCs w:val="18"/>
              </w:rPr>
            </w:pPr>
            <w:r>
              <w:rPr>
                <w:rFonts w:ascii="宋体" w:hAnsi="宋体"/>
                <w:bCs/>
                <w:sz w:val="18"/>
                <w:szCs w:val="18"/>
              </w:rPr>
              <w:t>3</w:t>
            </w:r>
            <w:r>
              <w:rPr>
                <w:rFonts w:hint="eastAsia" w:asciiTheme="minorEastAsia" w:hAnsiTheme="minorEastAsia"/>
                <w:bCs/>
                <w:sz w:val="18"/>
                <w:szCs w:val="18"/>
              </w:rPr>
              <w:t>.</w:t>
            </w:r>
            <w:r>
              <w:rPr>
                <w:rFonts w:hint="eastAsia" w:ascii="宋体" w:hAnsi="宋体"/>
                <w:bCs/>
                <w:sz w:val="18"/>
                <w:szCs w:val="18"/>
              </w:rPr>
              <w:t>认购期/募集期内资金产生的利息不计入认购资金</w:t>
            </w:r>
            <w:r>
              <w:rPr>
                <w:rFonts w:hint="eastAsia" w:ascii="宋体" w:hAnsi="宋体"/>
                <w:sz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hAnsi="宋体"/>
                <w:sz w:val="18"/>
                <w:szCs w:val="18"/>
              </w:rPr>
              <w:t>★</w:t>
            </w:r>
            <w:r>
              <w:rPr>
                <w:rFonts w:hint="eastAsia" w:asciiTheme="majorEastAsia" w:hAnsiTheme="majorEastAsia" w:eastAsiaTheme="majorEastAsia"/>
                <w:b/>
                <w:bCs/>
                <w:sz w:val="18"/>
                <w:szCs w:val="18"/>
              </w:rPr>
              <w:t>投资冷静期</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本产品为公募理财产品，无投资冷静期设置。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bCs/>
                <w:sz w:val="18"/>
                <w:szCs w:val="18"/>
              </w:rPr>
              <w:t>成立日</w:t>
            </w:r>
          </w:p>
        </w:tc>
        <w:tc>
          <w:tcPr>
            <w:tcW w:w="7699"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.本产品的计划成立日为</w:t>
            </w:r>
            <w:r>
              <w:rPr>
                <w:rFonts w:asciiTheme="minorEastAsia" w:hAnsiTheme="minorEastAsia"/>
                <w:bCs/>
                <w:sz w:val="18"/>
                <w:szCs w:val="18"/>
              </w:rPr>
              <w:t>：</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2025</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03</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13</w:t>
            </w:r>
            <w:r>
              <w:rPr>
                <w:rFonts w:hint="eastAsia" w:cs="Times New Roman" w:asciiTheme="minorEastAsia" w:hAnsiTheme="minorEastAsia"/>
                <w:sz w:val="18"/>
                <w:szCs w:val="18"/>
              </w:rPr>
              <w:t>】日（遇节假日顺延）</w:t>
            </w:r>
            <w:r>
              <w:rPr>
                <w:rFonts w:hint="eastAsia" w:asciiTheme="minorEastAsia" w:hAnsiTheme="minorEastAsia"/>
                <w:bCs/>
                <w:sz w:val="18"/>
                <w:szCs w:val="18"/>
              </w:rPr>
              <w:t>。</w:t>
            </w:r>
          </w:p>
          <w:p>
            <w:pPr>
              <w:spacing w:line="360" w:lineRule="auto"/>
              <w:rPr>
                <w:rFonts w:asciiTheme="majorEastAsia" w:hAnsiTheme="majorEastAsia" w:eastAsiaTheme="majorEastAsia"/>
                <w:bCs/>
                <w:sz w:val="18"/>
                <w:szCs w:val="18"/>
              </w:rPr>
            </w:pPr>
            <w:r>
              <w:rPr>
                <w:rFonts w:asciiTheme="minorEastAsia" w:hAnsiTheme="minorEastAsia"/>
                <w:bCs/>
                <w:sz w:val="18"/>
                <w:szCs w:val="18"/>
              </w:rPr>
              <w:t>2</w:t>
            </w:r>
            <w:r>
              <w:rPr>
                <w:rFonts w:hint="eastAsia" w:asciiTheme="minorEastAsia" w:hAnsiTheme="minor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hint="eastAsia" w:asciiTheme="minorEastAsia" w:hAnsiTheme="minorEastAsia"/>
                <w:bCs/>
                <w:sz w:val="18"/>
                <w:szCs w:val="18"/>
              </w:rPr>
              <w:t>，</w:t>
            </w:r>
            <w:r>
              <w:rPr>
                <w:rFonts w:asciiTheme="minorEastAsia" w:hAnsiTheme="minorEastAsia"/>
                <w:bCs/>
                <w:sz w:val="18"/>
                <w:szCs w:val="18"/>
              </w:rPr>
              <w:t>将依约</w:t>
            </w:r>
            <w:r>
              <w:rPr>
                <w:rFonts w:hint="eastAsia" w:asciiTheme="minorEastAsia" w:hAnsiTheme="minorEastAsia"/>
                <w:bCs/>
                <w:sz w:val="18"/>
                <w:szCs w:val="18"/>
              </w:rPr>
              <w:t>定进行公告。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inorEastAsia" w:hAnsiTheme="minorEastAsia"/>
                <w:b/>
                <w:bCs/>
                <w:sz w:val="18"/>
                <w:szCs w:val="18"/>
              </w:rPr>
            </w:pPr>
            <w:r>
              <w:rPr>
                <w:rFonts w:hint="eastAsia" w:asciiTheme="minorEastAsia" w:hAnsiTheme="minorEastAsia"/>
                <w:b/>
                <w:bCs/>
                <w:sz w:val="18"/>
                <w:szCs w:val="18"/>
              </w:rPr>
              <w:t>终止日</w:t>
            </w:r>
          </w:p>
        </w:tc>
        <w:tc>
          <w:tcPr>
            <w:tcW w:w="7699"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.本产品的计划终止日为</w:t>
            </w:r>
            <w:r>
              <w:rPr>
                <w:rFonts w:asciiTheme="minorEastAsia" w:hAnsiTheme="minorEastAsia"/>
                <w:bCs/>
                <w:sz w:val="18"/>
                <w:szCs w:val="18"/>
              </w:rPr>
              <w:t>：</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】日（遇节假日顺延）</w:t>
            </w:r>
            <w:r>
              <w:rPr>
                <w:rFonts w:hint="eastAsia" w:asciiTheme="minorEastAsia" w:hAnsiTheme="minorEastAsia"/>
                <w:bCs/>
                <w:sz w:val="18"/>
                <w:szCs w:val="18"/>
              </w:rPr>
              <w:t>。</w:t>
            </w:r>
          </w:p>
          <w:p>
            <w:pPr>
              <w:spacing w:line="360" w:lineRule="auto"/>
              <w:rPr>
                <w:rFonts w:asciiTheme="minorEastAsia" w:hAnsiTheme="minorEastAsia"/>
                <w:bCs/>
                <w:sz w:val="18"/>
                <w:szCs w:val="18"/>
              </w:rPr>
            </w:pPr>
            <w:r>
              <w:rPr>
                <w:rFonts w:hint="eastAsia" w:ascii="宋体" w:hAnsi="宋体"/>
                <w:bCs/>
                <w:sz w:val="18"/>
                <w:szCs w:val="18"/>
              </w:rPr>
              <w:t>2.本产品的实际终止日受制于本理财产品销售文件“提前终止”及“延期终止”情形。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asciiTheme="minorEastAsia" w:hAnsiTheme="minorEastAsia"/>
                <w:b/>
                <w:bCs/>
                <w:sz w:val="18"/>
                <w:szCs w:val="18"/>
              </w:rPr>
            </w:pPr>
            <w:r>
              <w:rPr>
                <w:rFonts w:hint="eastAsia" w:hAnsi="宋体"/>
                <w:sz w:val="18"/>
                <w:szCs w:val="18"/>
              </w:rPr>
              <w:t>★</w:t>
            </w:r>
            <w:r>
              <w:rPr>
                <w:rFonts w:hint="eastAsia" w:asciiTheme="minorEastAsia" w:hAnsiTheme="minorEastAsia"/>
                <w:b/>
                <w:sz w:val="18"/>
                <w:szCs w:val="18"/>
              </w:rPr>
              <w:t>封闭期</w:t>
            </w:r>
          </w:p>
        </w:tc>
        <w:tc>
          <w:tcPr>
            <w:tcW w:w="7699" w:type="dxa"/>
            <w:shd w:val="solid" w:color="FFFFFF" w:fill="FFFFFF"/>
          </w:tcPr>
          <w:p>
            <w:pPr>
              <w:spacing w:line="360" w:lineRule="auto"/>
              <w:rPr>
                <w:rFonts w:asciiTheme="minorEastAsia" w:hAnsiTheme="minorEastAsia" w:eastAsiaTheme="majorEastAsia" w:cstheme="majorBidi"/>
                <w:b/>
                <w:bCs/>
                <w:sz w:val="18"/>
                <w:szCs w:val="18"/>
              </w:rPr>
            </w:pPr>
            <w:r>
              <w:rPr>
                <w:rFonts w:cs="Times New Roman" w:asciiTheme="minorEastAsia" w:hAnsiTheme="minorEastAsia"/>
                <w:sz w:val="18"/>
                <w:szCs w:val="18"/>
              </w:rPr>
              <w:t>1.</w:t>
            </w:r>
            <w:r>
              <w:rPr>
                <w:rFonts w:hint="eastAsia" w:ascii="宋体" w:hAnsi="宋体"/>
                <w:bCs/>
                <w:sz w:val="18"/>
                <w:szCs w:val="18"/>
              </w:rPr>
              <w:t>本产品封闭期为：</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】日</w:t>
            </w:r>
            <w:r>
              <w:rPr>
                <w:rFonts w:hint="eastAsia" w:cs="仿宋_GB2312" w:asciiTheme="minorEastAsia" w:hAnsiTheme="minorEastAsia"/>
                <w:sz w:val="18"/>
                <w:szCs w:val="18"/>
              </w:rPr>
              <w:t>至</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】日</w:t>
            </w:r>
            <w:r>
              <w:rPr>
                <w:rFonts w:hint="eastAsia" w:asciiTheme="majorEastAsia" w:hAnsiTheme="majorEastAsia" w:eastAsiaTheme="majorEastAsia"/>
                <w:sz w:val="18"/>
                <w:szCs w:val="18"/>
              </w:rPr>
              <w:t>。</w:t>
            </w:r>
          </w:p>
          <w:p>
            <w:pPr>
              <w:spacing w:line="360" w:lineRule="auto"/>
              <w:rPr>
                <w:rFonts w:asciiTheme="minorEastAsia" w:hAnsiTheme="minorEastAsia"/>
                <w:bCs/>
                <w:sz w:val="18"/>
                <w:szCs w:val="18"/>
              </w:rPr>
            </w:pPr>
            <w:r>
              <w:rPr>
                <w:rFonts w:asciiTheme="minorEastAsia" w:hAnsiTheme="minorEastAsia"/>
                <w:sz w:val="18"/>
                <w:szCs w:val="18"/>
              </w:rPr>
              <w:t>2.</w:t>
            </w:r>
            <w:r>
              <w:rPr>
                <w:rFonts w:hint="eastAsia" w:asciiTheme="minorEastAsia" w:hAnsiTheme="minorEastAsia"/>
                <w:sz w:val="18"/>
                <w:szCs w:val="18"/>
              </w:rPr>
              <w:t>封闭期内不接受申购或赎回申请。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hAnsi="宋体"/>
                <w:sz w:val="18"/>
                <w:szCs w:val="18"/>
              </w:rPr>
            </w:pPr>
            <w:r>
              <w:rPr>
                <w:rFonts w:hint="eastAsia" w:hAnsi="宋体"/>
                <w:sz w:val="18"/>
                <w:szCs w:val="18"/>
              </w:rPr>
              <w:t>★</w:t>
            </w:r>
            <w:r>
              <w:rPr>
                <w:rFonts w:hint="eastAsia" w:hAnsi="宋体"/>
                <w:b/>
                <w:sz w:val="18"/>
                <w:szCs w:val="18"/>
              </w:rPr>
              <w:t>申购/赎回安排</w:t>
            </w:r>
          </w:p>
        </w:tc>
        <w:tc>
          <w:tcPr>
            <w:tcW w:w="7699" w:type="dxa"/>
            <w:shd w:val="solid" w:color="FFFFFF" w:fill="FFFFFF"/>
          </w:tcPr>
          <w:p>
            <w:pPr>
              <w:spacing w:line="360" w:lineRule="auto"/>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w:t>
            </w:r>
            <w:r>
              <w:rPr>
                <w:rFonts w:hint="eastAsia" w:asciiTheme="minorEastAsia" w:hAnsiTheme="minorEastAsia"/>
                <w:sz w:val="18"/>
                <w:szCs w:val="18"/>
              </w:rPr>
              <w:t>本产品在封闭期后，产品按以下规则设置开放期：</w:t>
            </w:r>
          </w:p>
          <w:p>
            <w:pPr>
              <w:spacing w:line="360" w:lineRule="auto"/>
              <w:rPr>
                <w:rFonts w:asciiTheme="minorEastAsia" w:hAnsiTheme="minorEastAsia"/>
                <w:sz w:val="18"/>
                <w:szCs w:val="18"/>
              </w:rPr>
            </w:pPr>
            <w:r>
              <w:rPr>
                <w:rFonts w:hint="eastAsia" w:asciiTheme="minorEastAsia" w:hAnsiTheme="minorEastAsia"/>
                <w:sz w:val="18"/>
                <w:szCs w:val="18"/>
              </w:rPr>
              <w:t>（1）本</w:t>
            </w:r>
            <w:r>
              <w:rPr>
                <w:rFonts w:asciiTheme="minorEastAsia" w:hAnsiTheme="minorEastAsia"/>
                <w:sz w:val="18"/>
                <w:szCs w:val="18"/>
              </w:rPr>
              <w:t>产品成立后</w:t>
            </w:r>
            <w:r>
              <w:rPr>
                <w:rFonts w:hint="eastAsia" w:asciiTheme="minorEastAsia" w:hAnsiTheme="minorEastAsia"/>
                <w:sz w:val="18"/>
                <w:szCs w:val="18"/>
              </w:rPr>
              <w:t>，</w:t>
            </w:r>
            <w:r>
              <w:rPr>
                <w:rFonts w:asciiTheme="minorEastAsia" w:hAnsiTheme="minorEastAsia"/>
                <w:sz w:val="18"/>
                <w:szCs w:val="18"/>
              </w:rPr>
              <w:t>在封闭期之</w:t>
            </w:r>
            <w:r>
              <w:rPr>
                <w:rFonts w:hint="eastAsia" w:asciiTheme="minorEastAsia" w:hAnsiTheme="minorEastAsia"/>
                <w:sz w:val="18"/>
                <w:szCs w:val="18"/>
              </w:rPr>
              <w:t>后的每个【</w:t>
            </w:r>
            <w:r>
              <w:rPr>
                <w:rFonts w:hint="eastAsia" w:asciiTheme="minorEastAsia" w:hAnsiTheme="minorEastAsia"/>
                <w:sz w:val="18"/>
                <w:szCs w:val="18"/>
                <w:lang w:val="en-US" w:eastAsia="zh-CN"/>
              </w:rPr>
              <w:t>工作日</w:t>
            </w:r>
            <w:r>
              <w:rPr>
                <w:rFonts w:hint="eastAsia" w:asciiTheme="minorEastAsia" w:hAnsiTheme="minorEastAsia"/>
                <w:sz w:val="18"/>
                <w:szCs w:val="18"/>
              </w:rPr>
              <w:t>】为开放日，开放日开放投资者的申购与赎回；</w:t>
            </w:r>
          </w:p>
          <w:p>
            <w:pPr>
              <w:spacing w:line="360" w:lineRule="auto"/>
              <w:rPr>
                <w:rFonts w:asciiTheme="minorEastAsia" w:hAnsiTheme="minorEastAsia"/>
                <w:sz w:val="18"/>
                <w:szCs w:val="18"/>
              </w:rPr>
            </w:pPr>
            <w:r>
              <w:rPr>
                <w:rFonts w:hint="eastAsia" w:asciiTheme="minorEastAsia" w:hAnsiTheme="minorEastAsia"/>
                <w:sz w:val="18"/>
                <w:szCs w:val="18"/>
              </w:rPr>
              <w:t>（2）产品管理人公告暂停开放的日期除外。</w:t>
            </w:r>
          </w:p>
          <w:p>
            <w:pPr>
              <w:spacing w:line="360" w:lineRule="auto"/>
              <w:rPr>
                <w:rFonts w:eastAsia="黑体" w:asciiTheme="minorEastAsia" w:hAnsiTheme="minorEastAsia"/>
                <w:b/>
                <w:sz w:val="18"/>
                <w:szCs w:val="18"/>
              </w:rPr>
            </w:pPr>
            <w:r>
              <w:rPr>
                <w:rFonts w:hint="eastAsia" w:asciiTheme="minorEastAsia" w:hAnsiTheme="minorEastAsia"/>
                <w:sz w:val="18"/>
                <w:szCs w:val="18"/>
              </w:rPr>
              <w:t>2</w:t>
            </w:r>
            <w:r>
              <w:rPr>
                <w:rFonts w:asciiTheme="minorEastAsia" w:hAnsiTheme="minorEastAsia"/>
                <w:sz w:val="18"/>
                <w:szCs w:val="18"/>
              </w:rPr>
              <w:t>.</w:t>
            </w:r>
            <w:r>
              <w:rPr>
                <w:rFonts w:hint="eastAsia" w:asciiTheme="minorEastAsia" w:hAnsiTheme="minorEastAsia"/>
                <w:sz w:val="18"/>
                <w:szCs w:val="18"/>
              </w:rPr>
              <w:t>申购安排</w:t>
            </w:r>
          </w:p>
          <w:p>
            <w:pPr>
              <w:spacing w:line="360" w:lineRule="auto"/>
              <w:rPr>
                <w:rFonts w:eastAsia="黑体" w:asciiTheme="minorEastAsia" w:hAnsiTheme="minorEastAsia"/>
                <w:b/>
                <w:sz w:val="18"/>
                <w:szCs w:val="18"/>
              </w:rPr>
            </w:pPr>
            <w:r>
              <w:rPr>
                <w:rFonts w:hint="eastAsia" w:asciiTheme="minorEastAsia" w:hAnsiTheme="minorEastAsia"/>
                <w:sz w:val="18"/>
                <w:szCs w:val="18"/>
              </w:rPr>
              <w:t>（1）申购的时间</w:t>
            </w:r>
          </w:p>
          <w:p>
            <w:pPr>
              <w:spacing w:line="360" w:lineRule="auto"/>
              <w:rPr>
                <w:rFonts w:eastAsia="黑体" w:asciiTheme="minorEastAsia" w:hAnsiTheme="minorEastAsia"/>
                <w:b/>
                <w:sz w:val="18"/>
                <w:szCs w:val="18"/>
              </w:rPr>
            </w:pPr>
            <w:r>
              <w:rPr>
                <w:rFonts w:hint="eastAsia" w:asciiTheme="minorEastAsia" w:hAnsiTheme="minorEastAsia"/>
                <w:sz w:val="18"/>
                <w:szCs w:val="18"/>
              </w:rPr>
              <w:t>本产品封闭期后的每个开放日开放申购。投资者可于开放日内提交申购申请，产品管理人公告暂停开放的日期除外。</w:t>
            </w:r>
          </w:p>
          <w:p>
            <w:pPr>
              <w:spacing w:line="360" w:lineRule="auto"/>
              <w:rPr>
                <w:rFonts w:eastAsia="黑体" w:asciiTheme="minorEastAsia" w:hAnsiTheme="minorEastAsia"/>
                <w:b/>
                <w:sz w:val="18"/>
                <w:szCs w:val="18"/>
              </w:rPr>
            </w:pPr>
            <w:r>
              <w:rPr>
                <w:rFonts w:hint="eastAsia" w:asciiTheme="minorEastAsia" w:hAnsiTheme="minorEastAsia"/>
                <w:sz w:val="18"/>
                <w:szCs w:val="18"/>
              </w:rPr>
              <w:t>（2）申购的确认</w:t>
            </w:r>
          </w:p>
          <w:tbl>
            <w:tblPr>
              <w:tblStyle w:val="9"/>
              <w:tblW w:w="7507"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837"/>
              <w:gridCol w:w="1701"/>
              <w:gridCol w:w="1984"/>
              <w:gridCol w:w="198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9" w:hRule="atLeast"/>
              </w:trPr>
              <w:tc>
                <w:tcPr>
                  <w:tcW w:w="1837" w:type="dxa"/>
                  <w:vAlign w:val="center"/>
                </w:tcPr>
                <w:p>
                  <w:pPr>
                    <w:pStyle w:val="16"/>
                    <w:spacing w:line="360" w:lineRule="auto"/>
                    <w:jc w:val="center"/>
                    <w:rPr>
                      <w:rFonts w:asciiTheme="minorEastAsia" w:hAnsiTheme="minorEastAsia"/>
                      <w:b/>
                      <w:bCs/>
                      <w:kern w:val="2"/>
                      <w:sz w:val="18"/>
                      <w:szCs w:val="18"/>
                    </w:rPr>
                  </w:pPr>
                  <w:r>
                    <w:rPr>
                      <w:rFonts w:hint="eastAsia" w:asciiTheme="majorEastAsia" w:hAnsiTheme="majorEastAsia" w:eastAsiaTheme="majorEastAsia"/>
                      <w:b/>
                      <w:bCs/>
                      <w:color w:val="auto"/>
                      <w:sz w:val="18"/>
                      <w:szCs w:val="18"/>
                    </w:rPr>
                    <w:t>申购申请日</w:t>
                  </w:r>
                </w:p>
              </w:tc>
              <w:tc>
                <w:tcPr>
                  <w:tcW w:w="1701" w:type="dxa"/>
                  <w:vAlign w:val="center"/>
                </w:tcPr>
                <w:p>
                  <w:pPr>
                    <w:pStyle w:val="16"/>
                    <w:spacing w:line="360" w:lineRule="auto"/>
                    <w:jc w:val="center"/>
                    <w:rPr>
                      <w:rFonts w:cs="Times New Roman" w:asciiTheme="minorEastAsia" w:hAnsiTheme="minorEastAsia"/>
                      <w:b/>
                      <w:bCs/>
                      <w:color w:val="auto"/>
                      <w:kern w:val="2"/>
                      <w:sz w:val="18"/>
                      <w:szCs w:val="18"/>
                    </w:rPr>
                  </w:pPr>
                  <w:r>
                    <w:rPr>
                      <w:rFonts w:hint="eastAsia" w:cs="Times New Roman" w:asciiTheme="minorEastAsia" w:hAnsiTheme="minorEastAsia"/>
                      <w:b/>
                      <w:bCs/>
                      <w:color w:val="auto"/>
                      <w:sz w:val="18"/>
                      <w:szCs w:val="18"/>
                    </w:rPr>
                    <w:t>申购日</w:t>
                  </w:r>
                </w:p>
              </w:tc>
              <w:tc>
                <w:tcPr>
                  <w:tcW w:w="1984" w:type="dxa"/>
                  <w:vAlign w:val="center"/>
                </w:tcPr>
                <w:p>
                  <w:pPr>
                    <w:pStyle w:val="16"/>
                    <w:spacing w:line="360" w:lineRule="auto"/>
                    <w:jc w:val="center"/>
                    <w:rPr>
                      <w:rFonts w:asciiTheme="minorEastAsia" w:hAnsiTheme="minorEastAsia"/>
                      <w:b/>
                      <w:bCs/>
                      <w:kern w:val="2"/>
                      <w:sz w:val="18"/>
                      <w:szCs w:val="18"/>
                    </w:rPr>
                  </w:pPr>
                  <w:r>
                    <w:rPr>
                      <w:rFonts w:hint="eastAsia" w:cs="Times New Roman" w:asciiTheme="minorEastAsia" w:hAnsiTheme="minorEastAsia"/>
                      <w:b/>
                      <w:bCs/>
                      <w:color w:val="auto"/>
                      <w:sz w:val="18"/>
                      <w:szCs w:val="18"/>
                    </w:rPr>
                    <w:t>申购确认日</w:t>
                  </w:r>
                </w:p>
              </w:tc>
              <w:tc>
                <w:tcPr>
                  <w:tcW w:w="1985" w:type="dxa"/>
                  <w:vAlign w:val="center"/>
                </w:tcPr>
                <w:p>
                  <w:pPr>
                    <w:pStyle w:val="16"/>
                    <w:spacing w:line="360" w:lineRule="auto"/>
                    <w:jc w:val="center"/>
                    <w:rPr>
                      <w:rFonts w:cs="Times New Roman" w:asciiTheme="minorEastAsia" w:hAnsiTheme="minorEastAsia"/>
                      <w:b/>
                      <w:bCs/>
                      <w:color w:val="auto"/>
                      <w:sz w:val="18"/>
                      <w:szCs w:val="18"/>
                    </w:rPr>
                  </w:pPr>
                  <w:r>
                    <w:rPr>
                      <w:rFonts w:hint="eastAsia" w:cs="Times New Roman" w:asciiTheme="minorEastAsia" w:hAnsiTheme="minorEastAsia"/>
                      <w:b/>
                      <w:bCs/>
                      <w:color w:val="auto"/>
                      <w:sz w:val="18"/>
                      <w:szCs w:val="18"/>
                    </w:rPr>
                    <w:t>申购确认方式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0" w:hRule="atLeast"/>
              </w:trPr>
              <w:tc>
                <w:tcPr>
                  <w:tcW w:w="1837" w:type="dxa"/>
                  <w:vAlign w:val="center"/>
                </w:tcPr>
                <w:p>
                  <w:pPr>
                    <w:pStyle w:val="16"/>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开放日内交易时间：</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0：00</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17：00</w:t>
                  </w:r>
                  <w:r>
                    <w:rPr>
                      <w:rFonts w:hint="eastAsia" w:asciiTheme="majorEastAsia" w:hAnsiTheme="majorEastAsia" w:eastAsiaTheme="majorEastAsia"/>
                      <w:bCs/>
                      <w:color w:val="auto"/>
                      <w:sz w:val="18"/>
                      <w:szCs w:val="18"/>
                    </w:rPr>
                    <w:t xml:space="preserve">】 </w:t>
                  </w:r>
                </w:p>
              </w:tc>
              <w:tc>
                <w:tcPr>
                  <w:tcW w:w="1701" w:type="dxa"/>
                  <w:vAlign w:val="center"/>
                </w:tcPr>
                <w:p>
                  <w:pPr>
                    <w:pStyle w:val="16"/>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申购申请日当日</w:t>
                  </w:r>
                </w:p>
              </w:tc>
              <w:tc>
                <w:tcPr>
                  <w:tcW w:w="1984" w:type="dxa"/>
                  <w:vAlign w:val="center"/>
                </w:tcPr>
                <w:p>
                  <w:pPr>
                    <w:pStyle w:val="16"/>
                    <w:spacing w:line="360" w:lineRule="auto"/>
                    <w:jc w:val="left"/>
                    <w:rPr>
                      <w:rFonts w:asciiTheme="majorEastAsia" w:hAnsiTheme="majorEastAsia" w:eastAsiaTheme="majorEastAsia"/>
                      <w:bCs/>
                      <w:color w:val="auto"/>
                      <w:kern w:val="2"/>
                      <w:sz w:val="18"/>
                      <w:szCs w:val="18"/>
                    </w:rPr>
                  </w:pPr>
                  <w:r>
                    <w:rPr>
                      <w:rFonts w:hint="eastAsia" w:asciiTheme="majorEastAsia" w:hAnsiTheme="majorEastAsia" w:eastAsiaTheme="majorEastAsia"/>
                      <w:bCs/>
                      <w:color w:val="auto"/>
                      <w:sz w:val="18"/>
                      <w:szCs w:val="18"/>
                    </w:rPr>
                    <w:t>申购日后的下一个开放日</w:t>
                  </w:r>
                </w:p>
              </w:tc>
              <w:tc>
                <w:tcPr>
                  <w:tcW w:w="1985" w:type="dxa"/>
                  <w:vMerge w:val="restart"/>
                </w:tcPr>
                <w:p>
                  <w:pPr>
                    <w:pStyle w:val="16"/>
                    <w:spacing w:line="360" w:lineRule="auto"/>
                    <w:jc w:val="left"/>
                    <w:rPr>
                      <w:rFonts w:asciiTheme="majorEastAsia" w:hAnsiTheme="majorEastAsia" w:eastAsiaTheme="majorEastAsia"/>
                      <w:bCs/>
                      <w:color w:val="auto"/>
                      <w:kern w:val="2"/>
                      <w:sz w:val="18"/>
                      <w:szCs w:val="18"/>
                    </w:rPr>
                  </w:pPr>
                  <w:r>
                    <w:rPr>
                      <w:rFonts w:hint="eastAsia" w:asciiTheme="majorEastAsia" w:hAnsiTheme="majorEastAsia" w:eastAsiaTheme="majorEastAsia"/>
                      <w:bCs/>
                      <w:color w:val="auto"/>
                      <w:sz w:val="18"/>
                      <w:szCs w:val="18"/>
                    </w:rPr>
                    <w:t>产品管理人在申购确认日对投资者的申购申请的有效性进行确认，并登记理财份额。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0" w:hRule="atLeast"/>
              </w:trPr>
              <w:tc>
                <w:tcPr>
                  <w:tcW w:w="1837" w:type="dxa"/>
                  <w:vAlign w:val="center"/>
                </w:tcPr>
                <w:p>
                  <w:pPr>
                    <w:pStyle w:val="16"/>
                    <w:spacing w:line="360" w:lineRule="auto"/>
                    <w:jc w:val="left"/>
                    <w:rPr>
                      <w:rFonts w:hint="eastAsia" w:asciiTheme="majorEastAsia" w:hAnsiTheme="majorEastAsia" w:eastAsiaTheme="majorEastAsia"/>
                      <w:bCs/>
                      <w:color w:val="auto"/>
                      <w:sz w:val="18"/>
                      <w:szCs w:val="18"/>
                      <w:lang w:val="en-US" w:eastAsia="zh-CN"/>
                    </w:rPr>
                  </w:pPr>
                  <w:r>
                    <w:rPr>
                      <w:rFonts w:hint="eastAsia" w:asciiTheme="majorEastAsia" w:hAnsiTheme="majorEastAsia" w:eastAsiaTheme="majorEastAsia"/>
                      <w:bCs/>
                      <w:color w:val="auto"/>
                      <w:sz w:val="18"/>
                      <w:szCs w:val="18"/>
                    </w:rPr>
                    <w:t>开放日内非交易时间：</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17:00</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w:t>
                  </w:r>
                  <w:r>
                    <w:rPr>
                      <w:rFonts w:hint="eastAsia"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24：00</w:t>
                  </w:r>
                  <w:r>
                    <w:rPr>
                      <w:rFonts w:hint="eastAsia" w:asciiTheme="majorEastAsia" w:hAnsiTheme="majorEastAsia" w:eastAsiaTheme="majorEastAsia"/>
                      <w:bCs/>
                      <w:color w:val="auto"/>
                      <w:sz w:val="18"/>
                      <w:szCs w:val="18"/>
                    </w:rPr>
                    <w:t>】</w:t>
                  </w:r>
                </w:p>
              </w:tc>
              <w:tc>
                <w:tcPr>
                  <w:tcW w:w="1701" w:type="dxa"/>
                  <w:vAlign w:val="center"/>
                </w:tcPr>
                <w:p>
                  <w:pPr>
                    <w:pStyle w:val="16"/>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申购申请日后的下一个开放日</w:t>
                  </w:r>
                </w:p>
              </w:tc>
              <w:tc>
                <w:tcPr>
                  <w:tcW w:w="1984" w:type="dxa"/>
                  <w:vAlign w:val="center"/>
                </w:tcPr>
                <w:p>
                  <w:pPr>
                    <w:pStyle w:val="16"/>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申购日后的下一个开放日</w:t>
                  </w:r>
                </w:p>
              </w:tc>
              <w:tc>
                <w:tcPr>
                  <w:tcW w:w="1985" w:type="dxa"/>
                  <w:vMerge w:val="continue"/>
                </w:tcPr>
                <w:p>
                  <w:pPr>
                    <w:pStyle w:val="16"/>
                    <w:spacing w:line="360" w:lineRule="auto"/>
                    <w:jc w:val="left"/>
                    <w:rPr>
                      <w:rFonts w:asciiTheme="majorEastAsia" w:hAnsiTheme="majorEastAsia" w:eastAsiaTheme="majorEastAsia"/>
                      <w:bCs/>
                      <w:color w:val="auto"/>
                      <w:kern w:val="2"/>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0" w:hRule="atLeast"/>
              </w:trPr>
              <w:tc>
                <w:tcPr>
                  <w:tcW w:w="1837" w:type="dxa"/>
                  <w:vAlign w:val="center"/>
                </w:tcPr>
                <w:p>
                  <w:pPr>
                    <w:pStyle w:val="16"/>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 xml:space="preserve">非开放日 </w:t>
                  </w:r>
                </w:p>
              </w:tc>
              <w:tc>
                <w:tcPr>
                  <w:tcW w:w="1701" w:type="dxa"/>
                  <w:vAlign w:val="center"/>
                </w:tcPr>
                <w:p>
                  <w:pPr>
                    <w:pStyle w:val="16"/>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申购申请日后的下一个开放日</w:t>
                  </w:r>
                </w:p>
              </w:tc>
              <w:tc>
                <w:tcPr>
                  <w:tcW w:w="1984" w:type="dxa"/>
                  <w:vAlign w:val="center"/>
                </w:tcPr>
                <w:p>
                  <w:pPr>
                    <w:pStyle w:val="16"/>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申购日后的下一个开放日</w:t>
                  </w:r>
                </w:p>
              </w:tc>
              <w:tc>
                <w:tcPr>
                  <w:tcW w:w="1985" w:type="dxa"/>
                  <w:vMerge w:val="continue"/>
                </w:tcPr>
                <w:p>
                  <w:pPr>
                    <w:pStyle w:val="16"/>
                    <w:spacing w:line="360" w:lineRule="auto"/>
                    <w:jc w:val="left"/>
                    <w:rPr>
                      <w:rFonts w:asciiTheme="majorEastAsia" w:hAnsiTheme="majorEastAsia" w:eastAsiaTheme="majorEastAsia"/>
                      <w:bCs/>
                      <w:color w:val="auto"/>
                      <w:kern w:val="2"/>
                      <w:sz w:val="18"/>
                      <w:szCs w:val="18"/>
                    </w:rPr>
                  </w:pPr>
                </w:p>
              </w:tc>
            </w:tr>
          </w:tbl>
          <w:p>
            <w:pPr>
              <w:spacing w:line="360" w:lineRule="auto"/>
              <w:rPr>
                <w:rFonts w:asciiTheme="minorEastAsia" w:hAnsiTheme="minorEastAsia"/>
                <w:sz w:val="18"/>
                <w:szCs w:val="18"/>
              </w:rPr>
            </w:pPr>
            <w:r>
              <w:rPr>
                <w:rFonts w:asciiTheme="minorEastAsia" w:hAnsiTheme="minorEastAsia"/>
                <w:sz w:val="18"/>
                <w:szCs w:val="18"/>
              </w:rPr>
              <w:t>3.赎回</w:t>
            </w:r>
            <w:r>
              <w:rPr>
                <w:rFonts w:hint="eastAsia" w:asciiTheme="minorEastAsia" w:hAnsiTheme="minorEastAsia"/>
                <w:sz w:val="18"/>
                <w:szCs w:val="18"/>
              </w:rPr>
              <w:t>安排</w:t>
            </w:r>
          </w:p>
          <w:p>
            <w:pPr>
              <w:spacing w:line="360" w:lineRule="auto"/>
              <w:rPr>
                <w:rFonts w:asciiTheme="minorEastAsia" w:hAnsiTheme="minorEastAsia"/>
                <w:sz w:val="18"/>
                <w:szCs w:val="18"/>
              </w:rPr>
            </w:pPr>
            <w:r>
              <w:rPr>
                <w:rFonts w:hint="eastAsia" w:asciiTheme="minorEastAsia" w:hAnsiTheme="minorEastAsia"/>
                <w:sz w:val="18"/>
                <w:szCs w:val="18"/>
              </w:rPr>
              <w:t>（1）赎回的时间</w:t>
            </w:r>
          </w:p>
          <w:p>
            <w:pPr>
              <w:spacing w:line="360" w:lineRule="auto"/>
              <w:rPr>
                <w:rFonts w:asciiTheme="minorEastAsia" w:hAnsiTheme="minorEastAsia"/>
                <w:sz w:val="18"/>
                <w:szCs w:val="18"/>
              </w:rPr>
            </w:pPr>
            <w:r>
              <w:rPr>
                <w:rFonts w:hint="eastAsia" w:asciiTheme="minorEastAsia" w:hAnsiTheme="minorEastAsia"/>
                <w:sz w:val="18"/>
                <w:szCs w:val="18"/>
              </w:rPr>
              <w:t>本产品</w:t>
            </w:r>
            <w:r>
              <w:rPr>
                <w:rFonts w:asciiTheme="minorEastAsia" w:hAnsiTheme="minorEastAsia"/>
                <w:sz w:val="18"/>
                <w:szCs w:val="18"/>
              </w:rPr>
              <w:t>封闭期</w:t>
            </w:r>
            <w:r>
              <w:rPr>
                <w:rFonts w:hint="eastAsia" w:asciiTheme="minorEastAsia" w:hAnsiTheme="minorEastAsia"/>
                <w:sz w:val="18"/>
                <w:szCs w:val="18"/>
              </w:rPr>
              <w:t>后</w:t>
            </w:r>
            <w:r>
              <w:rPr>
                <w:rFonts w:hint="eastAsia" w:cs="Times New Roman" w:asciiTheme="minorEastAsia" w:hAnsiTheme="minorEastAsia"/>
                <w:sz w:val="18"/>
                <w:szCs w:val="18"/>
              </w:rPr>
              <w:t>的</w:t>
            </w:r>
            <w:r>
              <w:rPr>
                <w:rFonts w:hint="eastAsia" w:asciiTheme="minorEastAsia" w:hAnsiTheme="minorEastAsia"/>
                <w:sz w:val="18"/>
                <w:szCs w:val="18"/>
              </w:rPr>
              <w:t>每个开放日开放</w:t>
            </w:r>
            <w:r>
              <w:rPr>
                <w:rFonts w:hint="eastAsia" w:asciiTheme="minorEastAsia" w:hAnsiTheme="minorEastAsia"/>
                <w:bCs/>
                <w:sz w:val="18"/>
                <w:szCs w:val="18"/>
              </w:rPr>
              <w:t>赎回</w:t>
            </w:r>
            <w:r>
              <w:rPr>
                <w:rFonts w:asciiTheme="minorEastAsia" w:hAnsiTheme="minorEastAsia"/>
                <w:sz w:val="18"/>
                <w:szCs w:val="18"/>
              </w:rPr>
              <w:t>。</w:t>
            </w:r>
            <w:r>
              <w:rPr>
                <w:rFonts w:hint="eastAsia" w:asciiTheme="minorEastAsia" w:hAnsiTheme="minorEastAsia"/>
                <w:sz w:val="18"/>
                <w:szCs w:val="18"/>
              </w:rPr>
              <w:t>投资者可于开放日内提交赎回申请，产品管理人公告暂停开放的日期除外</w:t>
            </w:r>
            <w:r>
              <w:rPr>
                <w:rFonts w:hint="eastAsia" w:asciiTheme="majorEastAsia" w:hAnsiTheme="majorEastAsia" w:eastAsiaTheme="majorEastAsia"/>
                <w:bCs/>
                <w:sz w:val="18"/>
                <w:szCs w:val="18"/>
              </w:rPr>
              <w:t>。</w:t>
            </w:r>
          </w:p>
          <w:p>
            <w:pPr>
              <w:spacing w:line="360" w:lineRule="auto"/>
              <w:rPr>
                <w:rFonts w:asciiTheme="minorEastAsia" w:hAnsiTheme="minorEastAsia"/>
                <w:sz w:val="18"/>
                <w:szCs w:val="18"/>
              </w:rPr>
            </w:pPr>
            <w:r>
              <w:rPr>
                <w:rFonts w:hint="eastAsia" w:asciiTheme="minorEastAsia" w:hAnsiTheme="minorEastAsia"/>
                <w:sz w:val="18"/>
                <w:szCs w:val="18"/>
              </w:rPr>
              <w:t>（2）赎回的确认</w:t>
            </w:r>
          </w:p>
          <w:tbl>
            <w:tblPr>
              <w:tblStyle w:val="9"/>
              <w:tblW w:w="75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833"/>
              <w:gridCol w:w="1701"/>
              <w:gridCol w:w="1984"/>
              <w:gridCol w:w="204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74" w:hRule="atLeast"/>
                <w:jc w:val="center"/>
              </w:trPr>
              <w:tc>
                <w:tcPr>
                  <w:tcW w:w="1833" w:type="dxa"/>
                  <w:vAlign w:val="center"/>
                </w:tcPr>
                <w:p>
                  <w:pPr>
                    <w:spacing w:line="360" w:lineRule="auto"/>
                    <w:jc w:val="center"/>
                    <w:rPr>
                      <w:rFonts w:asciiTheme="minorEastAsia" w:hAnsiTheme="minorEastAsia" w:eastAsiaTheme="minorEastAsia"/>
                      <w:b/>
                      <w:bCs/>
                      <w:sz w:val="18"/>
                      <w:szCs w:val="18"/>
                    </w:rPr>
                  </w:pPr>
                  <w:r>
                    <w:rPr>
                      <w:rFonts w:hint="eastAsia" w:cs="Times New Roman" w:asciiTheme="minorEastAsia" w:hAnsiTheme="minorEastAsia" w:eastAsiaTheme="minorEastAsia"/>
                      <w:b/>
                      <w:bCs/>
                      <w:kern w:val="0"/>
                      <w:sz w:val="18"/>
                      <w:szCs w:val="18"/>
                    </w:rPr>
                    <w:t>赎回申请日</w:t>
                  </w:r>
                </w:p>
              </w:tc>
              <w:tc>
                <w:tcPr>
                  <w:tcW w:w="1701" w:type="dxa"/>
                </w:tcPr>
                <w:p>
                  <w:pPr>
                    <w:spacing w:line="360" w:lineRule="auto"/>
                    <w:jc w:val="center"/>
                    <w:rPr>
                      <w:rFonts w:cs="Times New Roman" w:asciiTheme="minorEastAsia" w:hAnsiTheme="minorEastAsia" w:eastAsiaTheme="minorEastAsia"/>
                      <w:b/>
                      <w:bCs/>
                      <w:kern w:val="0"/>
                      <w:sz w:val="18"/>
                      <w:szCs w:val="18"/>
                    </w:rPr>
                  </w:pPr>
                  <w:r>
                    <w:rPr>
                      <w:rFonts w:hint="eastAsia" w:cs="Times New Roman" w:asciiTheme="minorEastAsia" w:hAnsiTheme="minorEastAsia" w:eastAsiaTheme="minorEastAsia"/>
                      <w:b/>
                      <w:bCs/>
                      <w:kern w:val="0"/>
                      <w:sz w:val="18"/>
                      <w:szCs w:val="18"/>
                    </w:rPr>
                    <w:t>赎回</w:t>
                  </w:r>
                  <w:r>
                    <w:rPr>
                      <w:rFonts w:cs="Times New Roman" w:asciiTheme="minorEastAsia" w:hAnsiTheme="minorEastAsia" w:eastAsiaTheme="minorEastAsia"/>
                      <w:b/>
                      <w:bCs/>
                      <w:kern w:val="0"/>
                      <w:sz w:val="18"/>
                      <w:szCs w:val="18"/>
                    </w:rPr>
                    <w:t>日</w:t>
                  </w:r>
                </w:p>
              </w:tc>
              <w:tc>
                <w:tcPr>
                  <w:tcW w:w="1984" w:type="dxa"/>
                  <w:vAlign w:val="center"/>
                </w:tcPr>
                <w:p>
                  <w:pPr>
                    <w:spacing w:line="360" w:lineRule="auto"/>
                    <w:jc w:val="center"/>
                    <w:rPr>
                      <w:rFonts w:asciiTheme="minorEastAsia" w:hAnsiTheme="minorEastAsia" w:eastAsiaTheme="minorEastAsia"/>
                      <w:b/>
                      <w:bCs/>
                      <w:sz w:val="18"/>
                      <w:szCs w:val="18"/>
                    </w:rPr>
                  </w:pPr>
                  <w:r>
                    <w:rPr>
                      <w:rFonts w:hint="eastAsia" w:cs="Times New Roman" w:asciiTheme="minorEastAsia" w:hAnsiTheme="minorEastAsia" w:eastAsiaTheme="minorEastAsia"/>
                      <w:b/>
                      <w:bCs/>
                      <w:kern w:val="0"/>
                      <w:sz w:val="18"/>
                      <w:szCs w:val="18"/>
                    </w:rPr>
                    <w:t>赎回确认日</w:t>
                  </w:r>
                </w:p>
              </w:tc>
              <w:tc>
                <w:tcPr>
                  <w:tcW w:w="2043" w:type="dxa"/>
                  <w:vAlign w:val="center"/>
                </w:tcPr>
                <w:p>
                  <w:pPr>
                    <w:spacing w:line="360" w:lineRule="auto"/>
                    <w:jc w:val="center"/>
                    <w:rPr>
                      <w:rFonts w:asciiTheme="minorEastAsia" w:hAnsiTheme="minorEastAsia" w:eastAsiaTheme="minorEastAsia"/>
                      <w:b/>
                      <w:bCs/>
                      <w:sz w:val="18"/>
                      <w:szCs w:val="18"/>
                    </w:rPr>
                  </w:pPr>
                  <w:r>
                    <w:rPr>
                      <w:rFonts w:hint="eastAsia" w:cs="Times New Roman" w:asciiTheme="minorEastAsia" w:hAnsiTheme="minorEastAsia" w:eastAsiaTheme="minorEastAsia"/>
                      <w:b/>
                      <w:bCs/>
                      <w:kern w:val="0"/>
                      <w:sz w:val="18"/>
                      <w:szCs w:val="18"/>
                    </w:rPr>
                    <w:t>赎回确认方式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49" w:hRule="atLeast"/>
                <w:jc w:val="center"/>
              </w:trPr>
              <w:tc>
                <w:tcPr>
                  <w:tcW w:w="1833" w:type="dxa"/>
                  <w:tcBorders>
                    <w:bottom w:val="single" w:color="auto" w:sz="12" w:space="0"/>
                  </w:tcBorders>
                  <w:vAlign w:val="center"/>
                </w:tcPr>
                <w:p>
                  <w:pPr>
                    <w:pStyle w:val="16"/>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开放日内交易时间：</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0：00</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17：00</w:t>
                  </w:r>
                  <w:r>
                    <w:rPr>
                      <w:rFonts w:hint="eastAsia" w:asciiTheme="majorEastAsia" w:hAnsiTheme="majorEastAsia" w:eastAsiaTheme="majorEastAsia"/>
                      <w:bCs/>
                      <w:color w:val="auto"/>
                      <w:sz w:val="18"/>
                      <w:szCs w:val="18"/>
                    </w:rPr>
                    <w:t>】</w:t>
                  </w:r>
                </w:p>
              </w:tc>
              <w:tc>
                <w:tcPr>
                  <w:tcW w:w="1701" w:type="dxa"/>
                  <w:tcBorders>
                    <w:bottom w:val="single" w:color="auto" w:sz="12" w:space="0"/>
                  </w:tcBorders>
                  <w:vAlign w:val="center"/>
                </w:tcPr>
                <w:p>
                  <w:pPr>
                    <w:spacing w:line="360" w:lineRule="auto"/>
                    <w:rPr>
                      <w:rFonts w:cs="Times New Roman" w:asciiTheme="minorEastAsia" w:hAnsiTheme="minorEastAsia" w:eastAsiaTheme="minorEastAsia"/>
                      <w:bCs/>
                      <w:kern w:val="0"/>
                      <w:sz w:val="18"/>
                      <w:szCs w:val="18"/>
                    </w:rPr>
                  </w:pPr>
                  <w:r>
                    <w:rPr>
                      <w:rFonts w:hint="eastAsia" w:asciiTheme="majorEastAsia" w:hAnsiTheme="majorEastAsia" w:eastAsiaTheme="majorEastAsia"/>
                      <w:bCs/>
                      <w:sz w:val="18"/>
                      <w:szCs w:val="18"/>
                    </w:rPr>
                    <w:t>赎回申请日当日</w:t>
                  </w:r>
                </w:p>
              </w:tc>
              <w:tc>
                <w:tcPr>
                  <w:tcW w:w="1984" w:type="dxa"/>
                  <w:tcBorders>
                    <w:bottom w:val="single" w:color="auto" w:sz="12" w:space="0"/>
                  </w:tcBorders>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eastAsiaTheme="minorEastAsia"/>
                      <w:bCs/>
                      <w:kern w:val="0"/>
                      <w:sz w:val="18"/>
                      <w:szCs w:val="18"/>
                    </w:rPr>
                    <w:t>赎回日</w:t>
                  </w:r>
                  <w:r>
                    <w:rPr>
                      <w:rFonts w:hint="eastAsia" w:asciiTheme="majorEastAsia" w:hAnsiTheme="majorEastAsia" w:eastAsiaTheme="majorEastAsia"/>
                      <w:bCs/>
                      <w:sz w:val="18"/>
                      <w:szCs w:val="18"/>
                    </w:rPr>
                    <w:t>后的下一个开放日</w:t>
                  </w:r>
                </w:p>
              </w:tc>
              <w:tc>
                <w:tcPr>
                  <w:tcW w:w="2043" w:type="dxa"/>
                  <w:vMerge w:val="restart"/>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eastAsiaTheme="minorEastAsia"/>
                      <w:bCs/>
                      <w:kern w:val="0"/>
                      <w:sz w:val="18"/>
                      <w:szCs w:val="18"/>
                    </w:rPr>
                    <w:t>产品管理人在赎回</w:t>
                  </w:r>
                  <w:r>
                    <w:rPr>
                      <w:rFonts w:cs="Times New Roman" w:asciiTheme="minorEastAsia" w:hAnsiTheme="minorEastAsia" w:eastAsiaTheme="minorEastAsia"/>
                      <w:bCs/>
                      <w:kern w:val="0"/>
                      <w:sz w:val="18"/>
                      <w:szCs w:val="18"/>
                    </w:rPr>
                    <w:t>确认日</w:t>
                  </w:r>
                  <w:r>
                    <w:rPr>
                      <w:rFonts w:hint="eastAsia" w:cs="Times New Roman" w:asciiTheme="minorEastAsia" w:hAnsiTheme="minorEastAsia" w:eastAsiaTheme="minorEastAsia"/>
                      <w:bCs/>
                      <w:kern w:val="0"/>
                      <w:sz w:val="18"/>
                      <w:szCs w:val="18"/>
                    </w:rPr>
                    <w:t>对赎回申请的有效性进行确认，并注销理财份额。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99" w:hRule="atLeast"/>
                <w:jc w:val="center"/>
              </w:trPr>
              <w:tc>
                <w:tcPr>
                  <w:tcW w:w="1833" w:type="dxa"/>
                  <w:tcBorders>
                    <w:top w:val="single" w:color="auto" w:sz="12" w:space="0"/>
                    <w:bottom w:val="single" w:color="auto" w:sz="12" w:space="0"/>
                  </w:tcBorders>
                  <w:vAlign w:val="center"/>
                </w:tcPr>
                <w:p>
                  <w:pPr>
                    <w:pStyle w:val="16"/>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开放日内非交易时间：</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17：00</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24：00</w:t>
                  </w:r>
                  <w:r>
                    <w:rPr>
                      <w:rFonts w:hint="eastAsia" w:asciiTheme="majorEastAsia" w:hAnsiTheme="majorEastAsia" w:eastAsiaTheme="majorEastAsia"/>
                      <w:bCs/>
                      <w:color w:val="auto"/>
                      <w:sz w:val="18"/>
                      <w:szCs w:val="18"/>
                    </w:rPr>
                    <w:t>】</w:t>
                  </w:r>
                </w:p>
              </w:tc>
              <w:tc>
                <w:tcPr>
                  <w:tcW w:w="1701" w:type="dxa"/>
                  <w:tcBorders>
                    <w:top w:val="single" w:color="auto" w:sz="12" w:space="0"/>
                    <w:bottom w:val="single" w:color="auto" w:sz="12" w:space="0"/>
                  </w:tcBorders>
                  <w:vAlign w:val="center"/>
                </w:tcPr>
                <w:p>
                  <w:pPr>
                    <w:spacing w:line="360" w:lineRule="auto"/>
                    <w:rPr>
                      <w:rFonts w:cs="Times New Roman" w:asciiTheme="minorEastAsia" w:hAnsiTheme="minorEastAsia" w:eastAsiaTheme="minorEastAsia"/>
                      <w:bCs/>
                      <w:kern w:val="0"/>
                      <w:sz w:val="18"/>
                      <w:szCs w:val="18"/>
                    </w:rPr>
                  </w:pPr>
                  <w:r>
                    <w:rPr>
                      <w:rFonts w:hint="eastAsia" w:asciiTheme="majorEastAsia" w:hAnsiTheme="majorEastAsia" w:eastAsiaTheme="majorEastAsia"/>
                      <w:bCs/>
                      <w:sz w:val="18"/>
                      <w:szCs w:val="18"/>
                    </w:rPr>
                    <w:t>赎回申请日后的下一个开放日</w:t>
                  </w:r>
                </w:p>
              </w:tc>
              <w:tc>
                <w:tcPr>
                  <w:tcW w:w="1984" w:type="dxa"/>
                  <w:tcBorders>
                    <w:top w:val="single" w:color="auto" w:sz="12" w:space="0"/>
                    <w:bottom w:val="single" w:color="auto" w:sz="12" w:space="0"/>
                  </w:tcBorders>
                  <w:vAlign w:val="center"/>
                </w:tcPr>
                <w:p>
                  <w:pPr>
                    <w:spacing w:line="360" w:lineRule="auto"/>
                    <w:rPr>
                      <w:rFonts w:cs="Times New Roman" w:asciiTheme="minorEastAsia" w:hAnsiTheme="minorEastAsia" w:eastAsiaTheme="minorEastAsia"/>
                      <w:bCs/>
                      <w:kern w:val="0"/>
                      <w:sz w:val="18"/>
                      <w:szCs w:val="18"/>
                    </w:rPr>
                  </w:pPr>
                  <w:r>
                    <w:rPr>
                      <w:rFonts w:cs="Times New Roman" w:asciiTheme="minorEastAsia" w:hAnsiTheme="minorEastAsia" w:eastAsiaTheme="minorEastAsia"/>
                      <w:bCs/>
                      <w:kern w:val="0"/>
                      <w:sz w:val="18"/>
                      <w:szCs w:val="18"/>
                    </w:rPr>
                    <w:t>赎回日</w:t>
                  </w:r>
                  <w:r>
                    <w:rPr>
                      <w:rFonts w:hint="eastAsia" w:asciiTheme="majorEastAsia" w:hAnsiTheme="majorEastAsia" w:eastAsiaTheme="majorEastAsia"/>
                      <w:bCs/>
                      <w:sz w:val="18"/>
                      <w:szCs w:val="18"/>
                    </w:rPr>
                    <w:t>后的下一个开放日</w:t>
                  </w:r>
                </w:p>
              </w:tc>
              <w:tc>
                <w:tcPr>
                  <w:tcW w:w="2043" w:type="dxa"/>
                  <w:vMerge w:val="continue"/>
                  <w:vAlign w:val="center"/>
                </w:tcPr>
                <w:p>
                  <w:pPr>
                    <w:spacing w:line="360" w:lineRule="auto"/>
                    <w:rPr>
                      <w:rFonts w:cs="Times New Roman" w:asciiTheme="minorEastAsia" w:hAnsiTheme="minorEastAsia" w:eastAsiaTheme="minorEastAsia"/>
                      <w:bCs/>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99" w:hRule="atLeast"/>
                <w:jc w:val="center"/>
              </w:trPr>
              <w:tc>
                <w:tcPr>
                  <w:tcW w:w="1833" w:type="dxa"/>
                  <w:tcBorders>
                    <w:top w:val="single" w:color="auto" w:sz="12" w:space="0"/>
                  </w:tcBorders>
                  <w:vAlign w:val="center"/>
                </w:tcPr>
                <w:p>
                  <w:pPr>
                    <w:pStyle w:val="16"/>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非</w:t>
                  </w:r>
                  <w:r>
                    <w:rPr>
                      <w:rFonts w:asciiTheme="majorEastAsia" w:hAnsiTheme="majorEastAsia" w:eastAsiaTheme="majorEastAsia"/>
                      <w:bCs/>
                      <w:color w:val="auto"/>
                      <w:sz w:val="18"/>
                      <w:szCs w:val="18"/>
                    </w:rPr>
                    <w:t>开放</w:t>
                  </w:r>
                  <w:r>
                    <w:rPr>
                      <w:rFonts w:hint="eastAsia" w:asciiTheme="majorEastAsia" w:hAnsiTheme="majorEastAsia" w:eastAsiaTheme="majorEastAsia"/>
                      <w:bCs/>
                      <w:color w:val="auto"/>
                      <w:sz w:val="18"/>
                      <w:szCs w:val="18"/>
                    </w:rPr>
                    <w:t>日</w:t>
                  </w:r>
                </w:p>
              </w:tc>
              <w:tc>
                <w:tcPr>
                  <w:tcW w:w="1701" w:type="dxa"/>
                  <w:tcBorders>
                    <w:top w:val="single" w:color="auto" w:sz="12" w:space="0"/>
                  </w:tcBorders>
                  <w:vAlign w:val="center"/>
                </w:tcPr>
                <w:p>
                  <w:pPr>
                    <w:spacing w:line="360" w:lineRule="auto"/>
                    <w:rPr>
                      <w:rFonts w:cs="Times New Roman" w:asciiTheme="minorEastAsia" w:hAnsiTheme="minorEastAsia" w:eastAsiaTheme="minorEastAsia"/>
                      <w:bCs/>
                      <w:kern w:val="0"/>
                      <w:sz w:val="18"/>
                      <w:szCs w:val="18"/>
                    </w:rPr>
                  </w:pPr>
                  <w:r>
                    <w:rPr>
                      <w:rFonts w:hint="eastAsia" w:asciiTheme="majorEastAsia" w:hAnsiTheme="majorEastAsia" w:eastAsiaTheme="majorEastAsia"/>
                      <w:bCs/>
                      <w:sz w:val="18"/>
                      <w:szCs w:val="18"/>
                    </w:rPr>
                    <w:t>赎回申请日后的下一个开放日</w:t>
                  </w:r>
                </w:p>
              </w:tc>
              <w:tc>
                <w:tcPr>
                  <w:tcW w:w="1984" w:type="dxa"/>
                  <w:tcBorders>
                    <w:top w:val="single" w:color="auto" w:sz="12" w:space="0"/>
                  </w:tcBorders>
                </w:tcPr>
                <w:p>
                  <w:pPr>
                    <w:spacing w:line="360" w:lineRule="auto"/>
                    <w:rPr>
                      <w:rFonts w:cs="Times New Roman" w:asciiTheme="minorEastAsia" w:hAnsiTheme="minorEastAsia" w:eastAsiaTheme="minorEastAsia"/>
                      <w:bCs/>
                      <w:kern w:val="0"/>
                      <w:sz w:val="18"/>
                      <w:szCs w:val="18"/>
                    </w:rPr>
                  </w:pPr>
                  <w:r>
                    <w:rPr>
                      <w:rFonts w:cs="Times New Roman" w:asciiTheme="minorEastAsia" w:hAnsiTheme="minorEastAsia" w:eastAsiaTheme="minorEastAsia"/>
                      <w:bCs/>
                      <w:kern w:val="0"/>
                      <w:sz w:val="18"/>
                      <w:szCs w:val="18"/>
                    </w:rPr>
                    <w:t>赎回日</w:t>
                  </w:r>
                  <w:r>
                    <w:rPr>
                      <w:rFonts w:hint="eastAsia" w:asciiTheme="majorEastAsia" w:hAnsiTheme="majorEastAsia" w:eastAsiaTheme="majorEastAsia"/>
                      <w:bCs/>
                      <w:sz w:val="18"/>
                      <w:szCs w:val="18"/>
                    </w:rPr>
                    <w:t>后的下一个开放日</w:t>
                  </w:r>
                </w:p>
              </w:tc>
              <w:tc>
                <w:tcPr>
                  <w:tcW w:w="2043" w:type="dxa"/>
                  <w:vMerge w:val="continue"/>
                </w:tcPr>
                <w:p>
                  <w:pPr>
                    <w:spacing w:line="360" w:lineRule="auto"/>
                    <w:rPr>
                      <w:rFonts w:cs="Times New Roman" w:asciiTheme="minorEastAsia" w:hAnsiTheme="minorEastAsia" w:eastAsiaTheme="minorEastAsia"/>
                      <w:bCs/>
                      <w:kern w:val="0"/>
                      <w:sz w:val="18"/>
                      <w:szCs w:val="18"/>
                    </w:rPr>
                  </w:pPr>
                </w:p>
              </w:tc>
            </w:tr>
          </w:tbl>
          <w:p>
            <w:pPr>
              <w:spacing w:line="360" w:lineRule="auto"/>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注：</w:t>
            </w:r>
            <w:r>
              <w:rPr>
                <w:rFonts w:hint="eastAsia" w:ascii="黑体" w:hAnsi="黑体" w:eastAsia="黑体" w:cs="黑体"/>
                <w:color w:val="000000" w:themeColor="text1"/>
                <w:sz w:val="18"/>
                <w14:textFill>
                  <w14:solidFill>
                    <w14:schemeClr w14:val="tx1"/>
                  </w14:solidFill>
                </w14:textFill>
              </w:rPr>
              <w:t>赎回</w:t>
            </w:r>
            <w:r>
              <w:rPr>
                <w:rFonts w:hint="eastAsia" w:ascii="黑体" w:hAnsi="黑体" w:eastAsia="黑体" w:cs="黑体"/>
                <w:color w:val="000000" w:themeColor="text1"/>
                <w:sz w:val="18"/>
                <w:szCs w:val="18"/>
                <w14:textFill>
                  <w14:solidFill>
                    <w14:schemeClr w14:val="tx1"/>
                  </w14:solidFill>
                </w14:textFill>
              </w:rPr>
              <w:t>款项于</w:t>
            </w:r>
            <w:r>
              <w:rPr>
                <w:rFonts w:hint="eastAsia" w:ascii="黑体" w:hAnsi="黑体" w:eastAsia="黑体" w:cs="黑体"/>
                <w:kern w:val="0"/>
                <w:sz w:val="18"/>
                <w:szCs w:val="18"/>
              </w:rPr>
              <w:t>赎回</w:t>
            </w:r>
            <w:r>
              <w:rPr>
                <w:rFonts w:hint="eastAsia" w:ascii="黑体" w:hAnsi="黑体" w:eastAsia="黑体" w:cs="黑体"/>
                <w:kern w:val="0"/>
                <w:sz w:val="18"/>
              </w:rPr>
              <w:t>日后【</w:t>
            </w:r>
            <w:r>
              <w:rPr>
                <w:rFonts w:hint="eastAsia" w:ascii="黑体" w:hAnsi="黑体" w:eastAsia="黑体" w:cs="黑体"/>
                <w:kern w:val="0"/>
                <w:sz w:val="18"/>
                <w:lang w:val="en-US" w:eastAsia="zh-CN"/>
              </w:rPr>
              <w:t>1</w:t>
            </w:r>
            <w:r>
              <w:rPr>
                <w:rFonts w:hint="eastAsia" w:ascii="黑体" w:hAnsi="黑体" w:eastAsia="黑体" w:cs="黑体"/>
                <w:kern w:val="0"/>
                <w:sz w:val="18"/>
              </w:rPr>
              <w:t>】个开放日</w:t>
            </w:r>
            <w:r>
              <w:rPr>
                <w:rFonts w:hint="eastAsia" w:ascii="黑体" w:hAnsi="黑体" w:eastAsia="黑体" w:cs="黑体"/>
                <w:kern w:val="0"/>
                <w:sz w:val="18"/>
                <w:szCs w:val="18"/>
              </w:rPr>
              <w:t>内支付给</w:t>
            </w:r>
            <w:r>
              <w:rPr>
                <w:rFonts w:hint="eastAsia" w:ascii="黑体" w:hAnsi="黑体" w:eastAsia="黑体" w:cs="黑体"/>
                <w:kern w:val="0"/>
                <w:sz w:val="18"/>
              </w:rPr>
              <w:t>投资者</w:t>
            </w:r>
            <w:r>
              <w:rPr>
                <w:rFonts w:hint="eastAsia" w:ascii="黑体" w:hAnsi="黑体" w:eastAsia="黑体" w:cs="黑体"/>
                <w:kern w:val="0"/>
                <w:sz w:val="18"/>
                <w:szCs w:val="18"/>
              </w:rPr>
              <w:t>。</w:t>
            </w:r>
          </w:p>
          <w:p>
            <w:pPr>
              <w:spacing w:line="360" w:lineRule="auto"/>
              <w:rPr>
                <w:rFonts w:asciiTheme="minorEastAsia" w:hAnsiTheme="minorEastAsia"/>
                <w:sz w:val="18"/>
                <w:szCs w:val="18"/>
              </w:rPr>
            </w:pPr>
            <w:r>
              <w:rPr>
                <w:rFonts w:asciiTheme="majorEastAsia" w:hAnsiTheme="majorEastAsia" w:eastAsiaTheme="majorEastAsia"/>
                <w:bCs/>
                <w:color w:val="000000" w:themeColor="text1"/>
                <w:sz w:val="18"/>
                <w:szCs w:val="18"/>
                <w14:textFill>
                  <w14:solidFill>
                    <w14:schemeClr w14:val="tx1"/>
                  </w14:solidFill>
                </w14:textFill>
              </w:rPr>
              <w:t>4.申购/</w:t>
            </w:r>
            <w:r>
              <w:rPr>
                <w:rFonts w:hint="eastAsia" w:asciiTheme="majorEastAsia" w:hAnsiTheme="majorEastAsia" w:eastAsiaTheme="majorEastAsia"/>
                <w:bCs/>
                <w:color w:val="000000" w:themeColor="text1"/>
                <w:sz w:val="18"/>
                <w:szCs w:val="18"/>
                <w14:textFill>
                  <w14:solidFill>
                    <w14:schemeClr w14:val="tx1"/>
                  </w14:solidFill>
                </w14:textFill>
              </w:rPr>
              <w:t>赎回申请时间如遇非工作日，则产品管理人做相应调整。</w:t>
            </w:r>
          </w:p>
          <w:p>
            <w:pPr>
              <w:spacing w:line="360" w:lineRule="auto"/>
              <w:rPr>
                <w:rFonts w:ascii="黑体" w:hAnsi="黑体" w:eastAsia="黑体"/>
                <w:bCs/>
                <w:sz w:val="18"/>
                <w:szCs w:val="18"/>
              </w:rPr>
            </w:pPr>
            <w:r>
              <w:rPr>
                <w:rFonts w:hint="eastAsia" w:ascii="黑体" w:hAnsi="黑体" w:eastAsia="黑体"/>
                <w:bCs/>
                <w:sz w:val="18"/>
                <w:szCs w:val="18"/>
              </w:rPr>
              <w:t>注：关于代理销售机构的实际工作服务时段的提示</w:t>
            </w:r>
          </w:p>
          <w:p>
            <w:pPr>
              <w:spacing w:line="360" w:lineRule="auto"/>
              <w:rPr>
                <w:rFonts w:ascii="黑体" w:hAnsi="黑体" w:eastAsia="黑体"/>
                <w:bCs/>
                <w:sz w:val="18"/>
                <w:szCs w:val="18"/>
              </w:rPr>
            </w:pPr>
            <w:r>
              <w:rPr>
                <w:rFonts w:hint="eastAsia" w:ascii="黑体" w:hAnsi="黑体" w:eastAsia="黑体"/>
                <w:bCs/>
                <w:sz w:val="18"/>
                <w:szCs w:val="18"/>
              </w:rPr>
              <w:t>①为本产品办理相关交易的实际工作服务时段，因代理销售机构的不同可能存在差异（可能晚于销售文件约定的起始时点开始或早于销售文件约定的终止时点结束），投资者应当以代理销售机构的展示为准。</w:t>
            </w:r>
          </w:p>
          <w:p>
            <w:pPr>
              <w:spacing w:line="360" w:lineRule="auto"/>
              <w:rPr>
                <w:rFonts w:cs="仿宋_GB2312" w:asciiTheme="majorEastAsia" w:hAnsiTheme="majorEastAsia" w:eastAsiaTheme="majorEastAsia"/>
                <w:color w:val="000000" w:themeColor="text1"/>
                <w:kern w:val="0"/>
                <w:sz w:val="18"/>
                <w:szCs w:val="18"/>
                <w14:textFill>
                  <w14:solidFill>
                    <w14:schemeClr w14:val="tx1"/>
                  </w14:solidFill>
                </w14:textFill>
              </w:rPr>
            </w:pPr>
            <w:r>
              <w:rPr>
                <w:rFonts w:hint="eastAsia" w:ascii="黑体" w:hAnsi="黑体" w:eastAsia="黑体"/>
                <w:bCs/>
                <w:sz w:val="18"/>
                <w:szCs w:val="18"/>
              </w:rPr>
              <w:t>②代理销售机构的实际工作服务时段，最早不得早于销售文件约定的起始时点、最晚不得晚于销售文件约定的终止时点。</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宋体" w:hAnsi="宋体"/>
                <w:b/>
                <w:bCs/>
                <w:kern w:val="0"/>
                <w:sz w:val="18"/>
                <w:szCs w:val="18"/>
              </w:rPr>
              <w:t>销售起点金额</w:t>
            </w:r>
            <w:r>
              <w:rPr>
                <w:rFonts w:hint="eastAsia" w:asciiTheme="majorEastAsia" w:hAnsiTheme="majorEastAsia" w:eastAsiaTheme="majorEastAsia"/>
                <w:b/>
                <w:bCs/>
                <w:sz w:val="18"/>
                <w:szCs w:val="18"/>
              </w:rPr>
              <w:t>及</w:t>
            </w:r>
            <w:r>
              <w:rPr>
                <w:rFonts w:asciiTheme="majorEastAsia" w:hAnsiTheme="majorEastAsia" w:eastAsiaTheme="majorEastAsia"/>
                <w:b/>
                <w:bCs/>
                <w:sz w:val="18"/>
                <w:szCs w:val="18"/>
              </w:rPr>
              <w:t>递增金额</w:t>
            </w:r>
          </w:p>
        </w:tc>
        <w:tc>
          <w:tcPr>
            <w:tcW w:w="7699" w:type="dxa"/>
            <w:shd w:val="solid" w:color="FFFFFF" w:fill="FFFFFF"/>
            <w:vAlign w:val="center"/>
          </w:tcPr>
          <w:p>
            <w:pPr>
              <w:spacing w:line="360" w:lineRule="auto"/>
              <w:rPr>
                <w:rFonts w:hint="eastAsia" w:asciiTheme="majorEastAsia" w:hAnsiTheme="majorEastAsia" w:eastAsiaTheme="majorEastAsia"/>
                <w:bCs/>
                <w:sz w:val="18"/>
                <w:szCs w:val="18"/>
                <w:lang w:eastAsia="zh-CN"/>
              </w:rPr>
            </w:pPr>
            <w:r>
              <w:rPr>
                <w:rFonts w:hint="eastAsia" w:asciiTheme="majorEastAsia" w:hAnsiTheme="majorEastAsia" w:eastAsiaTheme="majorEastAsia"/>
                <w:sz w:val="18"/>
                <w:szCs w:val="18"/>
              </w:rPr>
              <w:t>每笔</w:t>
            </w:r>
            <w:r>
              <w:rPr>
                <w:rFonts w:hint="eastAsia" w:asciiTheme="majorEastAsia" w:hAnsiTheme="majorEastAsia" w:eastAsiaTheme="majorEastAsia"/>
                <w:bCs/>
                <w:sz w:val="18"/>
                <w:szCs w:val="18"/>
              </w:rPr>
              <w:t>购买起点金额为【</w:t>
            </w:r>
            <w:r>
              <w:rPr>
                <w:rFonts w:hint="eastAsia" w:asciiTheme="majorEastAsia" w:hAnsiTheme="majorEastAsia" w:eastAsiaTheme="majorEastAsia"/>
                <w:bCs/>
                <w:sz w:val="18"/>
                <w:szCs w:val="18"/>
                <w:lang w:val="en-US" w:eastAsia="zh-CN"/>
              </w:rPr>
              <w:t>0.01</w:t>
            </w:r>
            <w:r>
              <w:rPr>
                <w:rFonts w:hint="eastAsia" w:asciiTheme="majorEastAsia" w:hAnsiTheme="majorEastAsia" w:eastAsiaTheme="majorEastAsia"/>
                <w:bCs/>
                <w:sz w:val="18"/>
                <w:szCs w:val="18"/>
              </w:rPr>
              <w:t>】元；超出起点金额的部分以【</w:t>
            </w:r>
            <w:r>
              <w:rPr>
                <w:rFonts w:hint="eastAsia" w:asciiTheme="majorEastAsia" w:hAnsiTheme="majorEastAsia" w:eastAsiaTheme="majorEastAsia"/>
                <w:bCs/>
                <w:sz w:val="18"/>
                <w:szCs w:val="18"/>
                <w:lang w:val="en-US" w:eastAsia="zh-CN"/>
              </w:rPr>
              <w:t>0.01</w:t>
            </w:r>
            <w:r>
              <w:rPr>
                <w:rFonts w:hint="eastAsia" w:asciiTheme="majorEastAsia" w:hAnsiTheme="majorEastAsia" w:eastAsiaTheme="majorEastAsia"/>
                <w:bCs/>
                <w:sz w:val="18"/>
                <w:szCs w:val="18"/>
              </w:rPr>
              <w:t>】元的整数倍递增。</w:t>
            </w:r>
            <w:r>
              <w:rPr>
                <w:rFonts w:hint="eastAsia" w:asciiTheme="majorEastAsia" w:hAnsiTheme="majorEastAsia" w:eastAsiaTheme="majorEastAsia"/>
                <w:bCs/>
                <w:color w:val="000000" w:themeColor="text1"/>
                <w:sz w:val="18"/>
                <w:szCs w:val="18"/>
                <w:lang w:eastAsia="zh-CN"/>
                <w14:textFill>
                  <w14:solidFill>
                    <w14:schemeClr w14:val="tx1"/>
                  </w14:solidFill>
                </w14:textFill>
              </w:rPr>
              <w:t>（适用【C】类份额）</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关于代理销售机构的实际销售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的提示</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①本产品在代理销售机构的实际销售起点金额，因代理销售机构的不同可能存在差异（可能高于销售文件约定的销售起点金额），应当</w:t>
            </w:r>
            <w:r>
              <w:rPr>
                <w:rFonts w:ascii="黑体" w:hAnsi="黑体" w:eastAsia="黑体"/>
                <w:bCs/>
                <w:color w:val="000000" w:themeColor="text1"/>
                <w:sz w:val="18"/>
                <w:szCs w:val="18"/>
                <w14:textFill>
                  <w14:solidFill>
                    <w14:schemeClr w14:val="tx1"/>
                  </w14:solidFill>
                </w14:textFill>
              </w:rPr>
              <w:t>以</w:t>
            </w:r>
            <w:r>
              <w:rPr>
                <w:rFonts w:hint="eastAsia" w:ascii="黑体" w:hAnsi="黑体" w:eastAsia="黑体"/>
                <w:bCs/>
                <w:color w:val="000000" w:themeColor="text1"/>
                <w:sz w:val="18"/>
                <w:szCs w:val="18"/>
                <w14:textFill>
                  <w14:solidFill>
                    <w14:schemeClr w14:val="tx1"/>
                  </w14:solidFill>
                </w14:textFill>
              </w:rPr>
              <w:t>代理销售机构展示</w:t>
            </w:r>
            <w:r>
              <w:rPr>
                <w:rFonts w:ascii="黑体" w:hAnsi="黑体" w:eastAsia="黑体"/>
                <w:bCs/>
                <w:color w:val="000000" w:themeColor="text1"/>
                <w:sz w:val="18"/>
                <w:szCs w:val="18"/>
                <w14:textFill>
                  <w14:solidFill>
                    <w14:schemeClr w14:val="tx1"/>
                  </w14:solidFill>
                </w14:textFill>
              </w:rPr>
              <w:t>为准</w:t>
            </w:r>
            <w:r>
              <w:rPr>
                <w:rFonts w:hint="eastAsia" w:ascii="黑体" w:hAnsi="黑体" w:eastAsia="黑体"/>
                <w:bCs/>
                <w:color w:val="000000" w:themeColor="text1"/>
                <w:sz w:val="18"/>
                <w:szCs w:val="18"/>
                <w14:textFill>
                  <w14:solidFill>
                    <w14:schemeClr w14:val="tx1"/>
                  </w14:solidFill>
                </w14:textFill>
              </w:rPr>
              <w:t>。</w:t>
            </w:r>
          </w:p>
          <w:p>
            <w:pPr>
              <w:spacing w:line="360" w:lineRule="auto"/>
              <w:jc w:val="left"/>
              <w:rPr>
                <w:rFonts w:cs="Times New Roman" w:asciiTheme="minorEastAsia" w:hAnsiTheme="minorEastAsia"/>
                <w:sz w:val="18"/>
                <w:szCs w:val="18"/>
              </w:rPr>
            </w:pPr>
            <w:r>
              <w:rPr>
                <w:rFonts w:hint="eastAsia" w:ascii="黑体" w:hAnsi="黑体" w:eastAsia="黑体"/>
                <w:bCs/>
                <w:color w:val="000000" w:themeColor="text1"/>
                <w:sz w:val="18"/>
                <w:szCs w:val="18"/>
                <w14:textFill>
                  <w14:solidFill>
                    <w14:schemeClr w14:val="tx1"/>
                  </w14:solidFill>
                </w14:textFill>
              </w:rPr>
              <w:t>②代理销售机构的实际销售起点金额，</w:t>
            </w:r>
            <w:r>
              <w:rPr>
                <w:rFonts w:ascii="黑体" w:hAnsi="黑体" w:eastAsia="黑体"/>
                <w:bCs/>
                <w:color w:val="000000" w:themeColor="text1"/>
                <w:sz w:val="18"/>
                <w:szCs w:val="18"/>
                <w14:textFill>
                  <w14:solidFill>
                    <w14:schemeClr w14:val="tx1"/>
                  </w14:solidFill>
                </w14:textFill>
              </w:rPr>
              <w:t>不得低于</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文件约定的</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b/>
                <w:sz w:val="18"/>
                <w:szCs w:val="18"/>
              </w:rPr>
              <w:t>★认购、申购与赎回的数量限制</w:t>
            </w:r>
          </w:p>
        </w:tc>
        <w:tc>
          <w:tcPr>
            <w:tcW w:w="7699" w:type="dxa"/>
            <w:shd w:val="solid" w:color="FFFFFF" w:fill="FFFFFF"/>
            <w:vAlign w:val="center"/>
          </w:tcPr>
          <w:p>
            <w:pPr>
              <w:pStyle w:val="16"/>
              <w:spacing w:line="360" w:lineRule="auto"/>
              <w:rPr>
                <w:rFonts w:hint="eastAsia" w:hAnsi="宋体" w:eastAsia="宋体"/>
                <w:bCs/>
                <w:sz w:val="18"/>
                <w:szCs w:val="18"/>
                <w:lang w:eastAsia="zh-CN"/>
              </w:rPr>
            </w:pPr>
            <w:r>
              <w:rPr>
                <w:rFonts w:hint="eastAsia" w:hAnsi="宋体"/>
                <w:bCs/>
                <w:sz w:val="18"/>
                <w:szCs w:val="18"/>
                <w:lang w:eastAsia="zh-CN"/>
              </w:rPr>
              <w:t>（适用【C】类份额）</w:t>
            </w:r>
          </w:p>
          <w:p>
            <w:pPr>
              <w:pStyle w:val="16"/>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1.认购的数量限制</w:t>
            </w:r>
          </w:p>
          <w:p>
            <w:pPr>
              <w:pStyle w:val="16"/>
              <w:spacing w:line="360" w:lineRule="auto"/>
              <w:rPr>
                <w:rFonts w:hAnsi="宋体"/>
                <w:bCs/>
                <w:sz w:val="18"/>
                <w:szCs w:val="18"/>
              </w:rPr>
            </w:pPr>
            <w:r>
              <w:rPr>
                <w:rFonts w:hint="eastAsia" w:asciiTheme="minorEastAsia" w:hAnsiTheme="minorEastAsia" w:eastAsiaTheme="minorEastAsia"/>
                <w:color w:val="auto"/>
                <w:sz w:val="18"/>
                <w:szCs w:val="18"/>
              </w:rPr>
              <w:t>单一投资者认购上限为【</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lang w:val="en-US" w:eastAsia="zh-CN"/>
              </w:rPr>
              <w:t>元</w:t>
            </w:r>
            <w:r>
              <w:rPr>
                <w:rFonts w:hint="eastAsia" w:asciiTheme="minorEastAsia" w:hAnsiTheme="minorEastAsia" w:eastAsiaTheme="minorEastAsia"/>
                <w:color w:val="auto"/>
                <w:sz w:val="18"/>
                <w:szCs w:val="18"/>
              </w:rPr>
              <w:t>。如需突破上限，请与产品管理人或销售机构客户经理联系。</w:t>
            </w:r>
          </w:p>
          <w:p>
            <w:pPr>
              <w:pStyle w:val="16"/>
              <w:spacing w:line="360" w:lineRule="auto"/>
              <w:rPr>
                <w:rFonts w:asciiTheme="minorEastAsia" w:hAnsiTheme="minorEastAsia" w:eastAsiaTheme="minorEastAsia"/>
                <w:color w:val="auto"/>
                <w:sz w:val="18"/>
                <w:szCs w:val="18"/>
              </w:rPr>
            </w:pPr>
            <w:r>
              <w:rPr>
                <w:rFonts w:hint="eastAsia" w:hAnsi="宋体"/>
                <w:bCs/>
                <w:sz w:val="18"/>
                <w:szCs w:val="18"/>
              </w:rPr>
              <w:t>2.</w:t>
            </w:r>
            <w:r>
              <w:rPr>
                <w:rFonts w:hint="eastAsia" w:asciiTheme="minorEastAsia" w:hAnsiTheme="minorEastAsia" w:eastAsiaTheme="minorEastAsia"/>
                <w:color w:val="auto"/>
                <w:sz w:val="18"/>
                <w:szCs w:val="18"/>
              </w:rPr>
              <w:t>申购的数量限制</w:t>
            </w:r>
          </w:p>
          <w:p>
            <w:pPr>
              <w:pStyle w:val="16"/>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（1）单一投资者申购上限为【</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lang w:val="en-US" w:eastAsia="zh-CN"/>
              </w:rPr>
              <w:t>元</w:t>
            </w:r>
            <w:r>
              <w:rPr>
                <w:rFonts w:hint="eastAsia" w:asciiTheme="minorEastAsia" w:hAnsiTheme="minorEastAsia" w:eastAsiaTheme="minorEastAsia"/>
                <w:color w:val="auto"/>
                <w:sz w:val="18"/>
                <w:szCs w:val="18"/>
              </w:rPr>
              <w:t>。</w:t>
            </w:r>
          </w:p>
          <w:p>
            <w:pPr>
              <w:pStyle w:val="16"/>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（2）产品</w:t>
            </w:r>
            <w:r>
              <w:rPr>
                <w:rFonts w:asciiTheme="minorEastAsia" w:hAnsiTheme="minorEastAsia" w:eastAsiaTheme="minorEastAsia"/>
                <w:color w:val="auto"/>
                <w:sz w:val="18"/>
                <w:szCs w:val="18"/>
              </w:rPr>
              <w:t>存续期间，</w:t>
            </w:r>
            <w:r>
              <w:rPr>
                <w:rFonts w:hint="eastAsia" w:asciiTheme="minorEastAsia" w:hAnsiTheme="minorEastAsia" w:eastAsiaTheme="minorEastAsia"/>
                <w:color w:val="auto"/>
                <w:sz w:val="18"/>
                <w:szCs w:val="18"/>
              </w:rPr>
              <w:t>单一投资者</w:t>
            </w:r>
            <w:r>
              <w:rPr>
                <w:rFonts w:asciiTheme="minorEastAsia" w:hAnsiTheme="minorEastAsia" w:eastAsiaTheme="minorEastAsia"/>
                <w:color w:val="auto"/>
                <w:sz w:val="18"/>
                <w:szCs w:val="18"/>
              </w:rPr>
              <w:t>最高</w:t>
            </w:r>
            <w:r>
              <w:rPr>
                <w:rFonts w:hint="eastAsia" w:asciiTheme="minorEastAsia" w:hAnsiTheme="minorEastAsia" w:eastAsiaTheme="minorEastAsia"/>
                <w:color w:val="auto"/>
                <w:sz w:val="18"/>
                <w:szCs w:val="18"/>
              </w:rPr>
              <w:t>持有</w:t>
            </w:r>
            <w:r>
              <w:rPr>
                <w:rFonts w:asciiTheme="minorEastAsia" w:hAnsiTheme="minorEastAsia" w:eastAsiaTheme="minorEastAsia"/>
                <w:color w:val="auto"/>
                <w:sz w:val="18"/>
                <w:szCs w:val="18"/>
              </w:rPr>
              <w:t>份额上限为</w:t>
            </w:r>
            <w:r>
              <w:rPr>
                <w:rFonts w:hint="eastAsia"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】份，符合产品管理人流动性管理的稳定资金除外。</w:t>
            </w:r>
          </w:p>
          <w:p>
            <w:pPr>
              <w:pStyle w:val="16"/>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 xml:space="preserve">如需突破上限，请与产品管理人或销售机构客户经理联系。 </w:t>
            </w:r>
          </w:p>
          <w:p>
            <w:pPr>
              <w:pStyle w:val="16"/>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3.赎回的数量限制</w:t>
            </w:r>
          </w:p>
          <w:p>
            <w:pPr>
              <w:pStyle w:val="16"/>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（1）单一投资者赎回上限为【</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w:t>
            </w:r>
          </w:p>
          <w:p>
            <w:pPr>
              <w:pStyle w:val="16"/>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2）投资者可全部或部分赎回其理财份额，但是部分赎回后单一投资者持有产品份额不得低于【】份。受理财利益分配去尾规则的影响，投资者持有产品份额较低时可能无法取得利益。巨额赎回情景发生时，投资者的可赎回份额需要根据巨额赎回规则确定。</w:t>
            </w:r>
          </w:p>
          <w:p>
            <w:pPr>
              <w:pStyle w:val="16"/>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本产品单一投资者持有份额不得超过产品总份额</w:t>
            </w:r>
            <w:r>
              <w:rPr>
                <w:rFonts w:ascii="黑体" w:hAnsi="黑体" w:eastAsia="黑体"/>
                <w:bCs/>
                <w:color w:val="000000" w:themeColor="text1"/>
                <w:sz w:val="18"/>
                <w:szCs w:val="18"/>
                <w14:textFill>
                  <w14:solidFill>
                    <w14:schemeClr w14:val="tx1"/>
                  </w14:solidFill>
                </w14:textFill>
              </w:rPr>
              <w:t>50%。</w:t>
            </w:r>
          </w:p>
          <w:p>
            <w:pPr>
              <w:pStyle w:val="16"/>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w:t>
            </w:r>
            <w:r>
              <w:rPr>
                <w:rFonts w:ascii="黑体" w:hAnsi="黑体" w:eastAsia="黑体"/>
                <w:bCs/>
                <w:color w:val="000000" w:themeColor="text1"/>
                <w:sz w:val="18"/>
                <w:szCs w:val="18"/>
                <w14:textFill>
                  <w14:solidFill>
                    <w14:schemeClr w14:val="tx1"/>
                  </w14:solidFill>
                </w14:textFill>
              </w:rPr>
              <w:t>1）投资者认购或申购确认后可能导致其持有份额超过产品总份额50%的，管理人有权拒绝或暂停认购、申购。</w:t>
            </w:r>
          </w:p>
          <w:p>
            <w:pPr>
              <w:spacing w:line="360" w:lineRule="auto"/>
              <w:rPr>
                <w:rFonts w:asciiTheme="minorEastAsia" w:hAnsiTheme="minorEastAsia" w:eastAsiaTheme="minorEastAsia"/>
                <w:sz w:val="18"/>
                <w:szCs w:val="18"/>
              </w:rPr>
            </w:pPr>
            <w:r>
              <w:rPr>
                <w:rFonts w:hint="eastAsia" w:ascii="黑体" w:hAnsi="黑体" w:eastAsia="黑体"/>
                <w:bCs/>
                <w:color w:val="000000" w:themeColor="text1"/>
                <w:sz w:val="18"/>
                <w:szCs w:val="18"/>
                <w14:textFill>
                  <w14:solidFill>
                    <w14:schemeClr w14:val="tx1"/>
                  </w14:solidFill>
                </w14:textFill>
              </w:rPr>
              <w:t>（</w:t>
            </w:r>
            <w:r>
              <w:rPr>
                <w:rFonts w:ascii="黑体" w:hAnsi="黑体" w:eastAsia="黑体"/>
                <w:bCs/>
                <w:color w:val="000000" w:themeColor="text1"/>
                <w:sz w:val="18"/>
                <w:szCs w:val="18"/>
                <w14:textFill>
                  <w14:solidFill>
                    <w14:schemeClr w14:val="tx1"/>
                  </w14:solidFill>
                </w14:textFill>
              </w:rPr>
              <w:t>2）非因管理人主观因素导致突破该比例限制的，在单一投资者持有比例降至50%以下之前，管理人不再接受该投资者对本产品的认购、申购申请。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hAnsi="宋体"/>
                <w:b/>
                <w:sz w:val="18"/>
                <w:szCs w:val="18"/>
              </w:rPr>
            </w:pPr>
            <w:r>
              <w:rPr>
                <w:rFonts w:hint="eastAsia"/>
                <w:sz w:val="18"/>
                <w:szCs w:val="18"/>
              </w:rPr>
              <w:t>★</w:t>
            </w:r>
            <w:r>
              <w:rPr>
                <w:rFonts w:hint="eastAsia" w:hAnsi="宋体"/>
                <w:b/>
                <w:sz w:val="18"/>
                <w:szCs w:val="18"/>
              </w:rPr>
              <w:t>巨额赎回的认定</w:t>
            </w:r>
          </w:p>
        </w:tc>
        <w:tc>
          <w:tcPr>
            <w:tcW w:w="7699" w:type="dxa"/>
            <w:shd w:val="solid" w:color="FFFFFF" w:fill="FFFFFF"/>
          </w:tcPr>
          <w:p>
            <w:pPr>
              <w:pStyle w:val="16"/>
              <w:spacing w:line="360" w:lineRule="auto"/>
              <w:rPr>
                <w:rFonts w:asciiTheme="minorEastAsia" w:hAnsiTheme="minorEastAsia" w:eastAsiaTheme="minorEastAsia"/>
                <w:color w:val="auto"/>
                <w:kern w:val="2"/>
                <w:sz w:val="18"/>
                <w:szCs w:val="18"/>
              </w:rPr>
            </w:pPr>
            <w:r>
              <w:rPr>
                <w:rFonts w:hint="eastAsia" w:asciiTheme="minorEastAsia" w:hAnsiTheme="minorEastAsia"/>
                <w:bCs/>
                <w:sz w:val="18"/>
                <w:szCs w:val="18"/>
              </w:rPr>
              <w:t>单个开放日中</w:t>
            </w:r>
            <w:r>
              <w:rPr>
                <w:rFonts w:hint="eastAsia" w:asciiTheme="majorEastAsia" w:hAnsiTheme="majorEastAsia" w:eastAsiaTheme="majorEastAsia"/>
                <w:bCs/>
                <w:sz w:val="18"/>
                <w:szCs w:val="18"/>
              </w:rPr>
              <w:t>，本产品的累计产品份额净赎回申请（赎回申请总份额扣除申购总份额后的余额</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下同）之和达到上一日产品总份额的1</w:t>
            </w:r>
            <w:r>
              <w:rPr>
                <w:rFonts w:asciiTheme="majorEastAsia" w:hAnsiTheme="majorEastAsia" w:eastAsiaTheme="majorEastAsia"/>
                <w:bCs/>
                <w:sz w:val="18"/>
                <w:szCs w:val="18"/>
              </w:rPr>
              <w:t>0%</w:t>
            </w:r>
            <w:r>
              <w:rPr>
                <w:rFonts w:hint="eastAsia" w:asciiTheme="majorEastAsia" w:hAnsiTheme="majorEastAsia" w:eastAsiaTheme="majorEastAsia"/>
                <w:bCs/>
                <w:sz w:val="18"/>
                <w:szCs w:val="18"/>
              </w:rPr>
              <w:t>，为巨额赎回。</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份额发售面值</w:t>
            </w:r>
          </w:p>
        </w:tc>
        <w:tc>
          <w:tcPr>
            <w:tcW w:w="7699" w:type="dxa"/>
            <w:shd w:val="solid" w:color="FFFFFF" w:fill="FFFFFF"/>
            <w:vAlign w:val="center"/>
          </w:tcPr>
          <w:p>
            <w:pPr>
              <w:spacing w:line="360" w:lineRule="auto"/>
              <w:rPr>
                <w:rFonts w:asciiTheme="majorEastAsia" w:hAnsiTheme="majorEastAsia" w:eastAsiaTheme="majorEastAsia"/>
                <w:sz w:val="18"/>
                <w:szCs w:val="18"/>
              </w:rPr>
            </w:pPr>
            <w:r>
              <w:rPr>
                <w:rFonts w:cs="仿宋_GB2312" w:asciiTheme="majorEastAsia" w:hAnsiTheme="majorEastAsia" w:eastAsiaTheme="majorEastAsia"/>
                <w:kern w:val="0"/>
                <w:sz w:val="18"/>
                <w:szCs w:val="18"/>
              </w:rPr>
              <w:t>1.00</w:t>
            </w:r>
            <w:r>
              <w:rPr>
                <w:rFonts w:hint="eastAsia" w:cs="仿宋_GB2312" w:asciiTheme="majorEastAsia" w:hAnsiTheme="majorEastAsia" w:eastAsiaTheme="majorEastAsia"/>
                <w:kern w:val="0"/>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宋体" w:hAnsi="宋体"/>
                <w:b/>
                <w:bCs/>
                <w:kern w:val="0"/>
                <w:sz w:val="18"/>
                <w:szCs w:val="18"/>
              </w:rPr>
              <w:t>理财产品份额净值</w:t>
            </w:r>
          </w:p>
        </w:tc>
        <w:tc>
          <w:tcPr>
            <w:tcW w:w="7699"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sz w:val="18"/>
                <w:szCs w:val="18"/>
              </w:rPr>
              <w:t>.</w:t>
            </w:r>
            <w:r>
              <w:rPr>
                <w:rFonts w:hint="eastAsia" w:asciiTheme="minorEastAsia" w:hAnsiTheme="minorEastAsia"/>
                <w:bCs/>
                <w:sz w:val="18"/>
                <w:szCs w:val="18"/>
              </w:rPr>
              <w:t>理财产品份额净值</w:t>
            </w:r>
            <w:r>
              <w:rPr>
                <w:rFonts w:asciiTheme="minorEastAsia" w:hAnsiTheme="minorEastAsia"/>
                <w:bCs/>
                <w:sz w:val="18"/>
                <w:szCs w:val="18"/>
              </w:rPr>
              <w:t>为提取</w:t>
            </w:r>
            <w:r>
              <w:rPr>
                <w:rFonts w:hint="eastAsia" w:asciiTheme="minorEastAsia" w:hAnsiTheme="minorEastAsia"/>
                <w:bCs/>
                <w:sz w:val="18"/>
                <w:szCs w:val="18"/>
              </w:rPr>
              <w:t>理财产品</w:t>
            </w:r>
            <w:r>
              <w:rPr>
                <w:rFonts w:asciiTheme="minorEastAsia" w:hAnsiTheme="minorEastAsia"/>
                <w:bCs/>
                <w:sz w:val="18"/>
                <w:szCs w:val="18"/>
              </w:rPr>
              <w:t>费用后的理财产品份额净值，</w:t>
            </w:r>
            <w:r>
              <w:rPr>
                <w:rFonts w:hint="eastAsia" w:asciiTheme="minorEastAsia" w:hAnsiTheme="minorEastAsia"/>
                <w:bCs/>
                <w:sz w:val="18"/>
                <w:szCs w:val="18"/>
              </w:rPr>
              <w:t>投资者</w:t>
            </w:r>
            <w:r>
              <w:rPr>
                <w:rFonts w:asciiTheme="minorEastAsia" w:hAnsiTheme="minorEastAsia"/>
                <w:bCs/>
                <w:sz w:val="18"/>
                <w:szCs w:val="18"/>
              </w:rPr>
              <w:t>按该</w:t>
            </w:r>
            <w:r>
              <w:rPr>
                <w:rFonts w:hint="eastAsia" w:asciiTheme="minorEastAsia" w:hAnsiTheme="minorEastAsia"/>
                <w:bCs/>
                <w:sz w:val="18"/>
                <w:szCs w:val="18"/>
              </w:rPr>
              <w:t>理财产品份额净值</w:t>
            </w:r>
            <w:r>
              <w:rPr>
                <w:rFonts w:asciiTheme="minorEastAsia" w:hAnsiTheme="minorEastAsia"/>
                <w:bCs/>
                <w:sz w:val="18"/>
                <w:szCs w:val="18"/>
              </w:rPr>
              <w:t>进行赎回和提前终止分配。</w:t>
            </w:r>
          </w:p>
          <w:p>
            <w:pPr>
              <w:spacing w:line="360" w:lineRule="auto"/>
              <w:jc w:val="left"/>
              <w:rPr>
                <w:rFonts w:cs="Times New Roman" w:asciiTheme="minorEastAsia" w:hAnsiTheme="minorEastAsia"/>
                <w:sz w:val="18"/>
                <w:szCs w:val="18"/>
              </w:rPr>
            </w:pPr>
            <w:r>
              <w:rPr>
                <w:rFonts w:asciiTheme="minorEastAsia" w:hAnsiTheme="minorEastAsia"/>
                <w:bCs/>
                <w:sz w:val="18"/>
                <w:szCs w:val="18"/>
              </w:rPr>
              <w:t>2</w:t>
            </w:r>
            <w:r>
              <w:rPr>
                <w:rFonts w:asciiTheme="minorEastAsia" w:hAnsiTheme="minorEastAsia"/>
                <w:sz w:val="18"/>
                <w:szCs w:val="18"/>
              </w:rPr>
              <w:t>.</w:t>
            </w:r>
            <w:r>
              <w:rPr>
                <w:rFonts w:asciiTheme="minorEastAsia" w:hAnsiTheme="minorEastAsia"/>
                <w:bCs/>
                <w:sz w:val="18"/>
                <w:szCs w:val="18"/>
              </w:rPr>
              <w:t>本产品采用1.00</w:t>
            </w:r>
            <w:r>
              <w:rPr>
                <w:rFonts w:hint="eastAsia" w:asciiTheme="minorEastAsia" w:hAnsiTheme="minorEastAsia"/>
                <w:bCs/>
                <w:sz w:val="18"/>
                <w:szCs w:val="18"/>
              </w:rPr>
              <w:t>元固定理财产品份额净值交易方式，自产品成立日起每日将实现的产品净收益以分红形式（或净损失）分配给理财产品投资者，并将该部分收益以份额形式按日结转到投资者理财账户，参与下一日产品收益分配，使理财产品份额净值始终保持</w:t>
            </w:r>
            <w:r>
              <w:rPr>
                <w:rFonts w:asciiTheme="minorEastAsia" w:hAnsiTheme="minorEastAsia"/>
                <w:bCs/>
                <w:sz w:val="18"/>
                <w:szCs w:val="18"/>
              </w:rPr>
              <w:t>1.00</w:t>
            </w:r>
            <w:r>
              <w:rPr>
                <w:rFonts w:hint="eastAsia" w:asciiTheme="minorEastAsia" w:hAnsiTheme="minorEastAsia"/>
                <w:bCs/>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ascii="宋体" w:hAnsi="宋体"/>
                <w:b/>
                <w:bCs/>
                <w:kern w:val="0"/>
                <w:sz w:val="18"/>
                <w:szCs w:val="18"/>
              </w:rPr>
            </w:pPr>
            <w:r>
              <w:rPr>
                <w:rFonts w:hint="eastAsia" w:hAnsi="宋体"/>
                <w:sz w:val="18"/>
                <w:szCs w:val="18"/>
              </w:rPr>
              <w:t>★</w:t>
            </w:r>
            <w:r>
              <w:rPr>
                <w:rFonts w:hint="eastAsia" w:asciiTheme="minorEastAsia" w:hAnsiTheme="minorEastAsia"/>
                <w:b/>
                <w:sz w:val="18"/>
                <w:szCs w:val="18"/>
              </w:rPr>
              <w:t>每万份理财产品收益</w:t>
            </w:r>
          </w:p>
        </w:tc>
        <w:tc>
          <w:tcPr>
            <w:tcW w:w="7699" w:type="dxa"/>
            <w:shd w:val="solid" w:color="FFFFFF" w:fill="FFFFFF"/>
          </w:tcPr>
          <w:p>
            <w:pPr>
              <w:autoSpaceDE w:val="0"/>
              <w:autoSpaceDN w:val="0"/>
              <w:adjustRightInd w:val="0"/>
              <w:spacing w:line="360" w:lineRule="auto"/>
              <w:jc w:val="left"/>
              <w:rPr>
                <w:rFonts w:asciiTheme="minorEastAsia" w:hAnsiTheme="minorEastAsia"/>
                <w:sz w:val="18"/>
                <w:szCs w:val="18"/>
              </w:rPr>
            </w:pPr>
            <w:r>
              <w:rPr>
                <w:rFonts w:asciiTheme="minorEastAsia" w:hAnsiTheme="minorEastAsia"/>
                <w:sz w:val="18"/>
                <w:szCs w:val="18"/>
              </w:rPr>
              <w:t>1.每万份理财产品收益</w:t>
            </w:r>
            <w:r>
              <w:rPr>
                <w:rFonts w:hint="eastAsia" w:asciiTheme="minorEastAsia" w:hAnsiTheme="minorEastAsia"/>
                <w:bCs/>
                <w:sz w:val="18"/>
                <w:szCs w:val="18"/>
              </w:rPr>
              <w:t>＝</w:t>
            </w:r>
            <w:r>
              <w:rPr>
                <w:rFonts w:hint="eastAsia" w:asciiTheme="minorEastAsia" w:hAnsiTheme="minorEastAsia"/>
                <w:sz w:val="18"/>
                <w:szCs w:val="18"/>
              </w:rPr>
              <w:t>当日理财产品收益÷当日理财产品份额×</w:t>
            </w:r>
            <w:r>
              <w:rPr>
                <w:rFonts w:asciiTheme="minorEastAsia" w:hAnsiTheme="minorEastAsia"/>
                <w:sz w:val="18"/>
                <w:szCs w:val="18"/>
              </w:rPr>
              <w:t>10000</w:t>
            </w:r>
            <w:r>
              <w:rPr>
                <w:rFonts w:hint="eastAsia" w:asciiTheme="minorEastAsia" w:hAnsiTheme="minorEastAsia"/>
                <w:sz w:val="18"/>
                <w:szCs w:val="18"/>
              </w:rPr>
              <w:t>。</w:t>
            </w:r>
          </w:p>
          <w:p>
            <w:pPr>
              <w:spacing w:line="360" w:lineRule="auto"/>
              <w:jc w:val="left"/>
              <w:rPr>
                <w:rFonts w:asciiTheme="majorEastAsia" w:hAnsiTheme="majorEastAsia" w:eastAsiaTheme="majorEastAsia"/>
                <w:bCs/>
                <w:sz w:val="18"/>
                <w:szCs w:val="18"/>
              </w:rPr>
            </w:pPr>
            <w:r>
              <w:rPr>
                <w:rFonts w:asciiTheme="minorEastAsia" w:hAnsiTheme="minorEastAsia"/>
                <w:sz w:val="18"/>
                <w:szCs w:val="18"/>
              </w:rPr>
              <w:t>2.</w:t>
            </w:r>
            <w:r>
              <w:rPr>
                <w:rFonts w:hint="eastAsia" w:asciiTheme="minorEastAsia" w:hAnsiTheme="minorEastAsia"/>
                <w:kern w:val="0"/>
                <w:sz w:val="18"/>
                <w:szCs w:val="18"/>
              </w:rPr>
              <w:t>每万份理财产品收益是</w:t>
            </w:r>
            <w:r>
              <w:rPr>
                <w:rFonts w:hint="eastAsia" w:asciiTheme="minorEastAsia" w:hAnsiTheme="minorEastAsia"/>
                <w:sz w:val="18"/>
                <w:szCs w:val="18"/>
              </w:rPr>
              <w:t>每万份理财份额的日</w:t>
            </w:r>
            <w:r>
              <w:rPr>
                <w:rFonts w:asciiTheme="minorEastAsia" w:hAnsiTheme="minorEastAsia"/>
                <w:sz w:val="18"/>
                <w:szCs w:val="18"/>
              </w:rPr>
              <w:t>净收益</w:t>
            </w:r>
            <w:r>
              <w:rPr>
                <w:rFonts w:hint="eastAsia" w:asciiTheme="minorEastAsia" w:hAnsiTheme="minorEastAsia"/>
                <w:sz w:val="18"/>
                <w:szCs w:val="18"/>
              </w:rPr>
              <w:t>，精确至小数点后第</w:t>
            </w:r>
            <w:r>
              <w:rPr>
                <w:rFonts w:asciiTheme="minorEastAsia" w:hAnsiTheme="minorEastAsia"/>
                <w:sz w:val="18"/>
                <w:szCs w:val="18"/>
              </w:rPr>
              <w:t>4位，小数点后第5</w:t>
            </w:r>
            <w:r>
              <w:rPr>
                <w:rFonts w:hint="eastAsia" w:asciiTheme="minorEastAsia" w:hAnsiTheme="minorEastAsia"/>
                <w:sz w:val="18"/>
                <w:szCs w:val="18"/>
              </w:rPr>
              <w:t>位按去尾原则处理。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ascii="宋体" w:hAnsi="宋体"/>
                <w:b/>
                <w:bCs/>
                <w:kern w:val="0"/>
                <w:sz w:val="18"/>
                <w:szCs w:val="18"/>
              </w:rPr>
            </w:pPr>
            <w:r>
              <w:rPr>
                <w:rFonts w:hint="eastAsia" w:hAnsi="宋体"/>
                <w:sz w:val="18"/>
                <w:szCs w:val="18"/>
              </w:rPr>
              <w:t>★</w:t>
            </w:r>
            <w:r>
              <w:rPr>
                <w:rFonts w:asciiTheme="minorEastAsia" w:hAnsiTheme="minorEastAsia"/>
                <w:b/>
                <w:bCs/>
                <w:sz w:val="18"/>
                <w:szCs w:val="18"/>
              </w:rPr>
              <w:t>7日</w:t>
            </w:r>
            <w:r>
              <w:rPr>
                <w:rFonts w:hint="eastAsia" w:asciiTheme="minorEastAsia" w:hAnsiTheme="minorEastAsia"/>
                <w:b/>
                <w:bCs/>
                <w:sz w:val="18"/>
                <w:szCs w:val="18"/>
              </w:rPr>
              <w:t>年化收益率</w:t>
            </w:r>
          </w:p>
        </w:tc>
        <w:tc>
          <w:tcPr>
            <w:tcW w:w="7699" w:type="dxa"/>
            <w:shd w:val="solid" w:color="FFFFFF" w:fill="FFFFFF"/>
          </w:tcPr>
          <w:p>
            <w:pPr>
              <w:autoSpaceDE w:val="0"/>
              <w:autoSpaceDN w:val="0"/>
              <w:adjustRightInd w:val="0"/>
              <w:spacing w:line="360" w:lineRule="auto"/>
              <w:jc w:val="left"/>
              <w:rPr>
                <w:rFonts w:asciiTheme="minorEastAsia" w:hAnsiTheme="minorEastAsia"/>
                <w:sz w:val="18"/>
                <w:szCs w:val="18"/>
              </w:rPr>
            </w:pPr>
            <w:r>
              <w:rPr>
                <w:rFonts w:hint="eastAsia" w:asciiTheme="minorEastAsia" w:hAnsiTheme="minorEastAsia"/>
                <w:sz w:val="18"/>
                <w:szCs w:val="18"/>
              </w:rPr>
              <w:t>指以本产品最近七日（含节假日）收益率所折算的产品年化收益率。产品成立不满七日时以实际日收益率折算年收益率。</w:t>
            </w:r>
          </w:p>
          <w:p>
            <w:pPr>
              <w:adjustRightInd w:val="0"/>
              <w:snapToGrid w:val="0"/>
              <w:spacing w:line="360" w:lineRule="auto"/>
              <w:rPr>
                <w:rFonts w:asciiTheme="minorEastAsia" w:hAnsiTheme="minorEastAsia"/>
                <w:sz w:val="18"/>
                <w:szCs w:val="18"/>
              </w:rPr>
            </w:pPr>
            <w:r>
              <w:rPr>
                <w:rFonts w:asciiTheme="minorEastAsia" w:hAnsiTheme="minorEastAsia"/>
                <w:sz w:val="18"/>
                <w:szCs w:val="18"/>
              </w:rPr>
              <w:t>7日年化收益率</w:t>
            </w:r>
            <w:r>
              <w:rPr>
                <w:rFonts w:hint="eastAsia" w:asciiTheme="minorEastAsia" w:hAnsiTheme="minorEastAsia"/>
                <w:sz w:val="18"/>
                <w:szCs w:val="18"/>
              </w:rPr>
              <w:t>（</w:t>
            </w:r>
            <w:r>
              <w:rPr>
                <w:rFonts w:asciiTheme="minorEastAsia" w:hAnsiTheme="minorEastAsia"/>
                <w:sz w:val="18"/>
                <w:szCs w:val="18"/>
              </w:rPr>
              <w:t>%）</w:t>
            </w:r>
            <w:r>
              <w:rPr>
                <w:rFonts w:hint="eastAsia" w:asciiTheme="minorEastAsia" w:hAnsiTheme="minorEastAsia"/>
                <w:bCs/>
                <w:sz w:val="18"/>
                <w:szCs w:val="18"/>
              </w:rPr>
              <w:t>＝</w:t>
            </w:r>
            <w:r>
              <w:rPr>
                <w:rFonts w:asciiTheme="minorEastAsia" w:hAnsiTheme="minorEastAsia"/>
                <w:sz w:val="18"/>
                <w:szCs w:val="18"/>
              </w:rPr>
              <w:object>
                <v:shape id="_x0000_i1025" o:spt="75" type="#_x0000_t75" style="height:28.7pt;width:122.95pt;" o:ole="t" filled="f" o:preferrelative="t" stroked="f" coordsize="21600,21600">
                  <v:path/>
                  <v:fill on="f" focussize="0,0"/>
                  <v:stroke on="f" joinstyle="miter"/>
                  <v:imagedata r:id="rId19" o:title=""/>
                  <o:lock v:ext="edit" aspectratio="t"/>
                  <w10:wrap type="none"/>
                  <w10:anchorlock/>
                </v:shape>
                <o:OLEObject Type="Embed" ProgID="Equation.DSMT4" ShapeID="_x0000_i1025" DrawAspect="Content" ObjectID="_1468075725" r:id="rId18">
                  <o:LockedField>false</o:LockedField>
                </o:OLEObject>
              </w:object>
            </w:r>
          </w:p>
          <w:p>
            <w:pPr>
              <w:adjustRightInd w:val="0"/>
              <w:snapToGrid w:val="0"/>
              <w:spacing w:line="360" w:lineRule="auto"/>
              <w:rPr>
                <w:rFonts w:asciiTheme="minorEastAsia" w:hAnsiTheme="minorEastAsia"/>
                <w:sz w:val="18"/>
                <w:szCs w:val="18"/>
              </w:rPr>
            </w:pPr>
            <w:r>
              <w:rPr>
                <w:rFonts w:hint="eastAsia" w:asciiTheme="minorEastAsia" w:hAnsiTheme="minorEastAsia"/>
                <w:sz w:val="18"/>
                <w:szCs w:val="18"/>
              </w:rPr>
              <w:t>其中，</w:t>
            </w:r>
            <w:r>
              <w:rPr>
                <w:rFonts w:asciiTheme="minorEastAsia" w:hAnsiTheme="minorEastAsia"/>
                <w:sz w:val="18"/>
                <w:szCs w:val="18"/>
              </w:rPr>
              <w:t>Ri</w:t>
            </w:r>
            <w:r>
              <w:rPr>
                <w:rFonts w:hint="eastAsia" w:asciiTheme="minorEastAsia" w:hAnsiTheme="minorEastAsia"/>
                <w:sz w:val="18"/>
                <w:szCs w:val="18"/>
              </w:rPr>
              <w:t>为最近第</w:t>
            </w:r>
            <w:r>
              <w:rPr>
                <w:rFonts w:asciiTheme="minorEastAsia" w:hAnsiTheme="minorEastAsia"/>
                <w:sz w:val="18"/>
                <w:szCs w:val="18"/>
              </w:rPr>
              <w:t>i</w:t>
            </w:r>
            <w:r>
              <w:rPr>
                <w:rFonts w:hint="eastAsia" w:asciiTheme="minorEastAsia" w:hAnsiTheme="minorEastAsia"/>
                <w:sz w:val="18"/>
                <w:szCs w:val="18"/>
              </w:rPr>
              <w:t>个自然日</w:t>
            </w:r>
            <w:r>
              <w:rPr>
                <w:rFonts w:asciiTheme="minorEastAsia" w:hAnsiTheme="minorEastAsia"/>
                <w:sz w:val="18"/>
                <w:szCs w:val="18"/>
              </w:rPr>
              <w:t>(</w:t>
            </w:r>
            <w:r>
              <w:rPr>
                <w:rFonts w:hint="eastAsia" w:asciiTheme="minorEastAsia" w:hAnsiTheme="minorEastAsia"/>
                <w:sz w:val="18"/>
                <w:szCs w:val="18"/>
              </w:rPr>
              <w:t>包括计算当日</w:t>
            </w:r>
            <w:r>
              <w:rPr>
                <w:rFonts w:asciiTheme="minorEastAsia" w:hAnsiTheme="minorEastAsia"/>
                <w:sz w:val="18"/>
                <w:szCs w:val="18"/>
              </w:rPr>
              <w:t>)</w:t>
            </w:r>
            <w:r>
              <w:rPr>
                <w:rFonts w:hint="eastAsia" w:asciiTheme="minorEastAsia" w:hAnsiTheme="minorEastAsia"/>
                <w:sz w:val="18"/>
                <w:szCs w:val="18"/>
              </w:rPr>
              <w:t>的每万份理财产品收益。</w:t>
            </w:r>
          </w:p>
          <w:p>
            <w:pPr>
              <w:spacing w:line="360" w:lineRule="auto"/>
              <w:jc w:val="left"/>
              <w:rPr>
                <w:rFonts w:asciiTheme="majorEastAsia" w:hAnsiTheme="majorEastAsia" w:eastAsiaTheme="majorEastAsia"/>
                <w:bCs/>
                <w:sz w:val="18"/>
                <w:szCs w:val="18"/>
              </w:rPr>
            </w:pPr>
            <w:r>
              <w:rPr>
                <w:rFonts w:asciiTheme="minorEastAsia" w:hAnsiTheme="minorEastAsia"/>
                <w:sz w:val="18"/>
                <w:szCs w:val="18"/>
              </w:rPr>
              <w:t>7日年化收益率</w:t>
            </w:r>
            <w:r>
              <w:rPr>
                <w:rFonts w:hint="eastAsia" w:asciiTheme="minorEastAsia" w:hAnsiTheme="minorEastAsia"/>
                <w:sz w:val="18"/>
                <w:szCs w:val="18"/>
              </w:rPr>
              <w:t>采用四舍五入保留至百分号内小数点后第</w:t>
            </w:r>
            <w:r>
              <w:rPr>
                <w:rFonts w:asciiTheme="minorEastAsia" w:hAnsiTheme="minorEastAsia"/>
                <w:sz w:val="18"/>
                <w:szCs w:val="18"/>
              </w:rPr>
              <w:t>3位。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sz w:val="18"/>
                <w:szCs w:val="18"/>
              </w:rPr>
              <w:t>★</w:t>
            </w:r>
            <w:r>
              <w:rPr>
                <w:rFonts w:hint="eastAsia" w:asciiTheme="majorEastAsia" w:hAnsiTheme="majorEastAsia" w:eastAsiaTheme="majorEastAsia"/>
                <w:b/>
                <w:bCs/>
                <w:sz w:val="18"/>
                <w:szCs w:val="18"/>
              </w:rPr>
              <w:t>业绩比较基准</w:t>
            </w:r>
          </w:p>
        </w:tc>
        <w:tc>
          <w:tcPr>
            <w:tcW w:w="7699" w:type="dxa"/>
            <w:shd w:val="solid" w:color="FFFFFF" w:fill="FFFFFF"/>
            <w:vAlign w:val="center"/>
          </w:tcPr>
          <w:p>
            <w:pPr>
              <w:spacing w:line="360" w:lineRule="auto"/>
              <w:jc w:val="left"/>
              <w:rPr>
                <w:rFonts w:hint="eastAsia" w:ascii="宋体" w:hAnsi="宋体" w:eastAsia="宋体"/>
                <w:bCs/>
                <w:sz w:val="18"/>
                <w:szCs w:val="18"/>
                <w:lang w:eastAsia="zh-CN"/>
              </w:rPr>
            </w:pPr>
            <w:r>
              <w:rPr>
                <w:rFonts w:hint="eastAsia" w:ascii="宋体" w:hAnsi="宋体"/>
                <w:bCs/>
                <w:sz w:val="18"/>
                <w:szCs w:val="18"/>
                <w:lang w:eastAsia="zh-CN"/>
              </w:rPr>
              <w:t>（适用【C】类份额）</w:t>
            </w:r>
          </w:p>
          <w:p>
            <w:pPr>
              <w:spacing w:line="360" w:lineRule="auto"/>
              <w:jc w:val="left"/>
              <w:rPr>
                <w:rFonts w:ascii="宋体" w:hAnsi="宋体"/>
                <w:bCs/>
                <w:sz w:val="18"/>
                <w:szCs w:val="18"/>
              </w:rPr>
            </w:pPr>
            <w:r>
              <w:rPr>
                <w:rFonts w:hint="eastAsia" w:ascii="宋体" w:hAnsi="宋体"/>
                <w:bCs/>
                <w:sz w:val="18"/>
                <w:szCs w:val="18"/>
              </w:rPr>
              <w:t>1.业绩比较基准的设置</w:t>
            </w:r>
          </w:p>
          <w:p>
            <w:pPr>
              <w:autoSpaceDE w:val="0"/>
              <w:autoSpaceDN w:val="0"/>
              <w:adjustRightInd w:val="0"/>
              <w:spacing w:line="360" w:lineRule="auto"/>
              <w:jc w:val="left"/>
              <w:rPr>
                <w:rFonts w:asciiTheme="majorEastAsia" w:hAnsiTheme="majorEastAsia" w:eastAsiaTheme="majorEastAsia"/>
                <w:kern w:val="0"/>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kern w:val="0"/>
                <w:sz w:val="18"/>
                <w:szCs w:val="18"/>
              </w:rPr>
              <w:t xml:space="preserve"> </w:t>
            </w:r>
            <w:r>
              <w:rPr>
                <w:rFonts w:hint="eastAsia" w:asciiTheme="majorEastAsia" w:hAnsiTheme="majorEastAsia" w:eastAsiaTheme="majorEastAsia"/>
                <w:kern w:val="0"/>
                <w:sz w:val="18"/>
                <w:szCs w:val="18"/>
              </w:rPr>
              <w:t>产品管理人设置业绩比较基准。</w:t>
            </w:r>
          </w:p>
          <w:p>
            <w:pPr>
              <w:spacing w:line="360" w:lineRule="auto"/>
              <w:jc w:val="left"/>
              <w:rPr>
                <w:rFonts w:asciiTheme="majorEastAsia" w:hAnsiTheme="majorEastAsia"/>
                <w:bCs/>
                <w:sz w:val="18"/>
                <w:szCs w:val="18"/>
              </w:rPr>
            </w:pPr>
            <w:r>
              <w:rPr>
                <w:rFonts w:hint="eastAsia" w:ascii="宋体" w:hAnsi="宋体"/>
                <w:bCs/>
                <w:sz w:val="18"/>
                <w:szCs w:val="18"/>
              </w:rPr>
              <w:t>（1）业绩比较基准的说明：【本产品主要投资于货币市场工具，根据货币市场工具当前以及未来一段时期的收益率水平预测，设定业绩比较基准</w:t>
            </w:r>
            <w:r>
              <w:rPr>
                <w:rFonts w:ascii="宋体" w:hAnsi="宋体"/>
                <w:bCs/>
                <w:sz w:val="18"/>
                <w:szCs w:val="18"/>
              </w:rPr>
              <w:t>】</w:t>
            </w:r>
            <w:r>
              <w:rPr>
                <w:rFonts w:hint="eastAsia" w:ascii="宋体" w:hAnsi="宋体"/>
                <w:bCs/>
                <w:sz w:val="18"/>
                <w:szCs w:val="18"/>
              </w:rPr>
              <w:t>。</w:t>
            </w:r>
          </w:p>
          <w:p>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w:t>
            </w:r>
            <w:r>
              <w:rPr>
                <w:rFonts w:asciiTheme="majorEastAsia" w:hAnsiTheme="majorEastAsia" w:eastAsiaTheme="majorEastAsia"/>
                <w:bCs/>
                <w:sz w:val="18"/>
                <w:szCs w:val="18"/>
              </w:rPr>
              <w:t>业绩比较基准的设定</w:t>
            </w:r>
            <w:r>
              <w:rPr>
                <w:rFonts w:hint="eastAsia" w:asciiTheme="majorEastAsia" w:hAnsiTheme="majorEastAsia" w:eastAsiaTheme="majorEastAsia"/>
                <w:bCs/>
                <w:sz w:val="18"/>
                <w:szCs w:val="18"/>
              </w:rPr>
              <w:t>：</w:t>
            </w:r>
            <w:r>
              <w:rPr>
                <w:rFonts w:hint="eastAsia" w:asciiTheme="majorEastAsia" w:hAnsiTheme="majorEastAsia"/>
                <w:sz w:val="18"/>
              </w:rPr>
              <w:t>管理人对</w:t>
            </w:r>
            <w:r>
              <w:rPr>
                <w:rFonts w:asciiTheme="majorEastAsia" w:hAnsiTheme="majorEastAsia"/>
                <w:sz w:val="18"/>
              </w:rPr>
              <w:t>本产品设定</w:t>
            </w:r>
            <w:r>
              <w:rPr>
                <w:rFonts w:hint="eastAsia" w:asciiTheme="majorEastAsia" w:hAnsiTheme="majorEastAsia"/>
                <w:sz w:val="18"/>
              </w:rPr>
              <w:t>业绩比较基准：</w:t>
            </w:r>
            <w:r>
              <w:rPr>
                <w:rFonts w:hint="eastAsia" w:ascii="宋体" w:hAnsi="宋体"/>
                <w:bCs/>
                <w:sz w:val="18"/>
                <w:szCs w:val="18"/>
              </w:rPr>
              <w:t>【</w:t>
            </w:r>
            <w:r>
              <w:rPr>
                <w:rFonts w:hint="eastAsia" w:asciiTheme="minorEastAsia" w:hAnsiTheme="minorEastAsia"/>
                <w:sz w:val="18"/>
                <w:szCs w:val="18"/>
              </w:rPr>
              <w:t>人民银行</w:t>
            </w:r>
            <w:r>
              <w:rPr>
                <w:rFonts w:asciiTheme="minorEastAsia" w:hAnsiTheme="minorEastAsia"/>
                <w:sz w:val="18"/>
                <w:szCs w:val="18"/>
              </w:rPr>
              <w:t>7天通知存款利率</w:t>
            </w:r>
            <w:r>
              <w:rPr>
                <w:rFonts w:ascii="宋体" w:hAnsi="宋体"/>
                <w:bCs/>
                <w:sz w:val="18"/>
                <w:szCs w:val="18"/>
              </w:rPr>
              <w:t>】</w:t>
            </w:r>
            <w:r>
              <w:rPr>
                <w:rFonts w:hint="eastAsia" w:ascii="宋体" w:hAnsi="宋体"/>
                <w:bCs/>
                <w:sz w:val="18"/>
                <w:szCs w:val="18"/>
              </w:rPr>
              <w:t>。</w:t>
            </w:r>
          </w:p>
          <w:p>
            <w:pPr>
              <w:spacing w:line="360" w:lineRule="auto"/>
              <w:jc w:val="left"/>
              <w:rPr>
                <w:rFonts w:ascii="宋体" w:hAnsi="宋体"/>
                <w:bCs/>
                <w:sz w:val="18"/>
                <w:szCs w:val="18"/>
              </w:rPr>
            </w:pPr>
            <w:r>
              <w:rPr>
                <w:rFonts w:hint="eastAsia" w:asciiTheme="majorEastAsia" w:hAnsiTheme="majorEastAsia" w:eastAsiaTheme="majorEastAsia"/>
                <w:kern w:val="0"/>
                <w:sz w:val="18"/>
                <w:szCs w:val="18"/>
              </w:rPr>
              <w:t>□</w:t>
            </w:r>
            <w:r>
              <w:rPr>
                <w:rFonts w:asciiTheme="majorEastAsia" w:hAnsiTheme="majorEastAsia" w:eastAsiaTheme="majorEastAsia"/>
                <w:kern w:val="0"/>
                <w:sz w:val="18"/>
                <w:szCs w:val="18"/>
              </w:rPr>
              <w:t xml:space="preserve"> </w:t>
            </w:r>
            <w:r>
              <w:rPr>
                <w:rFonts w:hint="eastAsia" w:asciiTheme="majorEastAsia" w:hAnsiTheme="majorEastAsia" w:eastAsiaTheme="majorEastAsia"/>
                <w:kern w:val="0"/>
                <w:sz w:val="18"/>
                <w:szCs w:val="18"/>
              </w:rPr>
              <w:t>产品管理人不设置业绩比较基准。</w:t>
            </w:r>
          </w:p>
          <w:p>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2.业绩</w:t>
            </w:r>
            <w:r>
              <w:rPr>
                <w:rFonts w:asciiTheme="majorEastAsia" w:hAnsiTheme="majorEastAsia" w:eastAsiaTheme="majorEastAsia"/>
                <w:bCs/>
                <w:sz w:val="18"/>
                <w:szCs w:val="18"/>
              </w:rPr>
              <w:t>比较基准的提示：</w:t>
            </w:r>
          </w:p>
          <w:p>
            <w:pPr>
              <w:spacing w:line="360" w:lineRule="auto"/>
              <w:jc w:val="left"/>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sz w:val="18"/>
                <w:szCs w:val="18"/>
              </w:rPr>
              <w:t>★</w:t>
            </w:r>
            <w:r>
              <w:rPr>
                <w:rFonts w:hint="eastAsia" w:ascii="黑体" w:hAnsi="黑体" w:eastAsia="黑体"/>
                <w:sz w:val="18"/>
              </w:rPr>
              <w:t>业绩比较基准</w:t>
            </w:r>
            <w:r>
              <w:rPr>
                <w:rFonts w:hint="eastAsia" w:ascii="黑体" w:hAnsi="黑体" w:eastAsia="黑体"/>
                <w:bCs/>
                <w:sz w:val="18"/>
                <w:szCs w:val="18"/>
              </w:rPr>
              <w:t>不是预期收益率，</w:t>
            </w:r>
            <w:r>
              <w:rPr>
                <w:rFonts w:hint="eastAsia" w:ascii="黑体" w:hAnsi="黑体" w:eastAsia="黑体"/>
                <w:sz w:val="18"/>
              </w:rPr>
              <w:t>不代表产品</w:t>
            </w:r>
            <w:r>
              <w:rPr>
                <w:rFonts w:hint="eastAsia" w:ascii="黑体" w:hAnsi="黑体" w:eastAsia="黑体"/>
                <w:bCs/>
                <w:sz w:val="18"/>
                <w:szCs w:val="18"/>
              </w:rPr>
              <w:t>的</w:t>
            </w:r>
            <w:r>
              <w:rPr>
                <w:rFonts w:hint="eastAsia" w:ascii="黑体" w:hAnsi="黑体" w:eastAsia="黑体"/>
                <w:sz w:val="18"/>
              </w:rPr>
              <w:t>未来表现</w:t>
            </w:r>
            <w:r>
              <w:rPr>
                <w:rFonts w:hint="eastAsia" w:ascii="黑体" w:hAnsi="黑体" w:eastAsia="黑体"/>
                <w:bCs/>
                <w:sz w:val="18"/>
                <w:szCs w:val="18"/>
              </w:rPr>
              <w:t>和</w:t>
            </w:r>
            <w:r>
              <w:rPr>
                <w:rFonts w:hint="eastAsia" w:ascii="黑体" w:hAnsi="黑体" w:eastAsia="黑体"/>
                <w:sz w:val="18"/>
              </w:rPr>
              <w:t>实际收益，不</w:t>
            </w:r>
            <w:r>
              <w:rPr>
                <w:rFonts w:hint="eastAsia" w:ascii="黑体" w:hAnsi="黑体" w:eastAsia="黑体"/>
                <w:bCs/>
                <w:sz w:val="18"/>
                <w:szCs w:val="18"/>
              </w:rPr>
              <w:t>构成对</w:t>
            </w:r>
            <w:r>
              <w:rPr>
                <w:rFonts w:hint="eastAsia" w:ascii="黑体" w:hAnsi="黑体" w:eastAsia="黑体"/>
                <w:sz w:val="18"/>
              </w:rPr>
              <w:t>产品收益的</w:t>
            </w:r>
            <w:r>
              <w:rPr>
                <w:rFonts w:hint="eastAsia" w:ascii="黑体" w:hAnsi="黑体" w:eastAsia="黑体"/>
                <w:bCs/>
                <w:sz w:val="18"/>
                <w:szCs w:val="18"/>
              </w:rPr>
              <w:t>承诺</w:t>
            </w:r>
            <w:r>
              <w:rPr>
                <w:rFonts w:hint="eastAsia" w:ascii="黑体" w:hAnsi="黑体" w:eastAsia="黑体"/>
                <w:sz w:val="18"/>
              </w:rPr>
              <w:t>，投资须谨慎。</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hint="eastAsia" w:asciiTheme="majorEastAsia" w:hAnsiTheme="majorEastAsia" w:eastAsiaTheme="majorEastAsia"/>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45" w:type="dxa"/>
            <w:shd w:val="solid" w:color="FFFFFF" w:fill="FFFFFF"/>
            <w:vAlign w:val="center"/>
          </w:tcPr>
          <w:p>
            <w:pPr>
              <w:spacing w:line="360" w:lineRule="auto"/>
              <w:jc w:val="left"/>
              <w:rPr>
                <w:sz w:val="18"/>
                <w:szCs w:val="18"/>
              </w:rPr>
            </w:pPr>
            <w:r>
              <w:rPr>
                <w:rFonts w:hint="eastAsia"/>
                <w:sz w:val="18"/>
                <w:szCs w:val="18"/>
              </w:rPr>
              <w:t>★</w:t>
            </w:r>
            <w:r>
              <w:rPr>
                <w:rFonts w:hint="eastAsia"/>
                <w:b/>
                <w:sz w:val="18"/>
                <w:szCs w:val="18"/>
              </w:rPr>
              <w:t>业绩报酬计提基准</w:t>
            </w:r>
          </w:p>
        </w:tc>
        <w:tc>
          <w:tcPr>
            <w:tcW w:w="7699"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（适用【】类份额）</w:t>
            </w:r>
          </w:p>
          <w:p>
            <w:pPr>
              <w:spacing w:line="360" w:lineRule="auto"/>
              <w:jc w:val="left"/>
              <w:rPr>
                <w:rFonts w:ascii="宋体" w:hAnsi="宋体"/>
                <w:bCs/>
                <w:sz w:val="18"/>
                <w:szCs w:val="18"/>
              </w:rPr>
            </w:pPr>
            <w:r>
              <w:rPr>
                <w:rFonts w:ascii="宋体" w:hAnsi="宋体"/>
                <w:bCs/>
                <w:sz w:val="18"/>
                <w:szCs w:val="18"/>
              </w:rPr>
              <w:t>1.业绩报酬计提基准的设置</w:t>
            </w:r>
          </w:p>
          <w:p>
            <w:pPr>
              <w:autoSpaceDE w:val="0"/>
              <w:autoSpaceDN w:val="0"/>
              <w:adjustRightInd w:val="0"/>
              <w:spacing w:line="360" w:lineRule="auto"/>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w:t>
            </w:r>
            <w:r>
              <w:rPr>
                <w:rFonts w:asciiTheme="majorEastAsia" w:hAnsiTheme="majorEastAsia" w:eastAsiaTheme="majorEastAsia"/>
                <w:kern w:val="0"/>
                <w:sz w:val="18"/>
                <w:szCs w:val="18"/>
              </w:rPr>
              <w:t xml:space="preserve"> </w:t>
            </w:r>
            <w:r>
              <w:rPr>
                <w:rFonts w:hint="eastAsia" w:asciiTheme="majorEastAsia" w:hAnsiTheme="majorEastAsia" w:eastAsiaTheme="majorEastAsia"/>
                <w:kern w:val="0"/>
                <w:sz w:val="18"/>
                <w:szCs w:val="18"/>
              </w:rPr>
              <w:t>产品管理人设置业绩报酬计提基准。</w:t>
            </w:r>
          </w:p>
          <w:p>
            <w:pPr>
              <w:spacing w:line="360" w:lineRule="auto"/>
              <w:jc w:val="left"/>
              <w:rPr>
                <w:rFonts w:ascii="宋体" w:hAnsi="宋体"/>
                <w:sz w:val="18"/>
              </w:rPr>
            </w:pPr>
            <w:r>
              <w:rPr>
                <w:rFonts w:ascii="宋体" w:hAnsi="宋体"/>
                <w:bCs/>
                <w:sz w:val="18"/>
                <w:szCs w:val="18"/>
              </w:rPr>
              <w:t>业绩报酬计提基准的</w:t>
            </w:r>
            <w:r>
              <w:rPr>
                <w:rFonts w:ascii="宋体" w:hAnsi="宋体"/>
                <w:sz w:val="18"/>
              </w:rPr>
              <w:t>设定</w:t>
            </w:r>
            <w:r>
              <w:rPr>
                <w:rFonts w:hint="eastAsia" w:ascii="宋体" w:hAnsi="宋体"/>
                <w:sz w:val="18"/>
              </w:rPr>
              <w:t>：管理人</w:t>
            </w:r>
            <w:r>
              <w:rPr>
                <w:rFonts w:ascii="宋体" w:hAnsi="宋体"/>
                <w:sz w:val="18"/>
              </w:rPr>
              <w:t>对本产品设定</w:t>
            </w:r>
            <w:r>
              <w:rPr>
                <w:rFonts w:hint="eastAsia" w:ascii="宋体" w:hAnsi="宋体"/>
                <w:sz w:val="18"/>
              </w:rPr>
              <w:t>业绩报酬计提基准：【】。</w:t>
            </w:r>
          </w:p>
          <w:p>
            <w:pPr>
              <w:spacing w:line="360" w:lineRule="auto"/>
              <w:jc w:val="left"/>
              <w:rPr>
                <w:rFonts w:ascii="宋体" w:hAnsi="宋体"/>
                <w:bCs/>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kern w:val="0"/>
                <w:sz w:val="18"/>
                <w:szCs w:val="18"/>
              </w:rPr>
              <w:t xml:space="preserve"> 产品管理人不设置业绩报酬计提基准。</w:t>
            </w:r>
          </w:p>
          <w:p>
            <w:pPr>
              <w:spacing w:line="360" w:lineRule="auto"/>
              <w:jc w:val="left"/>
              <w:rPr>
                <w:rFonts w:ascii="宋体" w:hAnsi="宋体"/>
                <w:bCs/>
                <w:sz w:val="18"/>
                <w:szCs w:val="18"/>
              </w:rPr>
            </w:pPr>
            <w:r>
              <w:rPr>
                <w:rFonts w:hint="eastAsia" w:ascii="宋体" w:hAnsi="宋体"/>
                <w:bCs/>
                <w:sz w:val="18"/>
                <w:szCs w:val="18"/>
              </w:rPr>
              <w:t>2</w:t>
            </w:r>
            <w:r>
              <w:rPr>
                <w:rFonts w:ascii="宋体" w:hAnsi="宋体"/>
                <w:bCs/>
                <w:sz w:val="18"/>
                <w:szCs w:val="18"/>
              </w:rPr>
              <w:t>.业绩报酬计提基准的提示</w:t>
            </w:r>
            <w:r>
              <w:rPr>
                <w:rFonts w:hint="eastAsia" w:ascii="宋体" w:hAnsi="宋体"/>
                <w:bCs/>
                <w:sz w:val="18"/>
                <w:szCs w:val="18"/>
              </w:rPr>
              <w:t>：</w:t>
            </w:r>
          </w:p>
          <w:p>
            <w:pPr>
              <w:autoSpaceDE w:val="0"/>
              <w:autoSpaceDN w:val="0"/>
              <w:adjustRightInd w:val="0"/>
              <w:spacing w:line="360" w:lineRule="auto"/>
              <w:jc w:val="left"/>
              <w:rPr>
                <w:rFonts w:ascii="宋体" w:hAnsi="宋体"/>
                <w:b/>
                <w:bCs/>
                <w:sz w:val="18"/>
                <w:szCs w:val="18"/>
              </w:rPr>
            </w:pPr>
            <w:r>
              <w:rPr>
                <w:rFonts w:hint="eastAsia" w:ascii="宋体" w:hAnsi="宋体"/>
                <w:bCs/>
                <w:sz w:val="18"/>
                <w:szCs w:val="18"/>
              </w:rPr>
              <w:t>（1）</w:t>
            </w:r>
            <w:r>
              <w:rPr>
                <w:rFonts w:hint="eastAsia"/>
                <w:sz w:val="18"/>
                <w:szCs w:val="18"/>
              </w:rPr>
              <w:t>★</w:t>
            </w:r>
            <w:r>
              <w:rPr>
                <w:rFonts w:hint="eastAsia" w:ascii="黑体" w:hAnsi="黑体" w:eastAsia="黑体"/>
                <w:bCs/>
                <w:sz w:val="18"/>
                <w:szCs w:val="18"/>
              </w:rPr>
              <w:t>业绩报酬计提基准仅作为管理人计算超额业绩报酬的参照标准。业绩报酬计提基准不是预期收益率，不代表产品的未来表现和实际收益，不构成对产品收益的承诺，投资须谨慎。</w:t>
            </w:r>
          </w:p>
          <w:p>
            <w:pPr>
              <w:spacing w:line="360" w:lineRule="auto"/>
              <w:jc w:val="left"/>
              <w:rPr>
                <w:rFonts w:ascii="宋体" w:hAnsi="宋体"/>
                <w:b/>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如果今后法律法规发生变化，或者有其他代表性更强、更科学客观的业绩报酬计提基准适用于本产品时，经产品管理人和产品托管人协商一致后，本产品可以变更业绩报酬计提基准并及时公告。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45" w:type="dxa"/>
            <w:shd w:val="solid" w:color="FFFFFF" w:fill="FFFFFF"/>
            <w:vAlign w:val="center"/>
          </w:tcPr>
          <w:p>
            <w:pPr>
              <w:spacing w:line="360" w:lineRule="auto"/>
              <w:jc w:val="left"/>
              <w:rPr>
                <w:sz w:val="18"/>
                <w:szCs w:val="18"/>
              </w:rPr>
            </w:pPr>
            <w:r>
              <w:rPr>
                <w:rFonts w:hint="eastAsia" w:hAnsi="宋体"/>
                <w:b/>
                <w:sz w:val="18"/>
                <w:szCs w:val="18"/>
              </w:rPr>
              <w:t>★</w:t>
            </w:r>
            <w:r>
              <w:rPr>
                <w:rFonts w:hint="eastAsia"/>
                <w:b/>
                <w:sz w:val="18"/>
                <w:szCs w:val="18"/>
              </w:rPr>
              <w:t>理财产品利益分配</w:t>
            </w:r>
          </w:p>
        </w:tc>
        <w:tc>
          <w:tcPr>
            <w:tcW w:w="7699" w:type="dxa"/>
            <w:shd w:val="solid" w:color="FFFFFF" w:fill="FFFFFF"/>
            <w:vAlign w:val="center"/>
          </w:tcPr>
          <w:p>
            <w:pPr>
              <w:spacing w:line="360" w:lineRule="auto"/>
              <w:jc w:val="left"/>
              <w:rPr>
                <w:rFonts w:hAnsi="宋体"/>
                <w:bCs/>
                <w:sz w:val="18"/>
                <w:szCs w:val="18"/>
              </w:rPr>
            </w:pPr>
            <w:r>
              <w:rPr>
                <w:rFonts w:hint="eastAsia" w:hAnsi="宋体"/>
                <w:bCs/>
                <w:sz w:val="18"/>
                <w:szCs w:val="18"/>
              </w:rPr>
              <w:t>1</w:t>
            </w:r>
            <w:r>
              <w:rPr>
                <w:rFonts w:hAnsi="宋体"/>
                <w:bCs/>
                <w:sz w:val="18"/>
                <w:szCs w:val="18"/>
              </w:rPr>
              <w:t>.</w:t>
            </w:r>
            <w:r>
              <w:rPr>
                <w:rFonts w:hint="eastAsia" w:hAnsi="宋体"/>
                <w:bCs/>
                <w:sz w:val="18"/>
                <w:szCs w:val="18"/>
              </w:rPr>
              <w:t>本产品</w:t>
            </w:r>
            <w:r>
              <w:rPr>
                <w:rFonts w:hint="eastAsia" w:asciiTheme="minorEastAsia" w:hAnsiTheme="minorEastAsia" w:eastAsiaTheme="minorEastAsia"/>
                <w:sz w:val="18"/>
                <w:szCs w:val="18"/>
              </w:rPr>
              <w:t>每日进行收益分配，</w:t>
            </w:r>
            <w:r>
              <w:rPr>
                <w:rFonts w:hint="eastAsia" w:hAnsi="宋体"/>
                <w:bCs/>
                <w:sz w:val="18"/>
                <w:szCs w:val="18"/>
              </w:rPr>
              <w:t>收益分配方式为红利再投资，免收再投资的费用。</w:t>
            </w:r>
          </w:p>
          <w:p>
            <w:pPr>
              <w:spacing w:line="360" w:lineRule="auto"/>
              <w:jc w:val="left"/>
              <w:rPr>
                <w:rFonts w:hAnsi="宋体"/>
                <w:bCs/>
                <w:sz w:val="18"/>
                <w:szCs w:val="18"/>
              </w:rPr>
            </w:pPr>
            <w:r>
              <w:rPr>
                <w:rFonts w:hAnsi="宋体"/>
                <w:bCs/>
                <w:sz w:val="18"/>
                <w:szCs w:val="18"/>
              </w:rPr>
              <w:t>2.</w:t>
            </w:r>
            <w:r>
              <w:rPr>
                <w:rFonts w:hint="eastAsia" w:hAnsi="宋体"/>
                <w:bCs/>
                <w:sz w:val="18"/>
                <w:szCs w:val="18"/>
              </w:rPr>
              <w:t>理财产品存续期间，产品管理人有权视理财产品收益情况进行主动分配，相应分配基准日、分配方案由管理人及时披露。</w:t>
            </w:r>
          </w:p>
          <w:p>
            <w:pPr>
              <w:spacing w:line="360" w:lineRule="auto"/>
              <w:jc w:val="left"/>
              <w:rPr>
                <w:rFonts w:ascii="宋体" w:hAnsi="宋体"/>
                <w:bCs/>
                <w:sz w:val="18"/>
                <w:szCs w:val="18"/>
              </w:rPr>
            </w:pPr>
            <w:r>
              <w:rPr>
                <w:rFonts w:hAnsi="宋体"/>
                <w:bCs/>
                <w:sz w:val="18"/>
                <w:szCs w:val="18"/>
              </w:rPr>
              <w:t>3.具体理财产品利益分配</w:t>
            </w:r>
            <w:r>
              <w:rPr>
                <w:rFonts w:hint="eastAsia" w:hAnsi="宋体"/>
                <w:bCs/>
                <w:sz w:val="18"/>
                <w:szCs w:val="18"/>
              </w:rPr>
              <w:t>详见《产品说明书》“第八条 理财产品的利益分配”。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Theme="majorEastAsia" w:hAnsiTheme="majorEastAsia" w:eastAsiaTheme="majorEastAsia"/>
                <w:b/>
                <w:bCs/>
                <w:sz w:val="18"/>
                <w:szCs w:val="18"/>
              </w:rPr>
              <w:t>理财产品费用</w:t>
            </w:r>
          </w:p>
        </w:tc>
        <w:tc>
          <w:tcPr>
            <w:tcW w:w="7699" w:type="dxa"/>
            <w:shd w:val="solid" w:color="FFFFFF" w:fill="FFFFFF"/>
            <w:vAlign w:val="center"/>
          </w:tcPr>
          <w:p>
            <w:pPr>
              <w:spacing w:line="360" w:lineRule="auto"/>
              <w:rPr>
                <w:rFonts w:hint="eastAsia" w:asciiTheme="majorEastAsia" w:hAnsiTheme="majorEastAsia" w:eastAsiaTheme="majorEastAsia"/>
                <w:bCs/>
                <w:color w:val="000000" w:themeColor="text1"/>
                <w:sz w:val="18"/>
                <w:szCs w:val="18"/>
                <w:lang w:eastAsia="zh-CN"/>
                <w14:textFill>
                  <w14:solidFill>
                    <w14:schemeClr w14:val="tx1"/>
                  </w14:solidFill>
                </w14:textFill>
              </w:rPr>
            </w:pPr>
            <w:r>
              <w:rPr>
                <w:rFonts w:hint="eastAsia" w:asciiTheme="majorEastAsia" w:hAnsiTheme="majorEastAsia" w:eastAsiaTheme="majorEastAsia"/>
                <w:bCs/>
                <w:color w:val="000000" w:themeColor="text1"/>
                <w:sz w:val="18"/>
                <w:szCs w:val="18"/>
                <w:lang w:eastAsia="zh-CN"/>
                <w14:textFill>
                  <w14:solidFill>
                    <w14:schemeClr w14:val="tx1"/>
                  </w14:solidFill>
                </w14:textFill>
              </w:rPr>
              <w:t>（适用【C】类份额）</w:t>
            </w:r>
          </w:p>
          <w:p>
            <w:pPr>
              <w:spacing w:line="360" w:lineRule="auto"/>
              <w:rPr>
                <w:rFonts w:ascii="黑体" w:hAnsi="黑体" w:eastAsia="黑体"/>
                <w:bCs/>
                <w:color w:val="000000" w:themeColor="text1"/>
                <w:sz w:val="18"/>
                <w:szCs w:val="18"/>
                <w14:textFill>
                  <w14:solidFill>
                    <w14:schemeClr w14:val="tx1"/>
                  </w14:solidFill>
                </w14:textFill>
              </w:rPr>
            </w:pPr>
            <w:r>
              <w:rPr>
                <w:rFonts w:ascii="黑体" w:hAnsi="黑体" w:eastAsia="黑体"/>
                <w:bCs/>
                <w:color w:val="000000" w:themeColor="text1"/>
                <w:sz w:val="18"/>
                <w:szCs w:val="18"/>
                <w14:textFill>
                  <w14:solidFill>
                    <w14:schemeClr w14:val="tx1"/>
                  </w14:solidFill>
                </w14:textFill>
              </w:rPr>
              <w:t>1.</w:t>
            </w:r>
            <w:r>
              <w:rPr>
                <w:rFonts w:hint="eastAsia" w:ascii="黑体" w:hAnsi="黑体" w:eastAsia="黑体"/>
                <w:bCs/>
                <w:color w:val="000000" w:themeColor="text1"/>
                <w:sz w:val="18"/>
                <w:szCs w:val="18"/>
                <w14:textFill>
                  <w14:solidFill>
                    <w14:schemeClr w14:val="tx1"/>
                  </w14:solidFill>
                </w14:textFill>
              </w:rPr>
              <w:t>理财产品的费率标准</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（1）认购费：【</w:t>
            </w:r>
            <w:r>
              <w:rPr>
                <w:rFonts w:hint="eastAsia" w:ascii="黑体" w:hAnsi="黑体" w:eastAsia="黑体"/>
                <w:bCs/>
                <w:color w:val="000000" w:themeColor="text1"/>
                <w:sz w:val="18"/>
                <w:szCs w:val="18"/>
                <w:lang w:val="en-US" w:eastAsia="zh-CN"/>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（2）</w:t>
            </w:r>
            <w:r>
              <w:rPr>
                <w:rFonts w:ascii="黑体" w:hAnsi="黑体" w:eastAsia="黑体"/>
                <w:bCs/>
                <w:color w:val="000000" w:themeColor="text1"/>
                <w:sz w:val="18"/>
                <w:szCs w:val="18"/>
                <w14:textFill>
                  <w14:solidFill>
                    <w14:schemeClr w14:val="tx1"/>
                  </w14:solidFill>
                </w14:textFill>
              </w:rPr>
              <w:t>申购费：</w:t>
            </w:r>
            <w:r>
              <w:rPr>
                <w:rFonts w:hint="eastAsia"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lang w:val="en-US" w:eastAsia="zh-CN"/>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w:t>
            </w:r>
            <w:r>
              <w:rPr>
                <w:rFonts w:ascii="黑体" w:hAnsi="黑体" w:eastAsia="黑体"/>
                <w:bCs/>
                <w:color w:val="000000" w:themeColor="text1"/>
                <w:sz w:val="18"/>
                <w:szCs w:val="18"/>
                <w14:textFill>
                  <w14:solidFill>
                    <w14:schemeClr w14:val="tx1"/>
                  </w14:solidFill>
                </w14:textFill>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（3）赎回费：【</w:t>
            </w:r>
            <w:r>
              <w:rPr>
                <w:rFonts w:hint="eastAsia" w:ascii="黑体" w:hAnsi="黑体" w:eastAsia="黑体"/>
                <w:bCs/>
                <w:color w:val="000000" w:themeColor="text1"/>
                <w:sz w:val="18"/>
                <w:szCs w:val="18"/>
                <w:lang w:val="en-US" w:eastAsia="zh-CN"/>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w:t>
            </w:r>
          </w:p>
          <w:p>
            <w:pPr>
              <w:widowControl/>
              <w:spacing w:line="360" w:lineRule="auto"/>
              <w:jc w:val="left"/>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w:t>
            </w:r>
            <w:r>
              <w:rPr>
                <w:rFonts w:ascii="黑体" w:hAnsi="黑体" w:eastAsia="黑体"/>
                <w:bCs/>
                <w:color w:val="000000" w:themeColor="text1"/>
                <w:sz w:val="18"/>
                <w:szCs w:val="18"/>
                <w14:textFill>
                  <w14:solidFill>
                    <w14:schemeClr w14:val="tx1"/>
                  </w14:solidFill>
                </w14:textFill>
              </w:rPr>
              <w:t>4）</w:t>
            </w:r>
            <w:r>
              <w:rPr>
                <w:rFonts w:hint="eastAsia" w:ascii="黑体" w:hAnsi="黑体" w:eastAsia="黑体"/>
                <w:sz w:val="18"/>
                <w:szCs w:val="18"/>
              </w:rPr>
              <w:t>★</w:t>
            </w:r>
            <w:r>
              <w:rPr>
                <w:rFonts w:ascii="黑体" w:hAnsi="黑体" w:eastAsia="黑体"/>
                <w:bCs/>
                <w:color w:val="000000" w:themeColor="text1"/>
                <w:sz w:val="18"/>
                <w:szCs w:val="18"/>
                <w14:textFill>
                  <w14:solidFill>
                    <w14:schemeClr w14:val="tx1"/>
                  </w14:solidFill>
                </w14:textFill>
              </w:rPr>
              <w:t>强制赎回费</w:t>
            </w:r>
            <w:r>
              <w:rPr>
                <w:rFonts w:hint="eastAsia" w:ascii="黑体" w:hAnsi="黑体" w:eastAsia="黑体"/>
                <w:bCs/>
                <w:color w:val="000000" w:themeColor="text1"/>
                <w:sz w:val="18"/>
                <w:szCs w:val="18"/>
                <w14:textFill>
                  <w14:solidFill>
                    <w14:schemeClr w14:val="tx1"/>
                  </w14:solidFill>
                </w14:textFill>
              </w:rPr>
              <w:t>：</w:t>
            </w:r>
          </w:p>
          <w:p>
            <w:pPr>
              <w:widowControl/>
              <w:spacing w:line="360" w:lineRule="auto"/>
              <w:jc w:val="left"/>
              <w:rPr>
                <w:rFonts w:ascii="黑体" w:hAnsi="黑体" w:eastAsia="黑体"/>
                <w:kern w:val="0"/>
                <w:sz w:val="18"/>
                <w:szCs w:val="18"/>
              </w:rPr>
            </w:pPr>
            <w:r>
              <w:rPr>
                <w:rFonts w:ascii="黑体" w:hAnsi="黑体" w:eastAsia="黑体"/>
                <w:kern w:val="0"/>
                <w:sz w:val="18"/>
                <w:szCs w:val="18"/>
              </w:rPr>
              <w:t>1）当产品持有的现金、国债、中央银行票据、政策性金融债券以及5个交易日内到期的其他金融工具占产品资产净值的比例合计低于5%且偏离度为负时，产品管理人有权对当日单个投资者申请赎回份额超过产品总份额1%以上的赎回申请征收1%的强制赎回费用，并将上述赎回费用全额计入产品财产。</w:t>
            </w:r>
          </w:p>
          <w:p>
            <w:pPr>
              <w:widowControl/>
              <w:spacing w:line="360" w:lineRule="auto"/>
              <w:jc w:val="left"/>
              <w:rPr>
                <w:rFonts w:ascii="黑体" w:hAnsi="黑体" w:eastAsia="黑体"/>
                <w:kern w:val="0"/>
                <w:sz w:val="18"/>
                <w:szCs w:val="18"/>
              </w:rPr>
            </w:pPr>
            <w:r>
              <w:rPr>
                <w:rFonts w:ascii="黑体" w:hAnsi="黑体" w:eastAsia="黑体"/>
                <w:kern w:val="0"/>
                <w:sz w:val="18"/>
                <w:szCs w:val="18"/>
              </w:rPr>
              <w:t>2</w:t>
            </w:r>
            <w:r>
              <w:rPr>
                <w:rFonts w:hint="eastAsia" w:ascii="黑体" w:hAnsi="黑体" w:eastAsia="黑体"/>
                <w:kern w:val="0"/>
                <w:sz w:val="18"/>
                <w:szCs w:val="18"/>
              </w:rPr>
              <w:t>）产品前</w:t>
            </w:r>
            <w:r>
              <w:rPr>
                <w:rFonts w:ascii="黑体" w:hAnsi="黑体" w:eastAsia="黑体"/>
                <w:kern w:val="0"/>
                <w:sz w:val="18"/>
                <w:szCs w:val="18"/>
              </w:rPr>
              <w:t>10</w:t>
            </w:r>
            <w:r>
              <w:rPr>
                <w:rFonts w:hint="eastAsia" w:ascii="黑体" w:hAnsi="黑体" w:eastAsia="黑体"/>
                <w:kern w:val="0"/>
                <w:sz w:val="18"/>
                <w:szCs w:val="18"/>
              </w:rPr>
              <w:t>名投资者的持有份额合计超过产品总份额</w:t>
            </w:r>
            <w:r>
              <w:rPr>
                <w:rFonts w:ascii="黑体" w:hAnsi="黑体" w:eastAsia="黑体"/>
                <w:kern w:val="0"/>
                <w:sz w:val="18"/>
                <w:szCs w:val="18"/>
              </w:rPr>
              <w:t>50%</w:t>
            </w:r>
            <w:r>
              <w:rPr>
                <w:rFonts w:hint="eastAsia" w:ascii="黑体" w:hAnsi="黑体" w:eastAsia="黑体"/>
                <w:kern w:val="0"/>
                <w:sz w:val="18"/>
                <w:szCs w:val="18"/>
              </w:rPr>
              <w:t>的，当投资组合中现金、国债、中央银行票据、政策性金融债券以及</w:t>
            </w:r>
            <w:r>
              <w:rPr>
                <w:rFonts w:ascii="黑体" w:hAnsi="黑体" w:eastAsia="黑体"/>
                <w:kern w:val="0"/>
                <w:sz w:val="18"/>
                <w:szCs w:val="18"/>
              </w:rPr>
              <w:t>5</w:t>
            </w:r>
            <w:r>
              <w:rPr>
                <w:rFonts w:hint="eastAsia" w:ascii="黑体" w:hAnsi="黑体" w:eastAsia="黑体"/>
                <w:kern w:val="0"/>
                <w:sz w:val="18"/>
                <w:szCs w:val="18"/>
              </w:rPr>
              <w:t>个交易日内到期的其他金融工具占该产品资产净值的比例合计低于</w:t>
            </w:r>
            <w:r>
              <w:rPr>
                <w:rFonts w:ascii="黑体" w:hAnsi="黑体" w:eastAsia="黑体"/>
                <w:kern w:val="0"/>
                <w:sz w:val="18"/>
                <w:szCs w:val="18"/>
              </w:rPr>
              <w:t>10%</w:t>
            </w:r>
            <w:r>
              <w:rPr>
                <w:rFonts w:hint="eastAsia" w:ascii="黑体" w:hAnsi="黑体" w:eastAsia="黑体"/>
                <w:kern w:val="0"/>
                <w:sz w:val="18"/>
                <w:szCs w:val="18"/>
              </w:rPr>
              <w:t>且偏离度为负时，产品管理人有权对投资者超过产品总份额</w:t>
            </w:r>
            <w:r>
              <w:rPr>
                <w:rFonts w:ascii="黑体" w:hAnsi="黑体" w:eastAsia="黑体"/>
                <w:kern w:val="0"/>
                <w:sz w:val="18"/>
                <w:szCs w:val="18"/>
              </w:rPr>
              <w:t>1%</w:t>
            </w:r>
            <w:r>
              <w:rPr>
                <w:rFonts w:hint="eastAsia" w:ascii="黑体" w:hAnsi="黑体" w:eastAsia="黑体"/>
                <w:kern w:val="0"/>
                <w:sz w:val="18"/>
                <w:szCs w:val="18"/>
              </w:rPr>
              <w:t>以上的赎回申请征收</w:t>
            </w:r>
            <w:r>
              <w:rPr>
                <w:rFonts w:ascii="黑体" w:hAnsi="黑体" w:eastAsia="黑体"/>
                <w:kern w:val="0"/>
                <w:sz w:val="18"/>
                <w:szCs w:val="18"/>
              </w:rPr>
              <w:t>1%</w:t>
            </w:r>
            <w:r>
              <w:rPr>
                <w:rFonts w:hint="eastAsia" w:ascii="黑体" w:hAnsi="黑体" w:eastAsia="黑体"/>
                <w:kern w:val="0"/>
                <w:sz w:val="18"/>
                <w:szCs w:val="18"/>
              </w:rPr>
              <w:t>的强制赎回费用。</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（5）</w:t>
            </w:r>
            <w:r>
              <w:rPr>
                <w:rFonts w:ascii="黑体" w:hAnsi="黑体" w:eastAsia="黑体"/>
                <w:bCs/>
                <w:color w:val="000000" w:themeColor="text1"/>
                <w:sz w:val="18"/>
                <w:szCs w:val="18"/>
                <w14:textFill>
                  <w14:solidFill>
                    <w14:schemeClr w14:val="tx1"/>
                  </w14:solidFill>
                </w14:textFill>
              </w:rPr>
              <w:t>销售服</w:t>
            </w:r>
            <w:r>
              <w:rPr>
                <w:rFonts w:hint="eastAsia" w:ascii="黑体" w:hAnsi="黑体" w:eastAsia="黑体"/>
                <w:bCs/>
                <w:color w:val="000000" w:themeColor="text1"/>
                <w:sz w:val="18"/>
                <w:szCs w:val="18"/>
                <w14:textFill>
                  <w14:solidFill>
                    <w14:schemeClr w14:val="tx1"/>
                  </w14:solidFill>
                </w14:textFill>
              </w:rPr>
              <w:t>务费：</w:t>
            </w:r>
            <w:r>
              <w:rPr>
                <w:rFonts w:hint="eastAsia" w:ascii="黑体" w:hAnsi="黑体" w:eastAsia="黑体"/>
                <w:bCs/>
                <w:sz w:val="18"/>
                <w:szCs w:val="18"/>
              </w:rPr>
              <w:t>年化</w:t>
            </w:r>
            <w:r>
              <w:rPr>
                <w:rFonts w:ascii="黑体" w:hAnsi="黑体" w:eastAsia="黑体"/>
                <w:bCs/>
                <w:sz w:val="18"/>
                <w:szCs w:val="18"/>
              </w:rPr>
              <w:t>费率</w:t>
            </w:r>
            <w:r>
              <w:rPr>
                <w:rFonts w:hint="eastAsia" w:ascii="黑体" w:hAnsi="黑体" w:eastAsia="黑体"/>
                <w:sz w:val="18"/>
                <w:szCs w:val="18"/>
              </w:rPr>
              <w:t>【</w:t>
            </w:r>
            <w:r>
              <w:rPr>
                <w:rFonts w:hint="eastAsia" w:ascii="黑体" w:hAnsi="黑体" w:eastAsia="黑体"/>
                <w:sz w:val="18"/>
                <w:szCs w:val="18"/>
                <w:lang w:val="en-US" w:eastAsia="zh-CN"/>
              </w:rPr>
              <w:t>0.30%</w:t>
            </w:r>
            <w:r>
              <w:rPr>
                <w:rFonts w:hint="eastAsia" w:ascii="黑体" w:hAnsi="黑体" w:eastAsia="黑体"/>
                <w:sz w:val="18"/>
                <w:szCs w:val="18"/>
              </w:rPr>
              <w:t>】</w:t>
            </w:r>
            <w:r>
              <w:rPr>
                <w:rFonts w:hint="eastAsia" w:ascii="黑体" w:hAnsi="黑体" w:eastAsia="黑体"/>
                <w:bCs/>
                <w:color w:val="000000" w:themeColor="text1"/>
                <w:sz w:val="18"/>
                <w:szCs w:val="18"/>
                <w14:textFill>
                  <w14:solidFill>
                    <w14:schemeClr w14:val="tx1"/>
                  </w14:solidFill>
                </w14:textFill>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（6）投资管理费：</w:t>
            </w:r>
            <w:r>
              <w:rPr>
                <w:rFonts w:hint="eastAsia" w:ascii="黑体" w:hAnsi="黑体" w:eastAsia="黑体"/>
                <w:bCs/>
                <w:sz w:val="18"/>
                <w:szCs w:val="18"/>
              </w:rPr>
              <w:t>年化</w:t>
            </w:r>
            <w:r>
              <w:rPr>
                <w:rFonts w:ascii="黑体" w:hAnsi="黑体" w:eastAsia="黑体"/>
                <w:bCs/>
                <w:sz w:val="18"/>
                <w:szCs w:val="18"/>
              </w:rPr>
              <w:t>费率</w:t>
            </w:r>
            <w:r>
              <w:rPr>
                <w:rFonts w:hint="eastAsia" w:ascii="黑体" w:hAnsi="黑体" w:eastAsia="黑体"/>
                <w:sz w:val="18"/>
                <w:szCs w:val="18"/>
              </w:rPr>
              <w:t>【</w:t>
            </w:r>
            <w:r>
              <w:rPr>
                <w:rFonts w:hint="eastAsia" w:ascii="黑体" w:hAnsi="黑体" w:eastAsia="黑体"/>
                <w:sz w:val="18"/>
                <w:szCs w:val="18"/>
                <w:lang w:val="en-US" w:eastAsia="zh-CN"/>
              </w:rPr>
              <w:t>0.30%</w:t>
            </w:r>
            <w:r>
              <w:rPr>
                <w:rFonts w:ascii="黑体" w:hAnsi="黑体" w:eastAsia="黑体"/>
                <w:sz w:val="18"/>
                <w:szCs w:val="18"/>
              </w:rPr>
              <w:t>】</w:t>
            </w:r>
            <w:r>
              <w:rPr>
                <w:rFonts w:hint="eastAsia" w:ascii="黑体" w:hAnsi="黑体" w:eastAsia="黑体"/>
                <w:bCs/>
                <w:color w:val="000000" w:themeColor="text1"/>
                <w:sz w:val="18"/>
                <w:szCs w:val="18"/>
                <w14:textFill>
                  <w14:solidFill>
                    <w14:schemeClr w14:val="tx1"/>
                  </w14:solidFill>
                </w14:textFill>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（7）产品托管费：</w:t>
            </w:r>
            <w:r>
              <w:rPr>
                <w:rFonts w:hint="eastAsia" w:ascii="黑体" w:hAnsi="黑体" w:eastAsia="黑体"/>
                <w:bCs/>
                <w:sz w:val="18"/>
                <w:szCs w:val="18"/>
              </w:rPr>
              <w:t>年化</w:t>
            </w:r>
            <w:r>
              <w:rPr>
                <w:rFonts w:ascii="黑体" w:hAnsi="黑体" w:eastAsia="黑体"/>
                <w:bCs/>
                <w:sz w:val="18"/>
                <w:szCs w:val="18"/>
              </w:rPr>
              <w:t>费率</w:t>
            </w:r>
            <w:r>
              <w:rPr>
                <w:rFonts w:hint="eastAsia" w:ascii="黑体" w:hAnsi="黑体" w:eastAsia="黑体"/>
                <w:sz w:val="18"/>
                <w:szCs w:val="18"/>
              </w:rPr>
              <w:t>【</w:t>
            </w:r>
            <w:r>
              <w:rPr>
                <w:rFonts w:hint="eastAsia" w:ascii="黑体" w:hAnsi="黑体" w:eastAsia="黑体"/>
                <w:sz w:val="18"/>
                <w:szCs w:val="18"/>
                <w:lang w:val="en-US" w:eastAsia="zh-CN"/>
              </w:rPr>
              <w:t>0.03%</w:t>
            </w:r>
            <w:r>
              <w:rPr>
                <w:rFonts w:ascii="黑体" w:hAnsi="黑体" w:eastAsia="黑体"/>
                <w:sz w:val="18"/>
                <w:szCs w:val="18"/>
              </w:rPr>
              <w:t>】</w:t>
            </w:r>
            <w:r>
              <w:rPr>
                <w:rFonts w:hint="eastAsia" w:ascii="黑体" w:hAnsi="黑体" w:eastAsia="黑体"/>
                <w:bCs/>
                <w:color w:val="000000" w:themeColor="text1"/>
                <w:sz w:val="18"/>
                <w:szCs w:val="18"/>
                <w14:textFill>
                  <w14:solidFill>
                    <w14:schemeClr w14:val="tx1"/>
                  </w14:solidFill>
                </w14:textFill>
              </w:rPr>
              <w:t>。</w:t>
            </w:r>
          </w:p>
          <w:p>
            <w:pPr>
              <w:widowControl/>
              <w:spacing w:line="360" w:lineRule="auto"/>
              <w:jc w:val="left"/>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（8）超额业绩报酬：</w:t>
            </w:r>
          </w:p>
          <w:p>
            <w:pPr>
              <w:widowControl/>
              <w:spacing w:line="360" w:lineRule="auto"/>
              <w:jc w:val="left"/>
              <w:rPr>
                <w:rFonts w:ascii="宋体" w:hAnsi="宋体"/>
                <w:kern w:val="0"/>
                <w:sz w:val="18"/>
                <w:szCs w:val="18"/>
              </w:rPr>
            </w:pPr>
            <w:r>
              <w:rPr>
                <w:rFonts w:ascii="宋体" w:hAnsi="宋体"/>
                <w:sz w:val="18"/>
                <w:szCs w:val="18"/>
              </w:rPr>
              <w:t>本产品不收取超额业绩报酬</w:t>
            </w:r>
            <w:r>
              <w:rPr>
                <w:rFonts w:hint="eastAsia" w:ascii="宋体" w:hAnsi="宋体"/>
                <w:sz w:val="18"/>
                <w:szCs w:val="18"/>
              </w:rPr>
              <w:t>。</w:t>
            </w:r>
          </w:p>
          <w:p>
            <w:pPr>
              <w:spacing w:line="360" w:lineRule="auto"/>
              <w:rPr>
                <w:rFonts w:ascii="黑体" w:hAnsi="黑体" w:eastAsia="黑体"/>
                <w:bCs/>
                <w:sz w:val="18"/>
                <w:szCs w:val="18"/>
              </w:rPr>
            </w:pPr>
            <w:r>
              <w:rPr>
                <w:rFonts w:hint="eastAsia" w:ascii="宋体" w:hAnsi="宋体"/>
                <w:bCs/>
                <w:sz w:val="18"/>
                <w:szCs w:val="18"/>
              </w:rPr>
              <w:t>2</w:t>
            </w:r>
            <w:r>
              <w:rPr>
                <w:rFonts w:hint="eastAsia" w:asciiTheme="majorEastAsia" w:hAnsiTheme="majorEastAsia" w:eastAsiaTheme="majorEastAsia"/>
                <w:bCs/>
                <w:sz w:val="18"/>
                <w:szCs w:val="18"/>
              </w:rPr>
              <w:t>.</w:t>
            </w:r>
            <w:r>
              <w:rPr>
                <w:rFonts w:hint="eastAsia"/>
                <w:sz w:val="18"/>
                <w:szCs w:val="18"/>
              </w:rPr>
              <w:t xml:space="preserve"> </w:t>
            </w:r>
            <w:r>
              <w:rPr>
                <w:rFonts w:hint="eastAsia" w:ascii="黑体" w:hAnsi="黑体" w:eastAsia="黑体"/>
                <w:bCs/>
                <w:sz w:val="18"/>
                <w:szCs w:val="18"/>
              </w:rPr>
              <w:t>产品管理人</w:t>
            </w:r>
            <w:r>
              <w:rPr>
                <w:rFonts w:ascii="黑体" w:hAnsi="黑体" w:eastAsia="黑体"/>
                <w:bCs/>
                <w:sz w:val="18"/>
                <w:szCs w:val="18"/>
              </w:rPr>
              <w:t>保留变更</w:t>
            </w:r>
            <w:r>
              <w:rPr>
                <w:rFonts w:hint="eastAsia" w:ascii="黑体" w:hAnsi="黑体" w:eastAsia="黑体"/>
                <w:bCs/>
                <w:sz w:val="18"/>
                <w:szCs w:val="18"/>
              </w:rPr>
              <w:t>上述</w:t>
            </w:r>
            <w:r>
              <w:rPr>
                <w:rFonts w:ascii="黑体" w:hAnsi="黑体" w:eastAsia="黑体"/>
                <w:bCs/>
                <w:sz w:val="18"/>
                <w:szCs w:val="18"/>
              </w:rPr>
              <w:t>理财产品</w:t>
            </w:r>
            <w:r>
              <w:rPr>
                <w:rFonts w:hint="eastAsia" w:ascii="黑体" w:hAnsi="黑体" w:eastAsia="黑体"/>
                <w:bCs/>
                <w:sz w:val="18"/>
                <w:szCs w:val="18"/>
              </w:rPr>
              <w:t>收取</w:t>
            </w:r>
            <w:r>
              <w:rPr>
                <w:rFonts w:ascii="黑体" w:hAnsi="黑体" w:eastAsia="黑体"/>
                <w:bCs/>
                <w:sz w:val="18"/>
                <w:szCs w:val="18"/>
              </w:rPr>
              <w:t>费率</w:t>
            </w:r>
            <w:r>
              <w:rPr>
                <w:rFonts w:hint="eastAsia" w:ascii="黑体" w:hAnsi="黑体" w:eastAsia="黑体"/>
                <w:bCs/>
                <w:sz w:val="18"/>
                <w:szCs w:val="18"/>
              </w:rPr>
              <w:t>标准</w:t>
            </w:r>
            <w:r>
              <w:rPr>
                <w:rFonts w:ascii="黑体" w:hAnsi="黑体" w:eastAsia="黑体"/>
                <w:bCs/>
                <w:sz w:val="18"/>
                <w:szCs w:val="18"/>
              </w:rPr>
              <w:t>的权利</w:t>
            </w:r>
            <w:r>
              <w:rPr>
                <w:rFonts w:hint="eastAsia" w:ascii="黑体" w:hAnsi="黑体" w:eastAsia="黑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宋体" w:hAnsi="宋体"/>
                <w:b/>
                <w:bCs/>
                <w:kern w:val="0"/>
                <w:sz w:val="18"/>
                <w:szCs w:val="18"/>
              </w:rPr>
              <w:t>税收</w:t>
            </w:r>
          </w:p>
        </w:tc>
        <w:tc>
          <w:tcPr>
            <w:tcW w:w="7699" w:type="dxa"/>
            <w:shd w:val="solid" w:color="FFFFFF" w:fill="FFFFFF"/>
            <w:vAlign w:val="center"/>
          </w:tcPr>
          <w:p>
            <w:pPr>
              <w:spacing w:line="360" w:lineRule="auto"/>
              <w:rPr>
                <w:rFonts w:ascii="宋体" w:hAnsi="宋体"/>
                <w:bCs/>
                <w:color w:val="000000" w:themeColor="text1"/>
                <w:sz w:val="18"/>
                <w:szCs w:val="18"/>
                <w14:textFill>
                  <w14:solidFill>
                    <w14:schemeClr w14:val="tx1"/>
                  </w14:solidFill>
                </w14:textFill>
              </w:rPr>
            </w:pPr>
            <w:r>
              <w:rPr>
                <w:rFonts w:hint="eastAsia" w:hAnsi="宋体" w:cs="仿宋_GB2312"/>
                <w:sz w:val="18"/>
                <w:szCs w:val="18"/>
              </w:rPr>
              <w:t>本理财产品运作过程中涉及的各纳税主体，其纳税义务按国家税收法律、法规执行。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理财产品份额的转让</w:t>
            </w:r>
          </w:p>
        </w:tc>
        <w:tc>
          <w:tcPr>
            <w:tcW w:w="7699"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理财产品份额的转让将依照理财产品销售文件及销售机构的业务政策执行。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理财产品份额的质押</w:t>
            </w:r>
          </w:p>
        </w:tc>
        <w:tc>
          <w:tcPr>
            <w:tcW w:w="7699"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理财产品份额的质押将依照理财产品销售文件及销售机构的业务政策执行。</w:t>
            </w:r>
          </w:p>
        </w:tc>
      </w:tr>
    </w:tbl>
    <w:p>
      <w:pPr>
        <w:pStyle w:val="16"/>
        <w:spacing w:line="360" w:lineRule="auto"/>
        <w:rPr>
          <w:rFonts w:hAnsi="宋体"/>
          <w:sz w:val="18"/>
          <w:szCs w:val="18"/>
        </w:rPr>
      </w:pPr>
    </w:p>
    <w:p>
      <w:pPr>
        <w:widowControl/>
        <w:spacing w:line="360" w:lineRule="auto"/>
        <w:jc w:val="left"/>
        <w:rPr>
          <w:rFonts w:ascii="宋体" w:hAnsi="宋体"/>
          <w:color w:val="000000"/>
          <w:kern w:val="0"/>
          <w:sz w:val="18"/>
          <w:szCs w:val="18"/>
        </w:rPr>
      </w:pPr>
      <w:r>
        <w:rPr>
          <w:rFonts w:hAnsi="宋体"/>
          <w:sz w:val="18"/>
          <w:szCs w:val="18"/>
        </w:rPr>
        <w:br w:type="page"/>
      </w:r>
    </w:p>
    <w:p>
      <w:pPr>
        <w:pStyle w:val="2"/>
        <w:spacing w:before="0" w:after="0" w:line="360" w:lineRule="auto"/>
        <w:jc w:val="center"/>
        <w:rPr>
          <w:rFonts w:ascii="Times New Roman"/>
          <w:sz w:val="30"/>
        </w:rPr>
      </w:pPr>
      <w:bookmarkStart w:id="72" w:name="_Toc176189280"/>
      <w:bookmarkStart w:id="73" w:name="_Toc3800"/>
      <w:bookmarkStart w:id="74" w:name="_Toc79154666"/>
      <w:r>
        <w:rPr>
          <w:rFonts w:ascii="Times New Roman"/>
          <w:sz w:val="30"/>
        </w:rPr>
        <w:t>第</w:t>
      </w:r>
      <w:r>
        <w:rPr>
          <w:rFonts w:hint="eastAsia" w:ascii="Times New Roman"/>
          <w:sz w:val="30"/>
        </w:rPr>
        <w:t>三条</w:t>
      </w:r>
      <w:r>
        <w:rPr>
          <w:rFonts w:ascii="Times New Roman"/>
          <w:sz w:val="30"/>
        </w:rPr>
        <w:t xml:space="preserve">  </w:t>
      </w:r>
      <w:bookmarkStart w:id="75" w:name="_Toc79392573"/>
      <w:r>
        <w:rPr>
          <w:rFonts w:hint="eastAsia" w:ascii="Times New Roman"/>
          <w:sz w:val="30"/>
        </w:rPr>
        <w:t>理财产品的认购</w:t>
      </w:r>
      <w:bookmarkEnd w:id="72"/>
      <w:bookmarkEnd w:id="73"/>
      <w:bookmarkEnd w:id="74"/>
    </w:p>
    <w:p>
      <w:pPr>
        <w:spacing w:line="360" w:lineRule="auto"/>
        <w:ind w:firstLine="361" w:firstLineChars="200"/>
        <w:rPr>
          <w:rFonts w:asciiTheme="minorEastAsia" w:hAnsiTheme="minorEastAsia"/>
          <w:b/>
          <w:bCs/>
          <w:sz w:val="18"/>
          <w:szCs w:val="18"/>
        </w:rPr>
      </w:pPr>
      <w:bookmarkStart w:id="76" w:name="_Hlt88031774"/>
      <w:bookmarkEnd w:id="76"/>
      <w:bookmarkStart w:id="77" w:name="_Hlt88031741"/>
      <w:r>
        <w:rPr>
          <w:rFonts w:hint="eastAsia" w:asciiTheme="minorEastAsia" w:hAnsiTheme="minorEastAsia"/>
          <w:b/>
          <w:bCs/>
          <w:sz w:val="18"/>
          <w:szCs w:val="18"/>
        </w:rPr>
        <w:t>（一）理财产品的认购</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1.</w:t>
      </w:r>
      <w:r>
        <w:rPr>
          <w:rFonts w:hint="eastAsia" w:asciiTheme="minorEastAsia" w:hAnsiTheme="minorEastAsia"/>
          <w:b/>
          <w:bCs/>
          <w:sz w:val="18"/>
          <w:szCs w:val="18"/>
        </w:rPr>
        <w:t>认购的时间</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本产品认购期/募集期详见《产品说明书》“第二条 理财产品基本情况”。</w:t>
      </w:r>
      <w:r>
        <w:rPr>
          <w:rFonts w:asciiTheme="minorEastAsia" w:hAnsiTheme="minorEastAsia" w:eastAsiaTheme="minorEastAsia"/>
          <w:color w:val="auto"/>
          <w:sz w:val="18"/>
          <w:szCs w:val="18"/>
        </w:rPr>
        <w:t>产品管理人有权根据实际募集情况提前或延后产品成立日期，并</w:t>
      </w:r>
      <w:r>
        <w:rPr>
          <w:rFonts w:hint="eastAsia" w:asciiTheme="minorEastAsia" w:hAnsiTheme="minorEastAsia" w:eastAsiaTheme="minorEastAsia"/>
          <w:color w:val="auto"/>
          <w:sz w:val="18"/>
          <w:szCs w:val="18"/>
        </w:rPr>
        <w:t>相应调整其他产品要素，</w:t>
      </w:r>
      <w:r>
        <w:rPr>
          <w:rFonts w:asciiTheme="minorEastAsia" w:hAnsiTheme="minorEastAsia" w:eastAsiaTheme="minorEastAsia"/>
          <w:color w:val="auto"/>
          <w:sz w:val="18"/>
          <w:szCs w:val="18"/>
        </w:rPr>
        <w:t>将依约</w:t>
      </w:r>
      <w:r>
        <w:rPr>
          <w:rFonts w:hint="eastAsia" w:asciiTheme="minorEastAsia" w:hAnsiTheme="minorEastAsia" w:eastAsiaTheme="minorEastAsia"/>
          <w:color w:val="auto"/>
          <w:sz w:val="18"/>
          <w:szCs w:val="18"/>
        </w:rPr>
        <w:t>定进行公告。</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2.认购</w:t>
      </w:r>
      <w:r>
        <w:rPr>
          <w:rFonts w:hint="eastAsia" w:asciiTheme="minorEastAsia" w:hAnsiTheme="minorEastAsia"/>
          <w:b/>
          <w:bCs/>
          <w:sz w:val="18"/>
          <w:szCs w:val="18"/>
        </w:rPr>
        <w:t>的方式</w:t>
      </w:r>
    </w:p>
    <w:p>
      <w:pPr>
        <w:pStyle w:val="16"/>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产品成立之前</w:t>
      </w: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投资者可通过</w:t>
      </w:r>
      <w:r>
        <w:rPr>
          <w:rFonts w:hint="eastAsia" w:asciiTheme="minorEastAsia" w:hAnsiTheme="minorEastAsia" w:eastAsiaTheme="minorEastAsia"/>
          <w:color w:val="auto"/>
          <w:sz w:val="18"/>
          <w:szCs w:val="18"/>
        </w:rPr>
        <w:t>销售机构销售</w:t>
      </w:r>
      <w:r>
        <w:rPr>
          <w:rFonts w:asciiTheme="minorEastAsia" w:hAnsiTheme="minorEastAsia" w:eastAsiaTheme="minorEastAsia"/>
          <w:color w:val="auto"/>
          <w:sz w:val="18"/>
          <w:szCs w:val="18"/>
        </w:rPr>
        <w:t>渠道</w:t>
      </w:r>
      <w:r>
        <w:rPr>
          <w:rFonts w:hint="eastAsia" w:asciiTheme="minorEastAsia" w:hAnsiTheme="minorEastAsia" w:eastAsiaTheme="minorEastAsia"/>
          <w:color w:val="auto"/>
          <w:sz w:val="18"/>
          <w:szCs w:val="18"/>
        </w:rPr>
        <w:t>认购</w:t>
      </w:r>
      <w:r>
        <w:rPr>
          <w:rFonts w:asciiTheme="minorEastAsia" w:hAnsiTheme="minorEastAsia" w:eastAsiaTheme="minorEastAsia"/>
          <w:color w:val="auto"/>
          <w:sz w:val="18"/>
          <w:szCs w:val="18"/>
        </w:rPr>
        <w:t>。</w:t>
      </w:r>
    </w:p>
    <w:p>
      <w:pPr>
        <w:pStyle w:val="16"/>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销售机构线下渠道认购的，应签署有关理财产品销售文件。</w:t>
      </w:r>
    </w:p>
    <w:p>
      <w:pPr>
        <w:pStyle w:val="16"/>
        <w:spacing w:line="360" w:lineRule="auto"/>
        <w:ind w:firstLine="360" w:firstLineChars="200"/>
        <w:rPr>
          <w:rFonts w:asciiTheme="minorEastAsia" w:hAnsiTheme="minorEastAsia"/>
          <w:bCs/>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销售机构线上渠道认购的，</w:t>
      </w:r>
      <w:r>
        <w:rPr>
          <w:rFonts w:hint="eastAsia" w:asciiTheme="minorEastAsia" w:hAnsiTheme="minorEastAsia"/>
          <w:bCs/>
          <w:color w:val="auto"/>
          <w:sz w:val="18"/>
          <w:szCs w:val="18"/>
        </w:rPr>
        <w:t>应根据</w:t>
      </w:r>
      <w:r>
        <w:rPr>
          <w:rFonts w:hint="eastAsia" w:asciiTheme="minorEastAsia" w:hAnsiTheme="minorEastAsia" w:eastAsiaTheme="minorEastAsia"/>
          <w:color w:val="auto"/>
          <w:sz w:val="18"/>
          <w:szCs w:val="18"/>
        </w:rPr>
        <w:t>销售机构</w:t>
      </w:r>
      <w:r>
        <w:rPr>
          <w:rFonts w:hint="eastAsia" w:asciiTheme="minorEastAsia" w:hAnsiTheme="minorEastAsia"/>
          <w:bCs/>
          <w:color w:val="auto"/>
          <w:sz w:val="18"/>
          <w:szCs w:val="18"/>
        </w:rPr>
        <w:t>线上渠道的具体要求执行。</w:t>
      </w:r>
    </w:p>
    <w:p>
      <w:pPr>
        <w:pStyle w:val="16"/>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认购的确认</w:t>
      </w:r>
    </w:p>
    <w:tbl>
      <w:tblPr>
        <w:tblStyle w:val="9"/>
        <w:tblW w:w="78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984"/>
        <w:gridCol w:w="4267"/>
        <w:gridCol w:w="161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ind w:firstLine="361" w:firstLineChars="200"/>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认购期/募集期</w:t>
            </w:r>
          </w:p>
        </w:tc>
        <w:tc>
          <w:tcPr>
            <w:tcW w:w="4267" w:type="dxa"/>
            <w:vAlign w:val="center"/>
          </w:tcPr>
          <w:p>
            <w:pPr>
              <w:spacing w:line="360" w:lineRule="auto"/>
              <w:ind w:firstLine="361" w:firstLineChars="200"/>
              <w:jc w:val="center"/>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认购确认方式</w:t>
            </w:r>
          </w:p>
        </w:tc>
        <w:tc>
          <w:tcPr>
            <w:tcW w:w="1610" w:type="dxa"/>
            <w:vAlign w:val="center"/>
          </w:tcPr>
          <w:p>
            <w:pPr>
              <w:spacing w:line="360" w:lineRule="auto"/>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jc w:val="left"/>
              <w:rPr>
                <w:rFonts w:asciiTheme="minorEastAsia" w:hAnsiTheme="minorEastAsia" w:eastAsiaTheme="minorEastAsia"/>
                <w:bCs/>
                <w:kern w:val="0"/>
                <w:sz w:val="18"/>
                <w:szCs w:val="18"/>
              </w:rPr>
            </w:pPr>
            <w:r>
              <w:rPr>
                <w:rFonts w:hint="eastAsia" w:cs="Times New Roman" w:asciiTheme="minorEastAsia" w:hAnsiTheme="minorEastAsia" w:eastAsiaTheme="minorEastAsia"/>
                <w:bCs/>
                <w:kern w:val="0"/>
                <w:sz w:val="18"/>
                <w:szCs w:val="18"/>
              </w:rPr>
              <w:t>募集期开始日</w:t>
            </w:r>
            <w:r>
              <w:rPr>
                <w:rFonts w:cs="Times New Roman" w:asciiTheme="minorEastAsia" w:hAnsiTheme="minorEastAsia" w:eastAsiaTheme="minorEastAsia"/>
                <w:bCs/>
                <w:kern w:val="0"/>
                <w:sz w:val="18"/>
                <w:szCs w:val="18"/>
              </w:rPr>
              <w:t>至募集期终止日</w:t>
            </w:r>
          </w:p>
        </w:tc>
        <w:tc>
          <w:tcPr>
            <w:tcW w:w="4267"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产品管理人在产品成立日对投资者的认购申请的有效性进行确认，并登记理财份额。</w:t>
            </w:r>
          </w:p>
        </w:tc>
        <w:tc>
          <w:tcPr>
            <w:tcW w:w="1610"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产品成立日</w:t>
            </w:r>
          </w:p>
        </w:tc>
      </w:tr>
    </w:tbl>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认购期/募集期内投资者可提交认购申请。</w:t>
      </w:r>
      <w:r>
        <w:rPr>
          <w:rFonts w:hint="eastAsia" w:asciiTheme="majorEastAsia" w:hAnsiTheme="majorEastAsia" w:eastAsiaTheme="majorEastAsia"/>
          <w:sz w:val="18"/>
          <w:szCs w:val="18"/>
        </w:rPr>
        <w:t>提交</w:t>
      </w:r>
      <w:r>
        <w:rPr>
          <w:rFonts w:asciiTheme="majorEastAsia" w:hAnsiTheme="majorEastAsia" w:eastAsiaTheme="majorEastAsia"/>
          <w:sz w:val="18"/>
          <w:szCs w:val="18"/>
        </w:rPr>
        <w:t>认购</w:t>
      </w:r>
      <w:r>
        <w:rPr>
          <w:rFonts w:hint="eastAsia" w:asciiTheme="majorEastAsia" w:hAnsiTheme="majorEastAsia" w:eastAsiaTheme="majorEastAsia"/>
          <w:sz w:val="18"/>
          <w:szCs w:val="18"/>
        </w:rPr>
        <w:t>申请并不代表认购成功，产品管理人将在认购确认日确认投资者是否认购成功，是否成功以管理人的确认结果为准</w:t>
      </w:r>
      <w:r>
        <w:rPr>
          <w:rFonts w:hint="eastAsia" w:asciiTheme="minorEastAsia" w:hAnsiTheme="minorEastAsia" w:eastAsiaTheme="minorEastAsia"/>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w:t>
      </w:r>
      <w:r>
        <w:rPr>
          <w:rFonts w:asciiTheme="minorEastAsia" w:hAnsiTheme="minorEastAsia"/>
          <w:b/>
          <w:bCs/>
          <w:sz w:val="18"/>
          <w:szCs w:val="18"/>
        </w:rPr>
        <w:t>认购的价格</w:t>
      </w:r>
    </w:p>
    <w:p>
      <w:pPr>
        <w:pStyle w:val="16"/>
        <w:spacing w:line="360" w:lineRule="auto"/>
        <w:ind w:firstLine="360" w:firstLineChars="200"/>
        <w:rPr>
          <w:rFonts w:asciiTheme="minorEastAsia" w:hAnsiTheme="minorEastAsia"/>
          <w:color w:val="auto"/>
          <w:sz w:val="18"/>
          <w:szCs w:val="18"/>
        </w:rPr>
      </w:pPr>
      <w:r>
        <w:rPr>
          <w:rFonts w:hint="eastAsia" w:asciiTheme="minorEastAsia" w:hAnsiTheme="minorEastAsia" w:eastAsiaTheme="minorEastAsia"/>
          <w:color w:val="auto"/>
          <w:sz w:val="18"/>
          <w:szCs w:val="18"/>
        </w:rPr>
        <w:t>本产品的认购价格为每份理财份额人民币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pStyle w:val="16"/>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5</w:t>
      </w:r>
      <w:r>
        <w:rPr>
          <w:rFonts w:hint="eastAsia" w:asciiTheme="minorEastAsia" w:hAnsiTheme="minorEastAsia" w:eastAsiaTheme="minorEastAsia"/>
          <w:b/>
          <w:color w:val="auto"/>
          <w:sz w:val="18"/>
          <w:szCs w:val="18"/>
        </w:rPr>
        <w:t>.认购的费用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6.认购份额的计算</w:t>
      </w:r>
      <w:r>
        <w:rPr>
          <w:rFonts w:hint="eastAsia" w:asciiTheme="minorEastAsia" w:hAnsiTheme="minorEastAsia"/>
          <w:b/>
          <w:bCs/>
          <w:sz w:val="18"/>
          <w:szCs w:val="18"/>
        </w:rPr>
        <w:t xml:space="preserve"> </w:t>
      </w:r>
    </w:p>
    <w:p>
      <w:pPr>
        <w:pStyle w:val="16"/>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本产品的认购金额包括认购费用和净认购金额。认购份额的计算公式为：</w:t>
      </w:r>
    </w:p>
    <w:p>
      <w:pPr>
        <w:pStyle w:val="16"/>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净认购金额</w:t>
      </w:r>
      <w:r>
        <w:rPr>
          <w:rFonts w:asciiTheme="minorEastAsia" w:hAnsiTheme="minorEastAsia"/>
          <w:color w:val="auto"/>
          <w:sz w:val="18"/>
          <w:szCs w:val="18"/>
        </w:rPr>
        <w:t>=认购金额/（1+认购费率）</w:t>
      </w:r>
    </w:p>
    <w:p>
      <w:pPr>
        <w:pStyle w:val="16"/>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认购费用</w:t>
      </w:r>
      <w:r>
        <w:rPr>
          <w:rFonts w:asciiTheme="minorEastAsia" w:hAnsiTheme="minorEastAsia"/>
          <w:color w:val="auto"/>
          <w:sz w:val="18"/>
          <w:szCs w:val="18"/>
        </w:rPr>
        <w:t>=认购金额－净认购金额</w:t>
      </w:r>
    </w:p>
    <w:p>
      <w:pPr>
        <w:pStyle w:val="16"/>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认购份额</w:t>
      </w:r>
      <w:r>
        <w:rPr>
          <w:rFonts w:asciiTheme="minorEastAsia" w:hAnsiTheme="minorEastAsia"/>
          <w:color w:val="auto"/>
          <w:sz w:val="18"/>
          <w:szCs w:val="18"/>
        </w:rPr>
        <w:t>=净认购金额/</w:t>
      </w:r>
      <w:r>
        <w:rPr>
          <w:rFonts w:asciiTheme="minorEastAsia" w:hAnsiTheme="minorEastAsia" w:eastAsiaTheme="minorEastAsia"/>
          <w:color w:val="auto"/>
          <w:sz w:val="18"/>
          <w:szCs w:val="18"/>
        </w:rPr>
        <w:t>1.00</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上述计算结果均按四舍五入方法，保留到小数点后</w:t>
      </w:r>
      <w:r>
        <w:rPr>
          <w:rFonts w:asciiTheme="minorEastAsia" w:hAnsiTheme="minorEastAsia"/>
          <w:bCs/>
          <w:color w:val="auto"/>
          <w:sz w:val="18"/>
          <w:szCs w:val="18"/>
        </w:rPr>
        <w:t>2</w:t>
      </w:r>
      <w:r>
        <w:rPr>
          <w:rFonts w:hint="eastAsia" w:asciiTheme="minorEastAsia" w:hAnsiTheme="minorEastAsia"/>
          <w:bCs/>
          <w:color w:val="auto"/>
          <w:sz w:val="18"/>
          <w:szCs w:val="18"/>
        </w:rPr>
        <w:t>位，由此产生的收益或损失由理财产品承担。</w:t>
      </w:r>
    </w:p>
    <w:p>
      <w:pPr>
        <w:pStyle w:val="16"/>
        <w:spacing w:line="360" w:lineRule="auto"/>
        <w:ind w:firstLine="361" w:firstLineChars="200"/>
        <w:rPr>
          <w:rFonts w:asciiTheme="majorEastAsia" w:hAnsiTheme="majorEastAsia" w:eastAsiaTheme="majorEastAsia"/>
          <w:b/>
          <w:color w:val="auto"/>
          <w:sz w:val="18"/>
          <w:szCs w:val="18"/>
        </w:rPr>
      </w:pPr>
      <w:r>
        <w:rPr>
          <w:rFonts w:asciiTheme="majorEastAsia" w:hAnsiTheme="majorEastAsia" w:eastAsiaTheme="majorEastAsia"/>
          <w:b/>
          <w:color w:val="auto"/>
          <w:sz w:val="18"/>
          <w:szCs w:val="18"/>
        </w:rPr>
        <w:t>7</w:t>
      </w:r>
      <w:r>
        <w:rPr>
          <w:rFonts w:hint="eastAsia" w:asciiTheme="majorEastAsia" w:hAnsiTheme="majorEastAsia" w:eastAsiaTheme="majorEastAsia"/>
          <w:b/>
          <w:color w:val="auto"/>
          <w:sz w:val="18"/>
          <w:szCs w:val="18"/>
        </w:rPr>
        <w:t>.认购的起点和递增金额</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16"/>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8.认购的数量限制</w:t>
      </w:r>
    </w:p>
    <w:p>
      <w:pPr>
        <w:spacing w:line="360" w:lineRule="auto"/>
        <w:ind w:firstLine="360" w:firstLineChars="200"/>
        <w:rPr>
          <w:rFonts w:asciiTheme="minorEastAsia" w:hAnsiTheme="minorEastAsia" w:eastAsiaTheme="minorEastAsia"/>
          <w:sz w:val="18"/>
          <w:szCs w:val="18"/>
        </w:rPr>
      </w:pPr>
      <w:r>
        <w:rPr>
          <w:rFonts w:hint="eastAsia" w:asciiTheme="minorEastAsia" w:hAnsiTheme="minorEastAsia" w:eastAsiaTheme="minorEastAsia"/>
          <w:sz w:val="18"/>
          <w:szCs w:val="18"/>
        </w:rPr>
        <w:t>详见《产品说明书》“第二条 理财产品基本情况”。</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9.募集期认购资金利息的处理</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投资者认购资金在产品认购期内产生的利息不作为理财资金进入运作，不计算理财利益。</w:t>
      </w:r>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inorEastAsia" w:hAnsiTheme="minorEastAsia" w:eastAsiaTheme="minorEastAsia"/>
          <w:b/>
          <w:color w:val="auto"/>
          <w:sz w:val="18"/>
          <w:szCs w:val="18"/>
        </w:rPr>
        <w:t>（二）认购</w:t>
      </w:r>
      <w:r>
        <w:rPr>
          <w:rFonts w:hint="eastAsia" w:asciiTheme="majorEastAsia" w:hAnsiTheme="majorEastAsia" w:eastAsiaTheme="majorEastAsia"/>
          <w:b/>
          <w:color w:val="auto"/>
          <w:sz w:val="18"/>
          <w:szCs w:val="18"/>
        </w:rPr>
        <w:t>的原则</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金额认购</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原则，即认购以金额申请。</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.认购</w:t>
      </w:r>
      <w:r>
        <w:rPr>
          <w:rFonts w:asciiTheme="majorEastAsia" w:hAnsiTheme="majorEastAsia" w:eastAsiaTheme="majorEastAsia"/>
          <w:color w:val="auto"/>
          <w:sz w:val="18"/>
          <w:szCs w:val="18"/>
        </w:rPr>
        <w:t>申请可以在对应认购期截止前撤销，最终申</w:t>
      </w:r>
      <w:r>
        <w:rPr>
          <w:rFonts w:hint="eastAsia" w:asciiTheme="majorEastAsia" w:hAnsiTheme="majorEastAsia" w:eastAsiaTheme="majorEastAsia"/>
          <w:color w:val="auto"/>
          <w:sz w:val="18"/>
          <w:szCs w:val="18"/>
        </w:rPr>
        <w:t>请</w:t>
      </w:r>
      <w:r>
        <w:rPr>
          <w:rFonts w:asciiTheme="majorEastAsia" w:hAnsiTheme="majorEastAsia" w:eastAsiaTheme="majorEastAsia"/>
          <w:color w:val="auto"/>
          <w:sz w:val="18"/>
          <w:szCs w:val="18"/>
        </w:rPr>
        <w:t>确认情况以投资者在</w:t>
      </w:r>
      <w:r>
        <w:rPr>
          <w:rFonts w:hint="eastAsia" w:asciiTheme="majorEastAsia" w:hAnsiTheme="majorEastAsia" w:eastAsiaTheme="majorEastAsia"/>
          <w:color w:val="auto"/>
          <w:sz w:val="18"/>
          <w:szCs w:val="18"/>
        </w:rPr>
        <w:t>销售机构线下渠道</w:t>
      </w:r>
      <w:r>
        <w:rPr>
          <w:rFonts w:asciiTheme="majorEastAsia" w:hAnsiTheme="majorEastAsia" w:eastAsiaTheme="majorEastAsia"/>
          <w:color w:val="auto"/>
          <w:sz w:val="18"/>
          <w:szCs w:val="18"/>
        </w:rPr>
        <w:t>或线上渠道确认的结果为准。</w:t>
      </w:r>
    </w:p>
    <w:p>
      <w:pPr>
        <w:spacing w:line="360" w:lineRule="auto"/>
        <w:ind w:firstLine="271" w:firstLineChars="150"/>
        <w:rPr>
          <w:rFonts w:asciiTheme="minorEastAsia" w:hAnsiTheme="minorEastAsia" w:eastAsiaTheme="minorEastAsia"/>
          <w:b/>
          <w:sz w:val="18"/>
          <w:szCs w:val="18"/>
        </w:rPr>
      </w:pPr>
      <w:r>
        <w:rPr>
          <w:rFonts w:hint="eastAsia" w:asciiTheme="minorEastAsia" w:hAnsiTheme="minorEastAsia" w:eastAsiaTheme="minorEastAsia"/>
          <w:b/>
          <w:sz w:val="18"/>
          <w:szCs w:val="18"/>
        </w:rPr>
        <w:t>（三）拒绝或暂停认购的情形</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发生下列情况时，产品管理人可拒绝或暂停接受投资者的认购</w:t>
      </w:r>
      <w:r>
        <w:rPr>
          <w:rFonts w:asciiTheme="majorEastAsia" w:hAnsiTheme="majorEastAsia" w:eastAsiaTheme="majorEastAsia"/>
          <w:color w:val="auto"/>
          <w:sz w:val="18"/>
          <w:szCs w:val="18"/>
        </w:rPr>
        <w:t>申请：</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.因不可抗力导致理财产品无法正常运作。</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.产品管理人和产品托管人的技术保障等异常情况导致理财销售系统或会计系统无法正常运行。</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.法律法规规定或监管机构认定的其他情形。</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如果投资者的认购申请被拒绝，被拒绝的认购款项将退还给投资者。在暂停认购的情况消除时，产品管理人应及时恢复认购业务的办理。</w:t>
      </w:r>
    </w:p>
    <w:p>
      <w:pPr>
        <w:pStyle w:val="16"/>
        <w:spacing w:line="360" w:lineRule="auto"/>
        <w:ind w:left="210" w:leftChars="100" w:firstLine="181" w:firstLineChars="100"/>
        <w:rPr>
          <w:rFonts w:asciiTheme="majorEastAsia" w:hAnsiTheme="majorEastAsia" w:eastAsiaTheme="majorEastAsia"/>
          <w:color w:val="auto"/>
          <w:sz w:val="18"/>
          <w:szCs w:val="18"/>
        </w:rPr>
      </w:pPr>
      <w:r>
        <w:rPr>
          <w:rFonts w:hint="eastAsia" w:asciiTheme="majorEastAsia" w:hAnsiTheme="majorEastAsia" w:eastAsiaTheme="majorEastAsia"/>
          <w:b/>
          <w:color w:val="auto"/>
          <w:sz w:val="18"/>
          <w:szCs w:val="18"/>
        </w:rPr>
        <w:t>（四）日期遇非工作日的调整</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前述日期（包括但不限于认购期及</w:t>
      </w:r>
      <w:r>
        <w:rPr>
          <w:rFonts w:asciiTheme="majorEastAsia" w:hAnsiTheme="majorEastAsia" w:eastAsiaTheme="majorEastAsia"/>
          <w:color w:val="auto"/>
          <w:sz w:val="18"/>
          <w:szCs w:val="18"/>
        </w:rPr>
        <w:t>认购确认日</w:t>
      </w:r>
      <w:r>
        <w:rPr>
          <w:rFonts w:hint="eastAsia" w:asciiTheme="majorEastAsia" w:hAnsiTheme="majorEastAsia" w:eastAsiaTheme="majorEastAsia"/>
          <w:color w:val="auto"/>
          <w:sz w:val="18"/>
          <w:szCs w:val="18"/>
        </w:rPr>
        <w:t>等）如遇非工作日则产品管理人可做相应调整。产品管理人对上述日期保留变更的权利，调整后的日期以产品管理人发布的公告中所载明的日期为准。</w:t>
      </w:r>
    </w:p>
    <w:p>
      <w:pPr>
        <w:pStyle w:val="16"/>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（五）投资者持有理财份额的限额和理财产品总规模限额</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产品管理人有权决定理财份额持有人持有本产品的最高限额、最低限额和本产品的总规模限额。</w:t>
      </w:r>
    </w:p>
    <w:p>
      <w:pPr>
        <w:spacing w:line="360" w:lineRule="auto"/>
        <w:ind w:firstLine="360" w:firstLineChars="200"/>
        <w:rPr>
          <w:rFonts w:asciiTheme="minorEastAsia" w:hAnsiTheme="minorEastAsia"/>
          <w:bCs/>
          <w:sz w:val="18"/>
          <w:szCs w:val="18"/>
        </w:rPr>
      </w:pPr>
    </w:p>
    <w:p>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p>
      <w:pPr>
        <w:pStyle w:val="2"/>
        <w:spacing w:before="0" w:after="0" w:line="360" w:lineRule="auto"/>
        <w:jc w:val="center"/>
        <w:rPr>
          <w:rFonts w:ascii="Times New Roman"/>
          <w:sz w:val="30"/>
        </w:rPr>
      </w:pPr>
      <w:bookmarkStart w:id="78" w:name="_Toc28773"/>
      <w:bookmarkStart w:id="79" w:name="_Toc79154667"/>
      <w:bookmarkStart w:id="80" w:name="_Toc176189281"/>
      <w:r>
        <w:rPr>
          <w:rFonts w:hint="eastAsia" w:ascii="Times New Roman"/>
          <w:sz w:val="30"/>
        </w:rPr>
        <w:t xml:space="preserve">第四条 </w:t>
      </w:r>
      <w:r>
        <w:rPr>
          <w:rFonts w:ascii="Times New Roman"/>
          <w:sz w:val="30"/>
        </w:rPr>
        <w:t xml:space="preserve"> </w:t>
      </w:r>
      <w:r>
        <w:rPr>
          <w:rFonts w:hint="eastAsia" w:ascii="Times New Roman"/>
          <w:sz w:val="30"/>
        </w:rPr>
        <w:t>理财产品的申购与赎回</w:t>
      </w:r>
      <w:bookmarkEnd w:id="78"/>
      <w:bookmarkEnd w:id="79"/>
      <w:bookmarkEnd w:id="80"/>
    </w:p>
    <w:bookmarkEnd w:id="77"/>
    <w:p>
      <w:pPr>
        <w:pStyle w:val="16"/>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（一）理财产品的申购</w:t>
      </w:r>
    </w:p>
    <w:p>
      <w:pPr>
        <w:pStyle w:val="16"/>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1.</w:t>
      </w:r>
      <w:r>
        <w:rPr>
          <w:rFonts w:hint="eastAsia" w:asciiTheme="minorEastAsia" w:hAnsiTheme="minorEastAsia"/>
          <w:b/>
          <w:bCs/>
          <w:color w:val="auto"/>
          <w:sz w:val="18"/>
          <w:szCs w:val="18"/>
        </w:rPr>
        <w:t>申购的时间</w:t>
      </w:r>
    </w:p>
    <w:p>
      <w:pPr>
        <w:pStyle w:val="16"/>
        <w:spacing w:line="360" w:lineRule="auto"/>
        <w:ind w:firstLine="360" w:firstLineChars="200"/>
        <w:rPr>
          <w:rFonts w:asciiTheme="majorEastAsia" w:hAnsiTheme="majorEastAsia"/>
          <w:sz w:val="18"/>
        </w:rPr>
      </w:pPr>
      <w:r>
        <w:rPr>
          <w:rFonts w:hint="eastAsia" w:asciiTheme="majorEastAsia" w:hAnsiTheme="majorEastAsia"/>
          <w:color w:val="auto"/>
          <w:sz w:val="18"/>
        </w:rPr>
        <w:t>本产品设置开放期，</w:t>
      </w:r>
      <w:r>
        <w:rPr>
          <w:rFonts w:hint="eastAsia" w:asciiTheme="majorEastAsia" w:hAnsiTheme="majorEastAsia" w:eastAsiaTheme="majorEastAsia"/>
          <w:bCs/>
          <w:color w:val="auto"/>
          <w:sz w:val="18"/>
          <w:szCs w:val="18"/>
        </w:rPr>
        <w:t>具体的申购时间以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bCs/>
          <w:color w:val="auto"/>
          <w:sz w:val="18"/>
          <w:szCs w:val="18"/>
        </w:rPr>
        <w:t>为准。</w:t>
      </w:r>
      <w:r>
        <w:rPr>
          <w:rFonts w:hint="eastAsia" w:asciiTheme="minorEastAsia" w:hAnsiTheme="minorEastAsia"/>
          <w:sz w:val="18"/>
          <w:szCs w:val="18"/>
        </w:rPr>
        <w:t>投资者可于开放日内申购，产品管理人公告暂停开放的日期除外</w:t>
      </w:r>
      <w:r>
        <w:rPr>
          <w:rFonts w:hint="eastAsia" w:asciiTheme="majorEastAsia" w:hAnsiTheme="majorEastAsia" w:eastAsiaTheme="majorEastAsia"/>
          <w:bCs/>
          <w:sz w:val="18"/>
          <w:szCs w:val="18"/>
        </w:rPr>
        <w:t>。</w:t>
      </w:r>
    </w:p>
    <w:p>
      <w:pPr>
        <w:pStyle w:val="16"/>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2.申购的方式</w:t>
      </w:r>
    </w:p>
    <w:p>
      <w:pPr>
        <w:pStyle w:val="16"/>
        <w:spacing w:line="360" w:lineRule="auto"/>
        <w:ind w:firstLine="360" w:firstLineChars="200"/>
        <w:rPr>
          <w:rFonts w:asciiTheme="minorEastAsia" w:hAnsiTheme="minorEastAsia"/>
          <w:bCs/>
          <w:color w:val="auto"/>
          <w:sz w:val="18"/>
          <w:szCs w:val="18"/>
        </w:rPr>
      </w:pPr>
      <w:r>
        <w:rPr>
          <w:rFonts w:asciiTheme="minorEastAsia" w:hAnsiTheme="minorEastAsia"/>
          <w:bCs/>
          <w:color w:val="auto"/>
          <w:sz w:val="18"/>
          <w:szCs w:val="18"/>
        </w:rPr>
        <w:t>投资者可通过</w:t>
      </w:r>
      <w:r>
        <w:rPr>
          <w:rFonts w:hint="eastAsia" w:asciiTheme="minorEastAsia" w:hAnsiTheme="minorEastAsia"/>
          <w:bCs/>
          <w:color w:val="auto"/>
          <w:sz w:val="18"/>
          <w:szCs w:val="18"/>
        </w:rPr>
        <w:t>销售机构的销售</w:t>
      </w:r>
      <w:r>
        <w:rPr>
          <w:rFonts w:asciiTheme="minorEastAsia" w:hAnsiTheme="minorEastAsia"/>
          <w:bCs/>
          <w:color w:val="auto"/>
          <w:sz w:val="18"/>
          <w:szCs w:val="18"/>
        </w:rPr>
        <w:t>渠道</w:t>
      </w:r>
      <w:r>
        <w:rPr>
          <w:rFonts w:hint="eastAsia" w:asciiTheme="minorEastAsia" w:hAnsiTheme="minorEastAsia"/>
          <w:bCs/>
          <w:color w:val="auto"/>
          <w:sz w:val="18"/>
          <w:szCs w:val="18"/>
        </w:rPr>
        <w:t>申购。不同销售机构</w:t>
      </w:r>
      <w:r>
        <w:rPr>
          <w:rFonts w:asciiTheme="minorEastAsia" w:hAnsiTheme="minorEastAsia"/>
          <w:bCs/>
          <w:color w:val="auto"/>
          <w:sz w:val="18"/>
          <w:szCs w:val="18"/>
        </w:rPr>
        <w:t>的销售</w:t>
      </w:r>
      <w:r>
        <w:rPr>
          <w:rFonts w:hint="eastAsia" w:asciiTheme="minorEastAsia" w:hAnsiTheme="minorEastAsia"/>
          <w:bCs/>
          <w:color w:val="auto"/>
          <w:sz w:val="18"/>
          <w:szCs w:val="18"/>
        </w:rPr>
        <w:t>渠道，申购确认时效可能存在</w:t>
      </w:r>
      <w:r>
        <w:rPr>
          <w:rFonts w:asciiTheme="minorEastAsia" w:hAnsiTheme="minorEastAsia"/>
          <w:bCs/>
          <w:color w:val="auto"/>
          <w:sz w:val="18"/>
          <w:szCs w:val="18"/>
        </w:rPr>
        <w:t>差异</w:t>
      </w:r>
      <w:r>
        <w:rPr>
          <w:rFonts w:hint="eastAsia" w:asciiTheme="minorEastAsia" w:hAnsiTheme="minorEastAsia"/>
          <w:bCs/>
          <w:color w:val="auto"/>
          <w:sz w:val="18"/>
          <w:szCs w:val="18"/>
        </w:rPr>
        <w:t>。</w:t>
      </w:r>
    </w:p>
    <w:p>
      <w:pPr>
        <w:pStyle w:val="16"/>
        <w:spacing w:line="360" w:lineRule="auto"/>
        <w:ind w:firstLine="360" w:firstLineChars="200"/>
        <w:rPr>
          <w:rFonts w:asciiTheme="minorEastAsia" w:hAnsiTheme="minorEastAsia"/>
          <w:bCs/>
          <w:color w:val="auto"/>
          <w:sz w:val="18"/>
          <w:szCs w:val="18"/>
        </w:rPr>
      </w:pPr>
      <w:r>
        <w:rPr>
          <w:rFonts w:asciiTheme="minorEastAsia" w:hAnsiTheme="minorEastAsia"/>
          <w:bCs/>
          <w:color w:val="auto"/>
          <w:sz w:val="18"/>
          <w:szCs w:val="18"/>
        </w:rPr>
        <w:t>投资者通过</w:t>
      </w:r>
      <w:r>
        <w:rPr>
          <w:rFonts w:hint="eastAsia" w:asciiTheme="minorEastAsia" w:hAnsiTheme="minorEastAsia"/>
          <w:bCs/>
          <w:color w:val="auto"/>
          <w:sz w:val="18"/>
          <w:szCs w:val="18"/>
        </w:rPr>
        <w:t>销售机构线下</w:t>
      </w:r>
      <w:r>
        <w:rPr>
          <w:rFonts w:asciiTheme="minorEastAsia" w:hAnsiTheme="minorEastAsia"/>
          <w:bCs/>
          <w:color w:val="auto"/>
          <w:sz w:val="18"/>
          <w:szCs w:val="18"/>
        </w:rPr>
        <w:t>渠道申购</w:t>
      </w:r>
      <w:r>
        <w:rPr>
          <w:rFonts w:hint="eastAsia" w:asciiTheme="minorEastAsia" w:hAnsiTheme="minorEastAsia"/>
          <w:bCs/>
          <w:color w:val="auto"/>
          <w:sz w:val="18"/>
          <w:szCs w:val="18"/>
        </w:rPr>
        <w:t>的，应签署有关理财产品销售文件。</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投资者通过销售机构线上渠道申购的，应根据销售机构线上渠道的具体要求执行。</w:t>
      </w:r>
    </w:p>
    <w:p>
      <w:pPr>
        <w:pStyle w:val="16"/>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申购的确认</w:t>
      </w:r>
    </w:p>
    <w:p>
      <w:pPr>
        <w:spacing w:line="360" w:lineRule="auto"/>
        <w:ind w:firstLine="360" w:firstLineChars="200"/>
        <w:rPr>
          <w:rFonts w:asciiTheme="minorEastAsia" w:hAnsiTheme="minorEastAsia"/>
          <w:bCs/>
          <w:sz w:val="18"/>
          <w:szCs w:val="18"/>
        </w:rPr>
      </w:pPr>
      <w:r>
        <w:rPr>
          <w:rFonts w:hint="eastAsia" w:asciiTheme="minorEastAsia" w:hAnsiTheme="minorEastAsia"/>
          <w:sz w:val="18"/>
          <w:szCs w:val="18"/>
        </w:rPr>
        <w:t>详见《产品说明书》“第二条 理财产品基本情况”</w:t>
      </w:r>
      <w:r>
        <w:rPr>
          <w:rFonts w:hint="eastAsia"/>
          <w:bCs/>
          <w:sz w:val="18"/>
          <w:szCs w:val="18"/>
        </w:rPr>
        <w:t>。</w:t>
      </w:r>
    </w:p>
    <w:p>
      <w:pPr>
        <w:pStyle w:val="16"/>
        <w:spacing w:line="360" w:lineRule="auto"/>
        <w:ind w:firstLine="360" w:firstLineChars="200"/>
        <w:rPr>
          <w:rFonts w:asciiTheme="minorEastAsia" w:hAnsiTheme="minorEastAsia"/>
          <w:color w:val="auto"/>
          <w:sz w:val="18"/>
        </w:rPr>
      </w:pPr>
      <w:r>
        <w:rPr>
          <w:rFonts w:hint="eastAsia" w:asciiTheme="majorEastAsia" w:hAnsiTheme="majorEastAsia" w:eastAsiaTheme="majorEastAsia"/>
          <w:color w:val="auto"/>
          <w:sz w:val="18"/>
          <w:szCs w:val="18"/>
        </w:rPr>
        <w:t>提交申购申请并不代表申购成功，产品管理人将在申购确认日确认投资者是否申购成功，是否成功以管理人的确认结果为准</w:t>
      </w:r>
      <w:r>
        <w:rPr>
          <w:rFonts w:hint="eastAsia" w:asciiTheme="minorEastAsia" w:hAnsiTheme="minorEastAsia" w:eastAsiaTheme="minorEastAsia"/>
          <w:color w:val="auto"/>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.申购</w:t>
      </w:r>
      <w:r>
        <w:rPr>
          <w:rFonts w:asciiTheme="minorEastAsia" w:hAnsiTheme="minorEastAsia"/>
          <w:b/>
          <w:bCs/>
          <w:sz w:val="18"/>
          <w:szCs w:val="18"/>
        </w:rPr>
        <w:t>的价格</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inorEastAsia" w:hAnsiTheme="minorEastAsia" w:eastAsiaTheme="minorEastAsia"/>
          <w:color w:val="auto"/>
          <w:sz w:val="18"/>
          <w:szCs w:val="18"/>
        </w:rPr>
        <w:t>本产品的申购价格为每份理财份额人民币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5.</w:t>
      </w:r>
      <w:r>
        <w:rPr>
          <w:rFonts w:hint="eastAsia" w:asciiTheme="minorEastAsia" w:hAnsiTheme="minorEastAsia"/>
          <w:b/>
          <w:bCs/>
          <w:sz w:val="18"/>
          <w:szCs w:val="18"/>
        </w:rPr>
        <w:t>申购的</w:t>
      </w:r>
      <w:r>
        <w:rPr>
          <w:rFonts w:asciiTheme="minorEastAsia" w:hAnsiTheme="minorEastAsia"/>
          <w:b/>
          <w:bCs/>
          <w:sz w:val="18"/>
          <w:szCs w:val="18"/>
        </w:rPr>
        <w:t>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pStyle w:val="16"/>
        <w:spacing w:line="360" w:lineRule="auto"/>
        <w:ind w:firstLine="361" w:firstLineChars="200"/>
        <w:rPr>
          <w:rFonts w:asciiTheme="majorEastAsia" w:hAnsiTheme="majorEastAsia" w:eastAsiaTheme="majorEastAsia"/>
          <w:b/>
          <w:color w:val="auto"/>
          <w:sz w:val="18"/>
          <w:szCs w:val="18"/>
        </w:rPr>
      </w:pPr>
      <w:r>
        <w:rPr>
          <w:rFonts w:asciiTheme="minorEastAsia" w:hAnsiTheme="minorEastAsia"/>
          <w:b/>
          <w:bCs/>
          <w:color w:val="auto"/>
          <w:sz w:val="18"/>
          <w:szCs w:val="18"/>
        </w:rPr>
        <w:t>6.</w:t>
      </w:r>
      <w:r>
        <w:rPr>
          <w:rFonts w:hint="eastAsia" w:asciiTheme="minorEastAsia" w:hAnsiTheme="minorEastAsia"/>
          <w:b/>
          <w:bCs/>
          <w:sz w:val="18"/>
          <w:szCs w:val="18"/>
        </w:rPr>
        <w:t>申购份额计算</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本产品的申购金额包括申购费用和净申购金额。申购份额的计算公式为：</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净申购金额=申购金额/（1+申购费率）</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申购费用=申购金额－净申购金额</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申购份额=净申购金额/</w:t>
      </w:r>
      <w:r>
        <w:rPr>
          <w:rFonts w:asciiTheme="minorEastAsia" w:hAnsiTheme="minorEastAsia" w:eastAsiaTheme="minorEastAsia"/>
          <w:color w:val="auto"/>
          <w:sz w:val="18"/>
          <w:szCs w:val="18"/>
        </w:rPr>
        <w:t>1.00</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上述计算结果均按四舍五入方法，保留到小数点后2位，由此产生的收益或损失由理财产品承担。</w:t>
      </w:r>
    </w:p>
    <w:p>
      <w:pPr>
        <w:pStyle w:val="16"/>
        <w:spacing w:line="360" w:lineRule="auto"/>
        <w:ind w:firstLine="361" w:firstLineChars="200"/>
        <w:rPr>
          <w:rFonts w:asciiTheme="majorEastAsia" w:hAnsiTheme="majorEastAsia" w:eastAsiaTheme="majorEastAsia"/>
          <w:b/>
          <w:color w:val="auto"/>
          <w:sz w:val="18"/>
          <w:szCs w:val="18"/>
        </w:rPr>
      </w:pPr>
      <w:r>
        <w:rPr>
          <w:rFonts w:asciiTheme="majorEastAsia" w:hAnsiTheme="majorEastAsia" w:eastAsiaTheme="majorEastAsia"/>
          <w:b/>
          <w:color w:val="auto"/>
          <w:sz w:val="18"/>
          <w:szCs w:val="18"/>
        </w:rPr>
        <w:t>7.</w:t>
      </w:r>
      <w:r>
        <w:rPr>
          <w:rFonts w:hint="eastAsia" w:asciiTheme="majorEastAsia" w:hAnsiTheme="majorEastAsia" w:eastAsiaTheme="majorEastAsia"/>
          <w:b/>
          <w:color w:val="auto"/>
          <w:sz w:val="18"/>
          <w:szCs w:val="18"/>
        </w:rPr>
        <w:t>申购的起点和递增金额</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16"/>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w:t>
      </w:r>
      <w:r>
        <w:rPr>
          <w:rFonts w:hint="eastAsia" w:asciiTheme="minorEastAsia" w:hAnsiTheme="minorEastAsia" w:eastAsiaTheme="minorEastAsia"/>
          <w:b/>
          <w:color w:val="auto"/>
          <w:sz w:val="18"/>
          <w:szCs w:val="18"/>
        </w:rPr>
        <w:t>申购</w:t>
      </w:r>
      <w:r>
        <w:rPr>
          <w:rFonts w:asciiTheme="minorEastAsia" w:hAnsiTheme="minorEastAsia" w:eastAsiaTheme="minorEastAsia"/>
          <w:b/>
          <w:color w:val="auto"/>
          <w:sz w:val="18"/>
          <w:szCs w:val="18"/>
        </w:rPr>
        <w:t>的数量限制</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（二）理财产品的赎回</w:t>
      </w:r>
    </w:p>
    <w:p>
      <w:pPr>
        <w:pStyle w:val="16"/>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1.</w:t>
      </w:r>
      <w:r>
        <w:rPr>
          <w:rFonts w:hint="eastAsia" w:asciiTheme="minorEastAsia" w:hAnsiTheme="minorEastAsia"/>
          <w:b/>
          <w:bCs/>
          <w:color w:val="auto"/>
          <w:sz w:val="18"/>
          <w:szCs w:val="18"/>
        </w:rPr>
        <w:t>赎回的时间</w:t>
      </w:r>
    </w:p>
    <w:p>
      <w:pPr>
        <w:pStyle w:val="16"/>
        <w:spacing w:line="360" w:lineRule="auto"/>
        <w:ind w:firstLine="360" w:firstLineChars="200"/>
        <w:rPr>
          <w:rFonts w:asciiTheme="majorEastAsia" w:hAnsiTheme="majorEastAsia"/>
          <w:color w:val="auto"/>
          <w:sz w:val="18"/>
        </w:rPr>
      </w:pPr>
      <w:r>
        <w:rPr>
          <w:rFonts w:hint="eastAsia" w:asciiTheme="majorEastAsia" w:hAnsiTheme="majorEastAsia"/>
          <w:color w:val="auto"/>
          <w:sz w:val="18"/>
        </w:rPr>
        <w:t>本产品设置开放期，</w:t>
      </w:r>
      <w:r>
        <w:rPr>
          <w:rFonts w:hint="eastAsia" w:asciiTheme="majorEastAsia" w:hAnsiTheme="majorEastAsia" w:eastAsiaTheme="majorEastAsia"/>
          <w:bCs/>
          <w:color w:val="auto"/>
          <w:sz w:val="18"/>
          <w:szCs w:val="18"/>
        </w:rPr>
        <w:t>具体的赎回时间以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bCs/>
          <w:color w:val="auto"/>
          <w:sz w:val="18"/>
          <w:szCs w:val="18"/>
        </w:rPr>
        <w:t>为准。</w:t>
      </w:r>
      <w:r>
        <w:rPr>
          <w:rFonts w:hint="eastAsia" w:asciiTheme="minorEastAsia" w:hAnsiTheme="minorEastAsia"/>
          <w:sz w:val="18"/>
          <w:szCs w:val="18"/>
        </w:rPr>
        <w:t>投资者可于开放日内赎回，产品管理人公告暂停开放的日期除外</w:t>
      </w:r>
      <w:r>
        <w:rPr>
          <w:rFonts w:hint="eastAsia" w:asciiTheme="majorEastAsia" w:hAnsiTheme="majorEastAsia" w:eastAsiaTheme="majorEastAsia"/>
          <w:bCs/>
          <w:sz w:val="18"/>
          <w:szCs w:val="18"/>
        </w:rPr>
        <w:t>。</w:t>
      </w:r>
    </w:p>
    <w:p>
      <w:pPr>
        <w:pStyle w:val="16"/>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2.赎回的方式</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投资者可通过</w:t>
      </w:r>
      <w:r>
        <w:rPr>
          <w:rFonts w:hint="eastAsia" w:asciiTheme="majorEastAsia" w:hAnsiTheme="majorEastAsia" w:eastAsiaTheme="majorEastAsia"/>
          <w:color w:val="auto"/>
          <w:sz w:val="18"/>
          <w:szCs w:val="18"/>
        </w:rPr>
        <w:t>销售机构的销售</w:t>
      </w:r>
      <w:r>
        <w:rPr>
          <w:rFonts w:asciiTheme="majorEastAsia" w:hAnsiTheme="majorEastAsia" w:eastAsiaTheme="majorEastAsia"/>
          <w:color w:val="auto"/>
          <w:sz w:val="18"/>
          <w:szCs w:val="18"/>
        </w:rPr>
        <w:t>渠道</w:t>
      </w:r>
      <w:r>
        <w:rPr>
          <w:rFonts w:hint="eastAsia" w:asciiTheme="majorEastAsia" w:hAnsiTheme="majorEastAsia" w:eastAsiaTheme="majorEastAsia"/>
          <w:color w:val="auto"/>
          <w:sz w:val="18"/>
          <w:szCs w:val="18"/>
        </w:rPr>
        <w:t>赎回</w:t>
      </w:r>
      <w:r>
        <w:rPr>
          <w:rFonts w:asciiTheme="majorEastAsia" w:hAnsiTheme="majorEastAsia" w:eastAsiaTheme="majorEastAsia"/>
          <w:color w:val="auto"/>
          <w:sz w:val="18"/>
          <w:szCs w:val="18"/>
        </w:rPr>
        <w:t>。</w:t>
      </w:r>
      <w:r>
        <w:rPr>
          <w:rFonts w:hint="eastAsia" w:asciiTheme="minorEastAsia" w:hAnsiTheme="minorEastAsia"/>
          <w:bCs/>
          <w:color w:val="auto"/>
          <w:sz w:val="18"/>
          <w:szCs w:val="18"/>
        </w:rPr>
        <w:t>不同销售机构</w:t>
      </w:r>
      <w:r>
        <w:rPr>
          <w:rFonts w:asciiTheme="minorEastAsia" w:hAnsiTheme="minorEastAsia"/>
          <w:bCs/>
          <w:color w:val="auto"/>
          <w:sz w:val="18"/>
          <w:szCs w:val="18"/>
        </w:rPr>
        <w:t>的销售</w:t>
      </w:r>
      <w:r>
        <w:rPr>
          <w:rFonts w:hint="eastAsia" w:asciiTheme="minorEastAsia" w:hAnsiTheme="minorEastAsia"/>
          <w:bCs/>
          <w:color w:val="auto"/>
          <w:sz w:val="18"/>
          <w:szCs w:val="18"/>
        </w:rPr>
        <w:t>渠道，赎回确认时效可能存在</w:t>
      </w:r>
      <w:r>
        <w:rPr>
          <w:rFonts w:asciiTheme="minorEastAsia" w:hAnsiTheme="minorEastAsia"/>
          <w:bCs/>
          <w:color w:val="auto"/>
          <w:sz w:val="18"/>
          <w:szCs w:val="18"/>
        </w:rPr>
        <w:t>差异</w:t>
      </w:r>
      <w:r>
        <w:rPr>
          <w:rFonts w:hint="eastAsia" w:asciiTheme="minorEastAsia" w:hAnsiTheme="minorEastAsia"/>
          <w:bCs/>
          <w:color w:val="auto"/>
          <w:sz w:val="18"/>
          <w:szCs w:val="18"/>
        </w:rPr>
        <w:t>。</w:t>
      </w:r>
    </w:p>
    <w:p>
      <w:pPr>
        <w:pStyle w:val="16"/>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销售机构线下</w:t>
      </w:r>
      <w:r>
        <w:rPr>
          <w:rFonts w:asciiTheme="minorEastAsia" w:hAnsiTheme="minorEastAsia" w:eastAsiaTheme="minorEastAsia"/>
          <w:color w:val="auto"/>
          <w:sz w:val="18"/>
          <w:szCs w:val="18"/>
        </w:rPr>
        <w:t>渠道赎回的</w:t>
      </w:r>
      <w:r>
        <w:rPr>
          <w:rFonts w:hint="eastAsia" w:asciiTheme="majorEastAsia" w:hAnsiTheme="majorEastAsia" w:eastAsiaTheme="majorEastAsia"/>
          <w:color w:val="auto"/>
          <w:sz w:val="18"/>
          <w:szCs w:val="18"/>
        </w:rPr>
        <w:t>，应签署</w:t>
      </w:r>
      <w:r>
        <w:rPr>
          <w:rFonts w:hint="eastAsia" w:asciiTheme="minorEastAsia" w:hAnsiTheme="minorEastAsia"/>
          <w:bCs/>
          <w:color w:val="auto"/>
          <w:sz w:val="18"/>
          <w:szCs w:val="18"/>
        </w:rPr>
        <w:t>有关理财产品销售文件</w:t>
      </w:r>
      <w:r>
        <w:rPr>
          <w:rFonts w:hint="eastAsia" w:asciiTheme="majorEastAsia" w:hAnsiTheme="majorEastAsia" w:eastAsiaTheme="majorEastAsia"/>
          <w:color w:val="auto"/>
          <w:sz w:val="18"/>
          <w:szCs w:val="18"/>
        </w:rPr>
        <w:t>。</w:t>
      </w:r>
    </w:p>
    <w:p>
      <w:pPr>
        <w:pStyle w:val="16"/>
        <w:spacing w:line="360" w:lineRule="auto"/>
        <w:ind w:firstLine="360" w:firstLineChars="200"/>
        <w:rPr>
          <w:rFonts w:asciiTheme="minorEastAsia" w:hAnsiTheme="minorEastAsia"/>
          <w:bCs/>
          <w:color w:val="auto"/>
          <w:sz w:val="18"/>
          <w:szCs w:val="18"/>
        </w:rPr>
      </w:pPr>
      <w:r>
        <w:rPr>
          <w:rFonts w:hint="eastAsia" w:asciiTheme="majorEastAsia" w:hAnsiTheme="majorEastAsia" w:eastAsiaTheme="majorEastAsia"/>
          <w:color w:val="auto"/>
          <w:sz w:val="18"/>
          <w:szCs w:val="18"/>
        </w:rPr>
        <w:t>投资者通过销售机构线上渠道</w:t>
      </w:r>
      <w:r>
        <w:rPr>
          <w:rFonts w:hint="eastAsia" w:asciiTheme="minorEastAsia" w:hAnsiTheme="minorEastAsia" w:eastAsiaTheme="minorEastAsia"/>
          <w:color w:val="auto"/>
          <w:sz w:val="18"/>
          <w:szCs w:val="18"/>
        </w:rPr>
        <w:t>赎回的，</w:t>
      </w:r>
      <w:r>
        <w:rPr>
          <w:rFonts w:hint="eastAsia" w:asciiTheme="minorEastAsia" w:hAnsiTheme="minorEastAsia"/>
          <w:bCs/>
          <w:color w:val="auto"/>
          <w:sz w:val="18"/>
          <w:szCs w:val="18"/>
        </w:rPr>
        <w:t>应根据销售机构线上渠道的具体要求执行。</w:t>
      </w:r>
    </w:p>
    <w:p>
      <w:pPr>
        <w:pStyle w:val="16"/>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赎回的确认</w:t>
      </w:r>
    </w:p>
    <w:p>
      <w:pPr>
        <w:spacing w:line="360" w:lineRule="auto"/>
        <w:ind w:firstLine="360" w:firstLineChars="200"/>
        <w:rPr>
          <w:rFonts w:asciiTheme="minorEastAsia" w:hAnsiTheme="minorEastAsia"/>
          <w:bCs/>
          <w:sz w:val="18"/>
          <w:szCs w:val="18"/>
        </w:rPr>
      </w:pPr>
      <w:r>
        <w:rPr>
          <w:rFonts w:hint="eastAsia" w:asciiTheme="minorEastAsia" w:hAnsiTheme="minorEastAsia"/>
          <w:sz w:val="18"/>
          <w:szCs w:val="18"/>
        </w:rPr>
        <w:t>详见《产品说明书》“第二条 理财产品基本情况”</w:t>
      </w:r>
      <w:r>
        <w:rPr>
          <w:rFonts w:hint="eastAsia"/>
          <w:bCs/>
          <w:sz w:val="18"/>
          <w:szCs w:val="18"/>
        </w:rPr>
        <w:t>。</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ajorEastAsia" w:hAnsiTheme="majorEastAsia" w:eastAsiaTheme="majorEastAsia"/>
          <w:color w:val="auto"/>
          <w:sz w:val="18"/>
          <w:szCs w:val="18"/>
        </w:rPr>
        <w:t>提交赎回申请并不代表赎回成功，产品管理人将在赎回确认日确认投资者是否赎回成功，是否成功以管理人的确认结果为准</w:t>
      </w:r>
      <w:r>
        <w:rPr>
          <w:rFonts w:hint="eastAsia" w:asciiTheme="minorEastAsia" w:hAnsiTheme="minorEastAsia" w:eastAsiaTheme="minorEastAsia"/>
          <w:color w:val="auto"/>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.赎回</w:t>
      </w:r>
      <w:r>
        <w:rPr>
          <w:rFonts w:asciiTheme="minorEastAsia" w:hAnsiTheme="minorEastAsia"/>
          <w:b/>
          <w:bCs/>
          <w:sz w:val="18"/>
          <w:szCs w:val="18"/>
        </w:rPr>
        <w:t>的价格</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inorEastAsia" w:hAnsiTheme="minorEastAsia" w:eastAsiaTheme="minorEastAsia"/>
          <w:color w:val="auto"/>
          <w:sz w:val="18"/>
          <w:szCs w:val="18"/>
        </w:rPr>
        <w:t>本产品的赎回价格为每份理财份额人民币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5.</w:t>
      </w:r>
      <w:r>
        <w:rPr>
          <w:rFonts w:hint="eastAsia" w:asciiTheme="minorEastAsia" w:hAnsiTheme="minorEastAsia"/>
          <w:b/>
          <w:bCs/>
          <w:sz w:val="18"/>
          <w:szCs w:val="18"/>
        </w:rPr>
        <w:t>赎回的</w:t>
      </w:r>
      <w:r>
        <w:rPr>
          <w:rFonts w:asciiTheme="minorEastAsia" w:hAnsiTheme="minorEastAsia"/>
          <w:b/>
          <w:bCs/>
          <w:sz w:val="18"/>
          <w:szCs w:val="18"/>
        </w:rPr>
        <w:t>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pStyle w:val="16"/>
        <w:spacing w:line="360" w:lineRule="auto"/>
        <w:ind w:firstLine="361" w:firstLineChars="200"/>
        <w:rPr>
          <w:rFonts w:asciiTheme="majorEastAsia" w:hAnsiTheme="majorEastAsia" w:eastAsiaTheme="majorEastAsia"/>
          <w:b/>
          <w:color w:val="auto"/>
          <w:sz w:val="18"/>
          <w:szCs w:val="18"/>
        </w:rPr>
      </w:pPr>
      <w:r>
        <w:rPr>
          <w:rFonts w:asciiTheme="minorEastAsia" w:hAnsiTheme="minorEastAsia"/>
          <w:b/>
          <w:bCs/>
          <w:color w:val="auto"/>
          <w:sz w:val="18"/>
          <w:szCs w:val="18"/>
        </w:rPr>
        <w:t>6.</w:t>
      </w:r>
      <w:r>
        <w:rPr>
          <w:rFonts w:hint="eastAsia" w:asciiTheme="minorEastAsia" w:hAnsiTheme="minorEastAsia"/>
          <w:b/>
          <w:bCs/>
          <w:color w:val="auto"/>
          <w:sz w:val="18"/>
          <w:szCs w:val="18"/>
        </w:rPr>
        <w:t>赎回</w:t>
      </w:r>
      <w:r>
        <w:rPr>
          <w:rFonts w:hint="eastAsia" w:asciiTheme="minorEastAsia" w:hAnsiTheme="minorEastAsia"/>
          <w:b/>
          <w:bCs/>
          <w:sz w:val="18"/>
          <w:szCs w:val="18"/>
        </w:rPr>
        <w:t>金额计算</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本产品赎回</w:t>
      </w:r>
      <w:r>
        <w:rPr>
          <w:rFonts w:asciiTheme="minorEastAsia" w:hAnsiTheme="minorEastAsia"/>
          <w:bCs/>
          <w:color w:val="auto"/>
          <w:sz w:val="18"/>
          <w:szCs w:val="18"/>
        </w:rPr>
        <w:t>金额</w:t>
      </w:r>
      <w:r>
        <w:rPr>
          <w:rFonts w:hint="eastAsia" w:asciiTheme="minorEastAsia" w:hAnsiTheme="minorEastAsia"/>
          <w:bCs/>
          <w:color w:val="auto"/>
          <w:sz w:val="18"/>
          <w:szCs w:val="18"/>
        </w:rPr>
        <w:t>的计算公式如下：</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赎回总金额=赎回份额×1</w:t>
      </w:r>
      <w:r>
        <w:rPr>
          <w:rFonts w:asciiTheme="majorEastAsia" w:hAnsiTheme="majorEastAsia" w:eastAsiaTheme="majorEastAsia"/>
          <w:color w:val="auto"/>
          <w:sz w:val="18"/>
          <w:szCs w:val="18"/>
        </w:rPr>
        <w:t>.00</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赎回费用=赎回总金额×赎回费率</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净赎回金额=赎回总金额-赎回费用</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上述计算结果均按四舍五入方法，保留到小数点后</w:t>
      </w: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位，由此产生的收益或损失由理财产品承担。</w:t>
      </w:r>
    </w:p>
    <w:p>
      <w:pPr>
        <w:pStyle w:val="16"/>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7.</w:t>
      </w:r>
      <w:r>
        <w:rPr>
          <w:rFonts w:hint="eastAsia" w:asciiTheme="minorEastAsia" w:hAnsiTheme="minorEastAsia"/>
          <w:b/>
          <w:bCs/>
          <w:color w:val="auto"/>
          <w:sz w:val="18"/>
          <w:szCs w:val="18"/>
        </w:rPr>
        <w:t>赎回</w:t>
      </w:r>
      <w:r>
        <w:rPr>
          <w:rFonts w:asciiTheme="minorEastAsia" w:hAnsiTheme="minorEastAsia" w:eastAsiaTheme="minorEastAsia"/>
          <w:b/>
          <w:color w:val="auto"/>
          <w:sz w:val="18"/>
          <w:szCs w:val="18"/>
        </w:rPr>
        <w:t>的数量限制</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inorEastAsia" w:hAnsiTheme="minorEastAsia" w:eastAsiaTheme="minorEastAsia"/>
          <w:b/>
          <w:color w:val="auto"/>
          <w:sz w:val="18"/>
          <w:szCs w:val="18"/>
        </w:rPr>
        <w:t>（三）</w:t>
      </w:r>
      <w:r>
        <w:rPr>
          <w:rFonts w:hint="eastAsia" w:asciiTheme="majorEastAsia" w:hAnsiTheme="majorEastAsia" w:eastAsiaTheme="majorEastAsia"/>
          <w:b/>
          <w:color w:val="auto"/>
          <w:sz w:val="18"/>
          <w:szCs w:val="18"/>
        </w:rPr>
        <w:t>申购与赎回的原则</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金额申购、份额赎回</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原则，即申购以金额申请，赎回以份额申请。</w:t>
      </w:r>
    </w:p>
    <w:p>
      <w:pPr>
        <w:pStyle w:val="16"/>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color w:val="auto"/>
          <w:sz w:val="18"/>
          <w:szCs w:val="18"/>
        </w:rPr>
        <w:t>2.</w:t>
      </w:r>
      <w:r>
        <w:rPr>
          <w:rFonts w:asciiTheme="majorEastAsia" w:hAnsiTheme="majorEastAsia" w:eastAsiaTheme="majorEastAsia"/>
          <w:bCs/>
          <w:color w:val="auto"/>
          <w:sz w:val="18"/>
          <w:szCs w:val="18"/>
        </w:rPr>
        <w:t>申购和赎回采用</w:t>
      </w:r>
      <w:r>
        <w:rPr>
          <w:rFonts w:hint="eastAsia" w:asciiTheme="majorEastAsia" w:hAnsiTheme="majorEastAsia" w:eastAsiaTheme="majorEastAsia"/>
          <w:bCs/>
          <w:color w:val="auto"/>
          <w:sz w:val="18"/>
          <w:szCs w:val="18"/>
        </w:rPr>
        <w:t>“确定价</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原则，即本产品申购申请和赎回申请提交时，适用的产品份额净值都是</w:t>
      </w:r>
      <w:r>
        <w:rPr>
          <w:rFonts w:hint="eastAsia" w:asciiTheme="minorEastAsia" w:hAnsiTheme="minorEastAsia" w:eastAsiaTheme="minorEastAsia"/>
          <w:color w:val="auto"/>
          <w:sz w:val="18"/>
          <w:szCs w:val="18"/>
        </w:rPr>
        <w:t>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r>
        <w:rPr>
          <w:rFonts w:hint="eastAsia" w:asciiTheme="majorEastAsia" w:hAnsiTheme="majorEastAsia" w:eastAsiaTheme="majorEastAsia"/>
          <w:bCs/>
          <w:color w:val="auto"/>
          <w:sz w:val="18"/>
          <w:szCs w:val="18"/>
        </w:rPr>
        <w:t>。</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3.</w:t>
      </w:r>
      <w:r>
        <w:rPr>
          <w:rFonts w:asciiTheme="majorEastAsia" w:hAnsiTheme="majorEastAsia" w:eastAsiaTheme="majorEastAsia"/>
          <w:color w:val="auto"/>
          <w:sz w:val="18"/>
          <w:szCs w:val="18"/>
        </w:rPr>
        <w:t>申购</w:t>
      </w:r>
      <w:r>
        <w:rPr>
          <w:rFonts w:hint="eastAsia" w:asciiTheme="majorEastAsia" w:hAnsiTheme="majorEastAsia" w:eastAsiaTheme="majorEastAsia"/>
          <w:color w:val="auto"/>
          <w:sz w:val="18"/>
          <w:szCs w:val="18"/>
        </w:rPr>
        <w:t>、赎回</w:t>
      </w:r>
      <w:r>
        <w:rPr>
          <w:rFonts w:asciiTheme="majorEastAsia" w:hAnsiTheme="majorEastAsia" w:eastAsiaTheme="majorEastAsia"/>
          <w:color w:val="auto"/>
          <w:sz w:val="18"/>
          <w:szCs w:val="18"/>
        </w:rPr>
        <w:t>申请可以在对应</w:t>
      </w:r>
      <w:r>
        <w:rPr>
          <w:rFonts w:hint="eastAsia" w:asciiTheme="majorEastAsia" w:hAnsiTheme="majorEastAsia" w:eastAsiaTheme="majorEastAsia"/>
          <w:color w:val="auto"/>
          <w:sz w:val="18"/>
          <w:szCs w:val="18"/>
        </w:rPr>
        <w:t>开放日【</w:t>
      </w:r>
      <w:r>
        <w:rPr>
          <w:rFonts w:hint="eastAsia" w:asciiTheme="majorEastAsia" w:hAnsiTheme="majorEastAsia" w:eastAsiaTheme="majorEastAsia"/>
          <w:color w:val="auto"/>
          <w:sz w:val="18"/>
          <w:szCs w:val="18"/>
          <w:lang w:val="en-US" w:eastAsia="zh-CN"/>
        </w:rPr>
        <w:t>17:00</w:t>
      </w:r>
      <w:r>
        <w:rPr>
          <w:rFonts w:hint="eastAsia" w:asciiTheme="majorEastAsia" w:hAnsiTheme="majorEastAsia" w:eastAsiaTheme="majorEastAsia"/>
          <w:color w:val="auto"/>
          <w:sz w:val="18"/>
          <w:szCs w:val="18"/>
        </w:rPr>
        <w:t>】</w:t>
      </w:r>
      <w:r>
        <w:rPr>
          <w:rFonts w:asciiTheme="majorEastAsia" w:hAnsiTheme="majorEastAsia" w:eastAsiaTheme="majorEastAsia"/>
          <w:color w:val="auto"/>
          <w:sz w:val="18"/>
          <w:szCs w:val="18"/>
        </w:rPr>
        <w:t>截止前撤销</w:t>
      </w:r>
      <w:r>
        <w:rPr>
          <w:rFonts w:hint="eastAsia" w:asciiTheme="majorEastAsia" w:hAnsiTheme="majorEastAsia" w:eastAsiaTheme="majorEastAsia"/>
          <w:color w:val="auto"/>
          <w:sz w:val="18"/>
          <w:szCs w:val="18"/>
        </w:rPr>
        <w:t>，</w:t>
      </w:r>
      <w:r>
        <w:rPr>
          <w:rFonts w:asciiTheme="majorEastAsia" w:hAnsiTheme="majorEastAsia" w:eastAsiaTheme="majorEastAsia"/>
          <w:color w:val="auto"/>
          <w:sz w:val="18"/>
          <w:szCs w:val="18"/>
        </w:rPr>
        <w:t>最终申</w:t>
      </w:r>
      <w:r>
        <w:rPr>
          <w:rFonts w:hint="eastAsia" w:asciiTheme="majorEastAsia" w:hAnsiTheme="majorEastAsia" w:eastAsiaTheme="majorEastAsia"/>
          <w:color w:val="auto"/>
          <w:sz w:val="18"/>
          <w:szCs w:val="18"/>
        </w:rPr>
        <w:t>请</w:t>
      </w:r>
      <w:r>
        <w:rPr>
          <w:rFonts w:asciiTheme="majorEastAsia" w:hAnsiTheme="majorEastAsia" w:eastAsiaTheme="majorEastAsia"/>
          <w:color w:val="auto"/>
          <w:sz w:val="18"/>
          <w:szCs w:val="18"/>
        </w:rPr>
        <w:t>确认情况以投资者在</w:t>
      </w:r>
      <w:r>
        <w:rPr>
          <w:rFonts w:hint="eastAsia" w:asciiTheme="majorEastAsia" w:hAnsiTheme="majorEastAsia" w:eastAsiaTheme="majorEastAsia"/>
          <w:color w:val="auto"/>
          <w:sz w:val="18"/>
          <w:szCs w:val="18"/>
        </w:rPr>
        <w:t>销售机构线下渠道</w:t>
      </w:r>
      <w:r>
        <w:rPr>
          <w:rFonts w:asciiTheme="majorEastAsia" w:hAnsiTheme="majorEastAsia" w:eastAsiaTheme="majorEastAsia"/>
          <w:color w:val="auto"/>
          <w:sz w:val="18"/>
          <w:szCs w:val="18"/>
        </w:rPr>
        <w:t>或线上渠道确认的结果为准。</w:t>
      </w:r>
    </w:p>
    <w:p>
      <w:pPr>
        <w:spacing w:line="360" w:lineRule="auto"/>
        <w:ind w:firstLine="271" w:firstLineChars="150"/>
        <w:rPr>
          <w:rFonts w:asciiTheme="minorEastAsia" w:hAnsiTheme="minorEastAsia" w:eastAsiaTheme="minorEastAsia"/>
          <w:b/>
          <w:sz w:val="18"/>
          <w:szCs w:val="18"/>
        </w:rPr>
      </w:pPr>
      <w:r>
        <w:rPr>
          <w:rFonts w:hint="eastAsia" w:asciiTheme="minorEastAsia" w:hAnsiTheme="minorEastAsia" w:eastAsiaTheme="minorEastAsia"/>
          <w:b/>
          <w:sz w:val="18"/>
          <w:szCs w:val="18"/>
        </w:rPr>
        <w:t>（四）拒绝或暂停申购的情形</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发生下列情况时，产品管理人可拒绝或暂停接受投资者的</w:t>
      </w:r>
      <w:r>
        <w:rPr>
          <w:rFonts w:asciiTheme="majorEastAsia" w:hAnsiTheme="majorEastAsia" w:eastAsiaTheme="majorEastAsia"/>
          <w:color w:val="auto"/>
          <w:sz w:val="18"/>
          <w:szCs w:val="18"/>
        </w:rPr>
        <w:t>申购申请：</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.因不可抗力导致理财产品无法正常运作。</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.发生暂停理财资产估值情况时，产品管理人可暂停接受投资者的申购申请。</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.证券交易所或银行间市场在交易时间非正常停市，导致产品管理人无法计算当日理财资产净值。</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4</w:t>
      </w:r>
      <w:r>
        <w:rPr>
          <w:rFonts w:hint="eastAsia" w:asciiTheme="majorEastAsia" w:hAnsiTheme="majorEastAsia" w:eastAsiaTheme="majorEastAsia"/>
          <w:color w:val="auto"/>
          <w:sz w:val="18"/>
          <w:szCs w:val="18"/>
        </w:rPr>
        <w:t>.本产品出现当日净收益小于零的情形，为保护持有人的权益，产品管理人可暂停本产品的申购。</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5</w:t>
      </w:r>
      <w:r>
        <w:rPr>
          <w:rFonts w:hint="eastAsia" w:asciiTheme="majorEastAsia" w:hAnsiTheme="majorEastAsia" w:eastAsiaTheme="majorEastAsia"/>
          <w:color w:val="auto"/>
          <w:sz w:val="18"/>
          <w:szCs w:val="18"/>
        </w:rPr>
        <w:t>.产品管理人认为接受某笔或某些申购申请可能会影响或损害现有理财份额持有人权益时。</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6</w:t>
      </w:r>
      <w:r>
        <w:rPr>
          <w:rFonts w:hint="eastAsia" w:asciiTheme="majorEastAsia" w:hAnsiTheme="majorEastAsia" w:eastAsiaTheme="majorEastAsia"/>
          <w:color w:val="auto"/>
          <w:sz w:val="18"/>
          <w:szCs w:val="18"/>
        </w:rPr>
        <w:t>.理财产品规模过大，产品管理人无法找到合适的投资品种，或其他可能对理财业绩产生负面影响，从而损害现有理财份额持有人权益的情形。</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7</w:t>
      </w:r>
      <w:r>
        <w:rPr>
          <w:rFonts w:hint="eastAsia" w:asciiTheme="majorEastAsia" w:hAnsiTheme="majorEastAsia" w:eastAsiaTheme="majorEastAsia"/>
          <w:color w:val="auto"/>
          <w:sz w:val="18"/>
          <w:szCs w:val="18"/>
        </w:rPr>
        <w:t>.产品管理人和产品托管人的技术保障等异常情况导致理财销售系统或会计系统无法正常运行。</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8</w:t>
      </w:r>
      <w:r>
        <w:rPr>
          <w:rFonts w:hint="eastAsia" w:asciiTheme="majorEastAsia" w:hAnsiTheme="majorEastAsia" w:eastAsiaTheme="majorEastAsia"/>
          <w:color w:val="auto"/>
          <w:sz w:val="18"/>
          <w:szCs w:val="18"/>
        </w:rPr>
        <w:t>.法律法规规定或监管机构认定的其他情形。</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如果投资者的申购申请被拒绝，被拒绝的申购款项将退还给投资者。在暂停申购的情况消除时，产品管理人应及时恢复申购业务的办理。</w:t>
      </w:r>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（五）暂停赎回或延缓支付赎回款项的情形</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发生下列情形时，产品管理人可暂停接受投资者的赎回申请或延缓支付赎回款项：</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.因不可抗力导致产品管理人不能支付赎回款项。</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.发生暂停理财资产估值情况时，产品管理人可暂停接受投资者的赎回申请或延缓支付赎回款项。</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.证券交易所或银行间市场在交易时间非正常停市，导致产品管理人无法计算当日理财资产净值。</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4</w:t>
      </w:r>
      <w:r>
        <w:rPr>
          <w:rFonts w:hint="eastAsia" w:asciiTheme="majorEastAsia" w:hAnsiTheme="majorEastAsia" w:eastAsiaTheme="majorEastAsia"/>
          <w:color w:val="auto"/>
          <w:sz w:val="18"/>
          <w:szCs w:val="18"/>
        </w:rPr>
        <w:t>.</w:t>
      </w:r>
      <w:r>
        <w:rPr>
          <w:rFonts w:asciiTheme="majorEastAsia" w:hAnsiTheme="majorEastAsia" w:eastAsiaTheme="majorEastAsia"/>
          <w:color w:val="auto"/>
          <w:sz w:val="18"/>
          <w:szCs w:val="18"/>
        </w:rPr>
        <w:t>证券交易所或银行间市场出现异常市场情况，管理人无法</w:t>
      </w:r>
      <w:r>
        <w:rPr>
          <w:rFonts w:hint="eastAsia" w:asciiTheme="majorEastAsia" w:hAnsiTheme="majorEastAsia" w:eastAsiaTheme="majorEastAsia"/>
          <w:color w:val="auto"/>
          <w:sz w:val="18"/>
          <w:szCs w:val="18"/>
        </w:rPr>
        <w:t>开展产品的</w:t>
      </w:r>
      <w:r>
        <w:rPr>
          <w:rFonts w:asciiTheme="majorEastAsia" w:hAnsiTheme="majorEastAsia" w:eastAsiaTheme="majorEastAsia"/>
          <w:color w:val="auto"/>
          <w:sz w:val="18"/>
          <w:szCs w:val="18"/>
        </w:rPr>
        <w:t>流动性</w:t>
      </w:r>
      <w:r>
        <w:rPr>
          <w:rFonts w:hint="eastAsia" w:asciiTheme="majorEastAsia" w:hAnsiTheme="majorEastAsia" w:eastAsiaTheme="majorEastAsia"/>
          <w:color w:val="auto"/>
          <w:sz w:val="18"/>
          <w:szCs w:val="18"/>
        </w:rPr>
        <w:t>管理</w:t>
      </w:r>
      <w:r>
        <w:rPr>
          <w:rFonts w:asciiTheme="majorEastAsia" w:hAnsiTheme="majorEastAsia" w:eastAsiaTheme="majorEastAsia"/>
          <w:color w:val="auto"/>
          <w:sz w:val="18"/>
          <w:szCs w:val="18"/>
        </w:rPr>
        <w:t>。</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5</w:t>
      </w:r>
      <w:r>
        <w:rPr>
          <w:rFonts w:hint="eastAsia" w:asciiTheme="majorEastAsia" w:hAnsiTheme="majorEastAsia" w:eastAsiaTheme="majorEastAsia"/>
          <w:color w:val="auto"/>
          <w:sz w:val="18"/>
          <w:szCs w:val="18"/>
        </w:rPr>
        <w:t>.本产品出现当日净收益小于零的情形，为保护持有人的权益，产品管理人可暂停本产品的赎回。</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6</w:t>
      </w:r>
      <w:r>
        <w:rPr>
          <w:rFonts w:hint="eastAsia" w:asciiTheme="majorEastAsia" w:hAnsiTheme="majorEastAsia" w:eastAsiaTheme="majorEastAsia"/>
          <w:color w:val="auto"/>
          <w:sz w:val="18"/>
          <w:szCs w:val="18"/>
        </w:rPr>
        <w:t>.发生单个投资者在赎回日申请赎回的理财产品份额超过限额的。</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7.发生巨额赎回。</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8.产品管理人和产品托管人的技术保障等异常情况导致理财销售系统或会计系统无法正常运行。</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9.证券交易所或银行间市场数据传输延迟、通讯系统故障、银行系统故障或其他非产品管理人及产品托管人所能控制的因素影响了产品运作流程。</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10.法律法规规定或监管机构认定的其他情形。</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bCs/>
          <w:sz w:val="18"/>
          <w:szCs w:val="18"/>
        </w:rPr>
        <w:t>延缓支付赎回款项</w:t>
      </w:r>
      <w:r>
        <w:rPr>
          <w:rFonts w:hint="eastAsia" w:asciiTheme="majorEastAsia" w:hAnsiTheme="majorEastAsia" w:eastAsiaTheme="majorEastAsia"/>
          <w:bCs/>
          <w:sz w:val="18"/>
          <w:szCs w:val="18"/>
        </w:rPr>
        <w:t>的</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已经确认</w:t>
      </w:r>
      <w:r>
        <w:rPr>
          <w:rFonts w:asciiTheme="majorEastAsia" w:hAnsiTheme="majorEastAsia" w:eastAsiaTheme="majorEastAsia"/>
          <w:bCs/>
          <w:sz w:val="18"/>
          <w:szCs w:val="18"/>
        </w:rPr>
        <w:t>的赎回申请的</w:t>
      </w:r>
      <w:r>
        <w:rPr>
          <w:rFonts w:hint="eastAsia" w:asciiTheme="majorEastAsia" w:hAnsiTheme="majorEastAsia" w:eastAsiaTheme="majorEastAsia"/>
          <w:bCs/>
          <w:sz w:val="18"/>
          <w:szCs w:val="18"/>
        </w:rPr>
        <w:t>相应赎回</w:t>
      </w:r>
      <w:r>
        <w:rPr>
          <w:rFonts w:asciiTheme="majorEastAsia" w:hAnsiTheme="majorEastAsia" w:eastAsiaTheme="majorEastAsia"/>
          <w:bCs/>
          <w:sz w:val="18"/>
          <w:szCs w:val="18"/>
        </w:rPr>
        <w:t>款项将会在不超过20个工作日内支付</w:t>
      </w:r>
      <w:r>
        <w:rPr>
          <w:rFonts w:hint="eastAsia" w:asciiTheme="majorEastAsia" w:hAnsiTheme="majorEastAsia" w:eastAsiaTheme="majorEastAsia"/>
          <w:bCs/>
          <w:sz w:val="18"/>
          <w:szCs w:val="18"/>
        </w:rPr>
        <w:t>至</w:t>
      </w:r>
      <w:r>
        <w:rPr>
          <w:rFonts w:asciiTheme="majorEastAsia" w:hAnsiTheme="majorEastAsia" w:eastAsiaTheme="majorEastAsia"/>
          <w:bCs/>
          <w:sz w:val="18"/>
          <w:szCs w:val="18"/>
        </w:rPr>
        <w:t>投资者</w:t>
      </w:r>
      <w:r>
        <w:rPr>
          <w:rFonts w:hint="eastAsia" w:asciiTheme="majorEastAsia" w:hAnsiTheme="majorEastAsia" w:eastAsiaTheme="majorEastAsia"/>
          <w:bCs/>
          <w:sz w:val="18"/>
          <w:szCs w:val="18"/>
        </w:rPr>
        <w:t>。</w:t>
      </w:r>
      <w:r>
        <w:rPr>
          <w:rFonts w:hint="eastAsia" w:asciiTheme="majorEastAsia" w:hAnsiTheme="majorEastAsia" w:eastAsiaTheme="majorEastAsia"/>
          <w:color w:val="auto"/>
          <w:sz w:val="18"/>
          <w:szCs w:val="18"/>
        </w:rPr>
        <w:t>在暂停赎回或延缓支付赎回款项的情况消除时，产品管理人应及时恢复赎回或支付业务赎回款项的办理。</w:t>
      </w:r>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（六）巨额赎回的情形及</w:t>
      </w:r>
      <w:r>
        <w:rPr>
          <w:rFonts w:asciiTheme="majorEastAsia" w:hAnsiTheme="majorEastAsia" w:eastAsiaTheme="majorEastAsia"/>
          <w:b/>
          <w:color w:val="auto"/>
          <w:sz w:val="18"/>
          <w:szCs w:val="18"/>
        </w:rPr>
        <w:t>处理方式</w:t>
      </w:r>
    </w:p>
    <w:p>
      <w:pPr>
        <w:widowControl/>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巨额赎回的认定</w:t>
      </w:r>
    </w:p>
    <w:p>
      <w:pPr>
        <w:widowControl/>
        <w:spacing w:line="360" w:lineRule="auto"/>
        <w:ind w:firstLine="360" w:firstLineChars="200"/>
        <w:jc w:val="left"/>
        <w:rPr>
          <w:rFonts w:asciiTheme="minorEastAsia" w:hAnsiTheme="minorEastAsia" w:eastAsiaTheme="minorEastAsia"/>
          <w:sz w:val="18"/>
          <w:szCs w:val="18"/>
        </w:rPr>
      </w:pPr>
      <w:r>
        <w:rPr>
          <w:rFonts w:hint="eastAsia" w:asciiTheme="minorEastAsia" w:hAnsiTheme="minorEastAsia" w:eastAsiaTheme="minorEastAsia"/>
          <w:sz w:val="18"/>
          <w:szCs w:val="18"/>
        </w:rPr>
        <w:t>详见《产品说明书》“第二条 理财产品基本情况”。</w:t>
      </w:r>
    </w:p>
    <w:p>
      <w:pPr>
        <w:widowControl/>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巨额赎回的处理方式</w:t>
      </w:r>
    </w:p>
    <w:p>
      <w:pPr>
        <w:widowControl/>
        <w:spacing w:line="360" w:lineRule="auto"/>
        <w:ind w:firstLine="360" w:firstLineChars="200"/>
        <w:jc w:val="left"/>
        <w:rPr>
          <w:rFonts w:asciiTheme="minorEastAsia" w:hAnsiTheme="minorEastAsia"/>
          <w:bCs/>
          <w:sz w:val="18"/>
          <w:szCs w:val="18"/>
        </w:rPr>
      </w:pPr>
      <w:r>
        <w:rPr>
          <w:rFonts w:hint="eastAsia" w:asciiTheme="majorEastAsia" w:hAnsiTheme="majorEastAsia" w:eastAsiaTheme="majorEastAsia"/>
          <w:bCs/>
          <w:sz w:val="18"/>
          <w:szCs w:val="18"/>
        </w:rPr>
        <w:t>出现巨额赎回时，产品管理人有权决定：（1）申购申请不得撤销；（2）</w:t>
      </w:r>
      <w:r>
        <w:rPr>
          <w:rFonts w:asciiTheme="majorEastAsia" w:hAnsiTheme="majorEastAsia" w:eastAsiaTheme="majorEastAsia"/>
          <w:bCs/>
          <w:sz w:val="18"/>
          <w:szCs w:val="18"/>
        </w:rPr>
        <w:t>不接受</w:t>
      </w:r>
      <w:r>
        <w:rPr>
          <w:rFonts w:hint="eastAsia" w:asciiTheme="majorEastAsia" w:hAnsiTheme="majorEastAsia" w:eastAsiaTheme="majorEastAsia"/>
          <w:bCs/>
          <w:sz w:val="18"/>
          <w:szCs w:val="18"/>
        </w:rPr>
        <w:t>超出部分的净赎回申请，但投资者可于下一开放日重新进行赎回申请；（</w:t>
      </w:r>
      <w:r>
        <w:rPr>
          <w:rFonts w:asciiTheme="majorEastAsia" w:hAnsiTheme="majorEastAsia" w:eastAsiaTheme="majorEastAsia"/>
          <w:bCs/>
          <w:sz w:val="18"/>
          <w:szCs w:val="18"/>
        </w:rPr>
        <w:t>3）延缓支付赎回款项</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如产品管理人认为有必要，</w:t>
      </w:r>
      <w:r>
        <w:rPr>
          <w:rFonts w:hint="eastAsia" w:asciiTheme="majorEastAsia" w:hAnsiTheme="majorEastAsia" w:eastAsiaTheme="majorEastAsia"/>
          <w:bCs/>
          <w:sz w:val="18"/>
          <w:szCs w:val="18"/>
        </w:rPr>
        <w:t>针对</w:t>
      </w:r>
      <w:r>
        <w:rPr>
          <w:rFonts w:asciiTheme="majorEastAsia" w:hAnsiTheme="majorEastAsia" w:eastAsiaTheme="majorEastAsia"/>
          <w:bCs/>
          <w:sz w:val="18"/>
          <w:szCs w:val="18"/>
        </w:rPr>
        <w:t>已经</w:t>
      </w:r>
      <w:r>
        <w:rPr>
          <w:rFonts w:hint="eastAsia" w:asciiTheme="majorEastAsia" w:hAnsiTheme="majorEastAsia" w:eastAsiaTheme="majorEastAsia"/>
          <w:bCs/>
          <w:sz w:val="18"/>
          <w:szCs w:val="18"/>
        </w:rPr>
        <w:t>确认</w:t>
      </w:r>
      <w:r>
        <w:rPr>
          <w:rFonts w:asciiTheme="majorEastAsia" w:hAnsiTheme="majorEastAsia" w:eastAsiaTheme="majorEastAsia"/>
          <w:bCs/>
          <w:sz w:val="18"/>
          <w:szCs w:val="18"/>
        </w:rPr>
        <w:t>的赎回申请</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可以延缓支付赎回款项。延缓支付赎回款项</w:t>
      </w:r>
      <w:r>
        <w:rPr>
          <w:rFonts w:hint="eastAsia" w:asciiTheme="majorEastAsia" w:hAnsiTheme="majorEastAsia" w:eastAsiaTheme="majorEastAsia"/>
          <w:bCs/>
          <w:sz w:val="18"/>
          <w:szCs w:val="18"/>
        </w:rPr>
        <w:t>的</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已经确认</w:t>
      </w:r>
      <w:r>
        <w:rPr>
          <w:rFonts w:asciiTheme="majorEastAsia" w:hAnsiTheme="majorEastAsia" w:eastAsiaTheme="majorEastAsia"/>
          <w:bCs/>
          <w:sz w:val="18"/>
          <w:szCs w:val="18"/>
        </w:rPr>
        <w:t>的赎回申请的</w:t>
      </w:r>
      <w:r>
        <w:rPr>
          <w:rFonts w:hint="eastAsia" w:asciiTheme="majorEastAsia" w:hAnsiTheme="majorEastAsia" w:eastAsiaTheme="majorEastAsia"/>
          <w:bCs/>
          <w:sz w:val="18"/>
          <w:szCs w:val="18"/>
        </w:rPr>
        <w:t>相应赎回</w:t>
      </w:r>
      <w:r>
        <w:rPr>
          <w:rFonts w:asciiTheme="majorEastAsia" w:hAnsiTheme="majorEastAsia" w:eastAsiaTheme="majorEastAsia"/>
          <w:bCs/>
          <w:sz w:val="18"/>
          <w:szCs w:val="18"/>
        </w:rPr>
        <w:t>款项将会在不超过20个工作日内支付</w:t>
      </w:r>
      <w:r>
        <w:rPr>
          <w:rFonts w:hint="eastAsia" w:asciiTheme="majorEastAsia" w:hAnsiTheme="majorEastAsia" w:eastAsiaTheme="majorEastAsia"/>
          <w:bCs/>
          <w:sz w:val="18"/>
          <w:szCs w:val="18"/>
        </w:rPr>
        <w:t>至</w:t>
      </w:r>
      <w:r>
        <w:rPr>
          <w:rFonts w:asciiTheme="majorEastAsia" w:hAnsiTheme="majorEastAsia" w:eastAsiaTheme="majorEastAsia"/>
          <w:bCs/>
          <w:sz w:val="18"/>
          <w:szCs w:val="18"/>
        </w:rPr>
        <w:t>投资者</w:t>
      </w:r>
      <w:r>
        <w:rPr>
          <w:rFonts w:hint="eastAsia" w:asciiTheme="majorEastAsia" w:hAnsiTheme="majorEastAsia" w:eastAsiaTheme="majorEastAsia"/>
          <w:bCs/>
          <w:sz w:val="18"/>
          <w:szCs w:val="18"/>
        </w:rPr>
        <w:t>；</w:t>
      </w:r>
      <w:r>
        <w:rPr>
          <w:rFonts w:hint="eastAsia" w:asciiTheme="minorEastAsia" w:hAnsiTheme="minorEastAsia"/>
          <w:bCs/>
          <w:sz w:val="18"/>
          <w:szCs w:val="18"/>
        </w:rPr>
        <w:t>（4）理财产品连续两个开放日（含）发生因巨额赎回导致拒绝赎回情况的，产品管理人可暂停接受投资者的赎回申请。投资者根据产品管理人披露的开放日可重新进行申购和赎回；</w:t>
      </w:r>
      <w:r>
        <w:rPr>
          <w:rFonts w:hint="eastAsia" w:asciiTheme="majorEastAsia" w:hAnsiTheme="majorEastAsia" w:eastAsiaTheme="majorEastAsia"/>
          <w:bCs/>
          <w:sz w:val="18"/>
          <w:szCs w:val="18"/>
        </w:rPr>
        <w:t>（5）法律法规规定或监管机构规定的其他措施。</w:t>
      </w:r>
    </w:p>
    <w:p>
      <w:pPr>
        <w:widowControl/>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巨额赎回的公告</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在发生巨额赎回产品管理人暂停接受投资者赎回申请时，产品管理人将依约定发布相关公告信息。</w:t>
      </w:r>
    </w:p>
    <w:p>
      <w:pPr>
        <w:pStyle w:val="16"/>
        <w:spacing w:line="360" w:lineRule="auto"/>
        <w:ind w:left="210" w:leftChars="100" w:firstLine="181" w:firstLineChars="100"/>
        <w:rPr>
          <w:rFonts w:asciiTheme="majorEastAsia" w:hAnsiTheme="majorEastAsia" w:eastAsiaTheme="majorEastAsia"/>
          <w:color w:val="auto"/>
          <w:sz w:val="18"/>
          <w:szCs w:val="18"/>
        </w:rPr>
      </w:pPr>
      <w:r>
        <w:rPr>
          <w:rFonts w:hint="eastAsia" w:asciiTheme="majorEastAsia" w:hAnsiTheme="majorEastAsia" w:eastAsiaTheme="majorEastAsia"/>
          <w:b/>
          <w:color w:val="auto"/>
          <w:sz w:val="18"/>
          <w:szCs w:val="18"/>
        </w:rPr>
        <w:t>（七）日期遇非工作日的调整</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前述日期（包括但不限于申购日、申购确认日、赎回日以及赎回确认日等）如遇非工作日则产品管理人可做相应调整。产品管理人对上述日期保留变更的权利，调整后的日期以产品管理人发布的公告中所载明的日期为准。</w:t>
      </w:r>
    </w:p>
    <w:p>
      <w:pPr>
        <w:pStyle w:val="16"/>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（八）投资者持有理财份额的限额和理财产品总规模限额</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产品管理人有权决定理财份额持有人持有本产品的最高限额、最低限额和本产品的总规模限额。</w:t>
      </w:r>
    </w:p>
    <w:p>
      <w:pPr>
        <w:widowControl/>
        <w:spacing w:line="360" w:lineRule="auto"/>
        <w:jc w:val="left"/>
        <w:rPr>
          <w:rFonts w:asciiTheme="minorEastAsia" w:hAnsiTheme="minorEastAsia"/>
          <w:bCs/>
          <w:kern w:val="0"/>
          <w:sz w:val="18"/>
          <w:szCs w:val="18"/>
        </w:rPr>
      </w:pPr>
      <w:r>
        <w:rPr>
          <w:rFonts w:asciiTheme="minorEastAsia" w:hAnsiTheme="minorEastAsia"/>
          <w:bCs/>
          <w:sz w:val="18"/>
          <w:szCs w:val="18"/>
        </w:rPr>
        <w:br w:type="page"/>
      </w:r>
    </w:p>
    <w:bookmarkEnd w:id="75"/>
    <w:p>
      <w:pPr>
        <w:pStyle w:val="2"/>
        <w:spacing w:before="0" w:after="0" w:line="360" w:lineRule="auto"/>
        <w:jc w:val="center"/>
        <w:rPr>
          <w:rFonts w:ascii="Times New Roman"/>
          <w:sz w:val="30"/>
        </w:rPr>
      </w:pPr>
      <w:bookmarkStart w:id="81" w:name="_Toc27189"/>
      <w:bookmarkStart w:id="82" w:name="_Toc22074"/>
      <w:bookmarkStart w:id="83" w:name="_Toc79154668"/>
      <w:bookmarkStart w:id="84" w:name="_Toc176189282"/>
      <w:bookmarkStart w:id="85" w:name="_Toc15203"/>
      <w:bookmarkStart w:id="86" w:name="_Toc29784"/>
      <w:bookmarkStart w:id="87" w:name="_Toc7151"/>
      <w:bookmarkStart w:id="88" w:name="_Toc90742321"/>
      <w:bookmarkStart w:id="89" w:name="_Toc2561"/>
      <w:bookmarkStart w:id="90" w:name="_Toc29948"/>
      <w:bookmarkStart w:id="91" w:name="_Toc90742390"/>
      <w:bookmarkStart w:id="92" w:name="_Toc90742688"/>
      <w:bookmarkStart w:id="93" w:name="_Toc27226"/>
      <w:bookmarkStart w:id="94" w:name="_Toc74065741"/>
      <w:bookmarkStart w:id="95" w:name="_Toc6714"/>
      <w:bookmarkStart w:id="96" w:name="_Toc16265"/>
      <w:bookmarkStart w:id="97" w:name="_Toc3266"/>
      <w:r>
        <w:rPr>
          <w:rFonts w:ascii="Times New Roman"/>
          <w:sz w:val="30"/>
        </w:rPr>
        <w:t>第</w:t>
      </w:r>
      <w:r>
        <w:rPr>
          <w:rFonts w:hint="eastAsia" w:ascii="Times New Roman"/>
          <w:sz w:val="30"/>
        </w:rPr>
        <w:t>五条</w:t>
      </w:r>
      <w:r>
        <w:rPr>
          <w:rFonts w:ascii="Times New Roman"/>
          <w:sz w:val="30"/>
        </w:rPr>
        <w:t xml:space="preserve">  </w:t>
      </w:r>
      <w:r>
        <w:rPr>
          <w:rFonts w:hint="eastAsia" w:ascii="Times New Roman"/>
          <w:sz w:val="30"/>
        </w:rPr>
        <w:t>理财产品的投资</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（一）投资目标</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本产品为</w:t>
      </w:r>
      <w:r>
        <w:rPr>
          <w:rFonts w:asciiTheme="majorEastAsia" w:hAnsiTheme="majorEastAsia" w:eastAsiaTheme="majorEastAsia"/>
          <w:color w:val="auto"/>
          <w:sz w:val="18"/>
          <w:szCs w:val="18"/>
        </w:rPr>
        <w:t>固定收益类产品</w:t>
      </w:r>
      <w:r>
        <w:rPr>
          <w:rFonts w:hint="eastAsia" w:asciiTheme="majorEastAsia" w:hAnsiTheme="majorEastAsia" w:eastAsiaTheme="majorEastAsia"/>
          <w:color w:val="auto"/>
          <w:sz w:val="18"/>
          <w:szCs w:val="18"/>
        </w:rPr>
        <w:t>，在</w:t>
      </w:r>
      <w:r>
        <w:rPr>
          <w:rFonts w:hint="eastAsia" w:asciiTheme="minorEastAsia" w:hAnsiTheme="minorEastAsia" w:eastAsiaTheme="minorEastAsia"/>
          <w:color w:val="auto"/>
          <w:sz w:val="18"/>
          <w:szCs w:val="18"/>
        </w:rPr>
        <w:t>保持理财资产的低风险和高流动性的前提下，力争实现超越业绩比较基准的投资回报。</w:t>
      </w:r>
    </w:p>
    <w:p>
      <w:pPr>
        <w:pStyle w:val="16"/>
        <w:spacing w:line="360" w:lineRule="auto"/>
        <w:ind w:firstLine="361" w:firstLineChars="200"/>
        <w:rPr>
          <w:rFonts w:asciiTheme="majorEastAsia" w:hAnsiTheme="majorEastAsia" w:eastAsiaTheme="majorEastAsia"/>
          <w:bCs/>
          <w:color w:val="auto"/>
          <w:sz w:val="18"/>
          <w:szCs w:val="18"/>
        </w:rPr>
      </w:pPr>
      <w:r>
        <w:rPr>
          <w:rFonts w:hint="eastAsia" w:asciiTheme="majorEastAsia" w:hAnsiTheme="majorEastAsia" w:eastAsiaTheme="majorEastAsia"/>
          <w:b/>
          <w:color w:val="auto"/>
          <w:sz w:val="18"/>
          <w:szCs w:val="18"/>
        </w:rPr>
        <w:t>（二）投资范围和比例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1.投资</w:t>
      </w:r>
      <w:r>
        <w:rPr>
          <w:rFonts w:asciiTheme="majorEastAsia" w:hAnsiTheme="majorEastAsia" w:eastAsiaTheme="majorEastAsia"/>
          <w:bCs/>
          <w:sz w:val="18"/>
          <w:szCs w:val="18"/>
        </w:rPr>
        <w:t>范围</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w:t>
      </w:r>
      <w:r>
        <w:rPr>
          <w:rFonts w:asciiTheme="majorEastAsia" w:hAnsiTheme="majorEastAsia" w:eastAsiaTheme="majorEastAsia"/>
          <w:bCs/>
          <w:sz w:val="18"/>
          <w:szCs w:val="18"/>
        </w:rPr>
        <w:t>主要投资范围包括但不限于</w:t>
      </w:r>
      <w:r>
        <w:rPr>
          <w:rFonts w:hint="eastAsia" w:asciiTheme="majorEastAsia" w:hAnsiTheme="majorEastAsia" w:eastAsiaTheme="majorEastAsia"/>
          <w:bCs/>
          <w:sz w:val="18"/>
          <w:szCs w:val="18"/>
        </w:rPr>
        <w:t>（实际投资范围可根据法律法规及监管规定进行调整）</w:t>
      </w:r>
      <w:r>
        <w:rPr>
          <w:rFonts w:asciiTheme="majorEastAsia" w:hAnsiTheme="majorEastAsia" w:eastAsiaTheme="majorEastAsia"/>
          <w:bCs/>
          <w:sz w:val="18"/>
          <w:szCs w:val="18"/>
        </w:rPr>
        <w:t>：</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（1）现金；</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（2）期限在1年以内（含1年）的银行存款、债券回购、中央银行票据、同业存单；</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（3）剩余期限在397天以内（含397天）的债券、在银行间市场和证券交易所市场发行的资产支持证券；</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（4）监管部门、中国人民银行认可的其他具有良好流动性的货币市场工具。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可直接或通过依法设立的资产管理产品（包括信托公司、证券公司、证券公司子公司、基金管理公司、基金管理子公司、期货公司、期货公司子公司、保险资产管理机构、金融资产投资公司发行的资产管理产品等）以及其他符合国家相关政策、法律法规的投资渠道和方式投资于上述资产。</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在遵守相关法律法规、监管规则及本说明书约定，避免不公平交易、利益输送等违法违规行为的前提下，投资者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.投资组合比例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本产品投资于债权类资产的比例不低于产品总资产的</w:t>
      </w:r>
      <w:r>
        <w:rPr>
          <w:rFonts w:asciiTheme="majorEastAsia" w:hAnsiTheme="majorEastAsia" w:eastAsiaTheme="majorEastAsia"/>
          <w:bCs/>
          <w:sz w:val="18"/>
          <w:szCs w:val="18"/>
        </w:rPr>
        <w:t>80%</w:t>
      </w:r>
      <w:r>
        <w:rPr>
          <w:rFonts w:hint="eastAsia" w:asciiTheme="majorEastAsia" w:hAnsiTheme="majorEastAsia" w:eastAsiaTheme="majorEastAsia"/>
          <w:bCs/>
          <w:sz w:val="18"/>
          <w:szCs w:val="18"/>
        </w:rPr>
        <w:t>。</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w:t>
      </w:r>
      <w:r>
        <w:rPr>
          <w:rFonts w:asciiTheme="majorEastAsia" w:hAnsiTheme="majorEastAsia" w:eastAsiaTheme="majorEastAsia"/>
          <w:bCs/>
          <w:sz w:val="18"/>
          <w:szCs w:val="18"/>
        </w:rPr>
        <w:t>本产品存续期间，</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将</w:t>
      </w:r>
      <w:r>
        <w:rPr>
          <w:rFonts w:hint="eastAsia" w:asciiTheme="majorEastAsia" w:hAnsiTheme="majorEastAsia" w:eastAsiaTheme="majorEastAsia"/>
          <w:bCs/>
          <w:sz w:val="18"/>
          <w:szCs w:val="18"/>
        </w:rPr>
        <w:t>依约定公告理财投资对象与投资比例。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4.如果法律法规对本销售文件约定投资组合比例限制进行变更的，以变更后的规定为准。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特别提示：</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产品管理人应当自产品成立日起【</w:t>
      </w:r>
      <w:r>
        <w:rPr>
          <w:rFonts w:ascii="黑体" w:hAnsi="黑体" w:eastAsia="黑体"/>
          <w:bCs/>
          <w:sz w:val="18"/>
          <w:szCs w:val="18"/>
        </w:rPr>
        <w:t>3】</w:t>
      </w:r>
      <w:r>
        <w:rPr>
          <w:rFonts w:hint="eastAsia" w:ascii="黑体" w:hAnsi="黑体" w:eastAsia="黑体"/>
          <w:bCs/>
          <w:sz w:val="18"/>
          <w:szCs w:val="18"/>
        </w:rPr>
        <w:t>个月内</w:t>
      </w:r>
      <w:r>
        <w:rPr>
          <w:rFonts w:hint="eastAsia" w:asciiTheme="majorEastAsia" w:hAnsiTheme="majorEastAsia" w:eastAsiaTheme="majorEastAsia"/>
          <w:bCs/>
          <w:sz w:val="18"/>
          <w:szCs w:val="18"/>
        </w:rPr>
        <w:t>使产品的投资组合比例符合本销售文件的有关约定，</w:t>
      </w:r>
      <w:r>
        <w:rPr>
          <w:rFonts w:asciiTheme="majorEastAsia" w:hAnsiTheme="majorEastAsia" w:eastAsiaTheme="majorEastAsia"/>
          <w:bCs/>
          <w:sz w:val="18"/>
          <w:szCs w:val="18"/>
        </w:rPr>
        <w:t>上述</w:t>
      </w:r>
      <w:r>
        <w:rPr>
          <w:rFonts w:hint="eastAsia" w:asciiTheme="majorEastAsia" w:hAnsiTheme="majorEastAsia" w:eastAsiaTheme="majorEastAsia"/>
          <w:bCs/>
          <w:sz w:val="18"/>
          <w:szCs w:val="18"/>
        </w:rPr>
        <w:t>期间</w:t>
      </w:r>
      <w:r>
        <w:rPr>
          <w:rFonts w:asciiTheme="majorEastAsia" w:hAnsiTheme="majorEastAsia" w:eastAsiaTheme="majorEastAsia"/>
          <w:bCs/>
          <w:sz w:val="18"/>
          <w:szCs w:val="18"/>
        </w:rPr>
        <w:t>内</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本产品的投资</w:t>
      </w:r>
      <w:r>
        <w:rPr>
          <w:rFonts w:hint="eastAsia" w:asciiTheme="majorEastAsia" w:hAnsiTheme="majorEastAsia" w:eastAsiaTheme="majorEastAsia"/>
          <w:bCs/>
          <w:sz w:val="18"/>
          <w:szCs w:val="18"/>
        </w:rPr>
        <w:t>范围、投资</w:t>
      </w:r>
      <w:r>
        <w:rPr>
          <w:rFonts w:asciiTheme="majorEastAsia" w:hAnsiTheme="majorEastAsia" w:eastAsiaTheme="majorEastAsia"/>
          <w:bCs/>
          <w:sz w:val="18"/>
          <w:szCs w:val="18"/>
        </w:rPr>
        <w:t>策略</w:t>
      </w:r>
      <w:r>
        <w:rPr>
          <w:rFonts w:hint="eastAsia" w:asciiTheme="majorEastAsia" w:hAnsiTheme="majorEastAsia" w:eastAsiaTheme="majorEastAsia"/>
          <w:bCs/>
          <w:sz w:val="18"/>
          <w:szCs w:val="18"/>
        </w:rPr>
        <w:t>应当符合本销售文件</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约定</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产品管理人将本着诚实信用、谨慎勤勉的原则，在规定的范围内运用理财资金进行投资。</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金融市场发生重大变化导致理财产品投资比例暂时超出浮动区间且可能对理财产品收益产生重大影响的，产品管理人依约定及时向投资者进行信息披露。</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hAnsi="宋体"/>
          <w:sz w:val="18"/>
          <w:szCs w:val="18"/>
        </w:rPr>
        <w:t>★</w:t>
      </w:r>
      <w:r>
        <w:rPr>
          <w:rFonts w:hint="eastAsia" w:ascii="黑体" w:hAnsi="黑体" w:eastAsia="黑体"/>
          <w:bCs/>
          <w:sz w:val="18"/>
          <w:szCs w:val="18"/>
        </w:rPr>
        <w:t>产品管理人应当根据市场情况调整投资范围、投资资产种类或投资比例，并进行相应公告。超出前述约定投资比例的，除高风险类型的理财产品超出比例范围投资较低风险资产外，</w:t>
      </w:r>
      <w:r>
        <w:rPr>
          <w:rFonts w:ascii="黑体" w:hAnsi="黑体" w:eastAsia="黑体"/>
          <w:bCs/>
          <w:sz w:val="18"/>
          <w:szCs w:val="18"/>
        </w:rPr>
        <w:t>投资者有权不接受变更</w:t>
      </w:r>
      <w:r>
        <w:rPr>
          <w:rFonts w:hint="eastAsia" w:ascii="黑体" w:hAnsi="黑体" w:eastAsia="黑体"/>
          <w:bCs/>
          <w:sz w:val="18"/>
          <w:szCs w:val="18"/>
        </w:rPr>
        <w:t>，并通过赎回退出本产品。</w:t>
      </w:r>
    </w:p>
    <w:p>
      <w:pPr>
        <w:pStyle w:val="16"/>
        <w:spacing w:line="360" w:lineRule="auto"/>
        <w:ind w:firstLine="360" w:firstLineChars="200"/>
        <w:jc w:val="both"/>
        <w:rPr>
          <w:rFonts w:asciiTheme="majorEastAsia" w:hAnsiTheme="majorEastAsia" w:eastAsiaTheme="majorEastAsia"/>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hAnsi="宋体"/>
          <w:sz w:val="18"/>
          <w:szCs w:val="18"/>
        </w:rPr>
        <w:t>★</w:t>
      </w:r>
      <w:r>
        <w:rPr>
          <w:rFonts w:hint="eastAsia" w:ascii="黑体" w:hAnsi="黑体" w:eastAsia="黑体"/>
          <w:bCs/>
          <w:sz w:val="18"/>
          <w:szCs w:val="18"/>
        </w:rPr>
        <w:t>产品管理人</w:t>
      </w:r>
      <w:r>
        <w:rPr>
          <w:rFonts w:ascii="黑体" w:hAnsi="黑体" w:eastAsia="黑体"/>
          <w:bCs/>
          <w:sz w:val="18"/>
          <w:szCs w:val="18"/>
        </w:rPr>
        <w:t>按照法律法规、</w:t>
      </w:r>
      <w:r>
        <w:rPr>
          <w:rFonts w:hint="eastAsia" w:ascii="黑体" w:hAnsi="黑体" w:eastAsia="黑体"/>
          <w:bCs/>
          <w:sz w:val="18"/>
          <w:szCs w:val="18"/>
        </w:rPr>
        <w:t>理财产品</w:t>
      </w:r>
      <w:r>
        <w:rPr>
          <w:rFonts w:ascii="黑体" w:hAnsi="黑体" w:eastAsia="黑体"/>
          <w:bCs/>
          <w:sz w:val="18"/>
          <w:szCs w:val="18"/>
        </w:rPr>
        <w:t>销售文件及其他相关约定，诚实信用、谨慎勤勉地实施投资管理行为，以专业技能管理理财</w:t>
      </w:r>
      <w:r>
        <w:rPr>
          <w:rFonts w:hint="eastAsia" w:ascii="黑体" w:hAnsi="黑体" w:eastAsia="黑体"/>
          <w:bCs/>
          <w:sz w:val="18"/>
          <w:szCs w:val="18"/>
        </w:rPr>
        <w:t>产品</w:t>
      </w:r>
      <w:r>
        <w:rPr>
          <w:rFonts w:ascii="黑体" w:hAnsi="黑体" w:eastAsia="黑体"/>
          <w:bCs/>
          <w:sz w:val="18"/>
          <w:szCs w:val="18"/>
        </w:rPr>
        <w:t>资产，依法维护理财产品全体投资者的利益。</w:t>
      </w:r>
      <w:r>
        <w:rPr>
          <w:rFonts w:hint="eastAsia" w:ascii="黑体" w:hAnsi="黑体" w:eastAsia="黑体"/>
          <w:bCs/>
          <w:sz w:val="18"/>
          <w:szCs w:val="18"/>
        </w:rPr>
        <w:t>产品管理人</w:t>
      </w:r>
      <w:r>
        <w:rPr>
          <w:rFonts w:ascii="黑体" w:hAnsi="黑体" w:eastAsia="黑体"/>
          <w:bCs/>
          <w:sz w:val="18"/>
          <w:szCs w:val="18"/>
        </w:rPr>
        <w:t>不对本产品的收益情况作出承诺或保证，亦不会承诺或保证最低收益或本金安全。</w:t>
      </w:r>
      <w:r>
        <w:rPr>
          <w:rFonts w:hint="eastAsia" w:ascii="黑体" w:hAnsi="黑体" w:eastAsia="黑体"/>
          <w:bCs/>
          <w:sz w:val="18"/>
          <w:szCs w:val="18"/>
        </w:rPr>
        <w:t>产品管理人</w:t>
      </w:r>
      <w:r>
        <w:rPr>
          <w:rFonts w:ascii="黑体" w:hAnsi="黑体" w:eastAsia="黑体"/>
          <w:bCs/>
          <w:sz w:val="18"/>
          <w:szCs w:val="18"/>
        </w:rPr>
        <w:t>按照本</w:t>
      </w:r>
      <w:r>
        <w:rPr>
          <w:rFonts w:hint="eastAsia" w:ascii="黑体" w:hAnsi="黑体" w:eastAsia="黑体"/>
          <w:bCs/>
          <w:sz w:val="18"/>
          <w:szCs w:val="18"/>
        </w:rPr>
        <w:t>销售文件</w:t>
      </w:r>
      <w:r>
        <w:rPr>
          <w:rFonts w:ascii="黑体" w:hAnsi="黑体" w:eastAsia="黑体"/>
          <w:bCs/>
          <w:sz w:val="18"/>
          <w:szCs w:val="18"/>
        </w:rPr>
        <w:t>及其他相关</w:t>
      </w:r>
      <w:r>
        <w:rPr>
          <w:rFonts w:hint="eastAsia" w:ascii="黑体" w:hAnsi="黑体" w:eastAsia="黑体"/>
          <w:bCs/>
          <w:sz w:val="18"/>
          <w:szCs w:val="18"/>
        </w:rPr>
        <w:t>文件</w:t>
      </w:r>
      <w:r>
        <w:rPr>
          <w:rFonts w:ascii="黑体" w:hAnsi="黑体" w:eastAsia="黑体"/>
          <w:bCs/>
          <w:sz w:val="18"/>
          <w:szCs w:val="18"/>
        </w:rPr>
        <w:t>的规定进行投资运作，由此所产生的损失，</w:t>
      </w:r>
      <w:r>
        <w:rPr>
          <w:rFonts w:hint="eastAsia" w:ascii="黑体" w:hAnsi="黑体" w:eastAsia="黑体"/>
          <w:bCs/>
          <w:sz w:val="18"/>
          <w:szCs w:val="18"/>
        </w:rPr>
        <w:t>产品管理人</w:t>
      </w:r>
      <w:r>
        <w:rPr>
          <w:rFonts w:ascii="黑体" w:hAnsi="黑体" w:eastAsia="黑体"/>
          <w:bCs/>
          <w:sz w:val="18"/>
          <w:szCs w:val="18"/>
        </w:rPr>
        <w:t>不承担</w:t>
      </w:r>
      <w:r>
        <w:rPr>
          <w:rFonts w:hint="eastAsia" w:ascii="黑体" w:hAnsi="黑体" w:eastAsia="黑体"/>
          <w:bCs/>
          <w:sz w:val="18"/>
          <w:szCs w:val="18"/>
        </w:rPr>
        <w:t>责任</w:t>
      </w:r>
      <w:r>
        <w:rPr>
          <w:rFonts w:ascii="黑体" w:hAnsi="黑体" w:eastAsia="黑体"/>
          <w:bCs/>
          <w:sz w:val="18"/>
          <w:szCs w:val="18"/>
        </w:rPr>
        <w:t>。</w:t>
      </w:r>
    </w:p>
    <w:p>
      <w:pPr>
        <w:pStyle w:val="16"/>
        <w:spacing w:line="360" w:lineRule="auto"/>
        <w:ind w:firstLine="271" w:firstLineChars="150"/>
      </w:pPr>
      <w:r>
        <w:rPr>
          <w:rFonts w:hint="eastAsia" w:asciiTheme="majorEastAsia" w:hAnsiTheme="majorEastAsia" w:eastAsiaTheme="majorEastAsia"/>
          <w:b/>
          <w:color w:val="auto"/>
          <w:sz w:val="18"/>
          <w:szCs w:val="18"/>
        </w:rPr>
        <w:t>（三）投资限制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1.组合限制</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（1）本产品不得投资于以下金融工具：</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1）股票；</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2）可转换债券、可交换债券；</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3）以定期存款利率为基准利率的浮动利率债券，已进入最后一个利率调整期的除外；</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4）信用等级在AA+以下的债券、资产支持证券；</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5）监管部门、中国人民银行禁止投资的其他金融工具。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（2）投资于同一机构发行的债券及其作为原始权益人的资产支持证券的比例合计不得超过产品资产净值的10%，投资于国债、中央银行票据、政策性金融债券的除外。</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投资于所有主体信用评级低于AAA的机构发行的金融工具的比例合计不得超过产品资产净值的10%，其中单一机构发行的金融工具的比例合计不得超过产品资产净值的2%。金融工具包括债券、银行存款、同业存单、相关机构作为原始权益人的资产支持证券及监管部门认可的其他金融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4）投资于有固定期限银行存款的比例合计不得超过产品资产净值的30%，投资于有存款期限，根据协议可提前支取的银行存款除外；投资于主体信用评级为AAA的同一商业银行的银行存款、同业存单占产品资产净值的比例合计不得超过20%。</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（5）全部现金管理类理财产品投资于同一商业银行的存款、同业存单和债券，不得超过该商业银行最近一个季度末净资产的10%。</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（6）投资于主体信用评级低于AA+的商业银行的银行存款与同业存单的，应当经产品管理人董事会审议批准，事先告知托管人，并作为重大事项履行信息披露程序。</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7）每只开放式公募理财产品和每个交易日开放的私募理财产品直接投资于流动性受限资产的市值在开放日不得超过该产品资产净值的15%。每只定期开放式私募理财产品直接投资于流动性受限资产的市值在开放日不得超过该产品资产净值的20%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面向单一投资者发行的私募理财产品可不受前款比例限制。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因证券市场波动、上市公司股票停牌、理财产品规模变动等因素导致理财产品不符合本款规定比例限制的，该理财产品不得主动新增投资流动性受限资产。</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8</w:t>
      </w:r>
      <w:r>
        <w:rPr>
          <w:rFonts w:hint="eastAsia" w:asciiTheme="majorEastAsia" w:hAnsiTheme="majorEastAsia" w:eastAsiaTheme="majorEastAsia"/>
          <w:bCs/>
          <w:sz w:val="18"/>
          <w:szCs w:val="18"/>
        </w:rPr>
        <w:t>）开放式公募理财产品定期开放周期不低于90天的，在开放日及开放日前7个工作日内持有不低于该产品资产净值5%的现金或者到期日在一年以内的国债、中央银行票据和政策性金融债券。其他开放式公募理财产品持续满足持有不低于该产品资产净值5%的现金或者到期日在一年以内的国债、中央银行票据和政策性金融债券。</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9）每只开放式理财产品每日确认且需当日支付的净赎回申请不超过前一工作日产品7个工作日可变现资产的可变现价值，监管部门另有规定的除外。在开放日前一工作日内，每只开放式理财产品7个工作日可变现资产的可变现价值应当不低于该产品资产净值的10%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面向单一投资者发行的私募理财产品可不受前款比例限制。</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非主观因素导致突破前款各项比例限制的，</w:t>
      </w:r>
      <w:r>
        <w:rPr>
          <w:rFonts w:hint="eastAsia" w:asciiTheme="majorEastAsia" w:hAnsiTheme="majorEastAsia" w:eastAsiaTheme="majorEastAsia"/>
          <w:bCs/>
          <w:sz w:val="18"/>
          <w:szCs w:val="18"/>
          <w:highlight w:val="yellow"/>
        </w:rPr>
        <w:t>产品管理人</w:t>
      </w:r>
      <w:r>
        <w:rPr>
          <w:rFonts w:hint="eastAsia" w:asciiTheme="majorEastAsia" w:hAnsiTheme="majorEastAsia" w:eastAsiaTheme="majorEastAsia"/>
          <w:bCs/>
          <w:sz w:val="18"/>
          <w:szCs w:val="18"/>
        </w:rPr>
        <w:t>应当在10个交易日内调整至符合要求，监管部门规定的特殊情形除外。</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w:t>
      </w:r>
      <w:r>
        <w:rPr>
          <w:rFonts w:asciiTheme="majorEastAsia" w:hAnsiTheme="majorEastAsia" w:eastAsiaTheme="majorEastAsia"/>
          <w:bCs/>
          <w:sz w:val="18"/>
          <w:szCs w:val="18"/>
        </w:rPr>
        <w:t>本</w:t>
      </w:r>
      <w:r>
        <w:rPr>
          <w:rFonts w:hint="eastAsia" w:asciiTheme="majorEastAsia" w:hAnsiTheme="majorEastAsia" w:eastAsiaTheme="majorEastAsia"/>
          <w:bCs/>
          <w:sz w:val="18"/>
          <w:szCs w:val="18"/>
        </w:rPr>
        <w:t>产品持有足够的具有良好流动性的资产，投资组合符合以下要求：</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（1）产品持有不低于产品资产净值5%的现金、国债、中央银行票据、政策性金融债券；</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（2）产品持有不低于产品资产净值10%的现金、国债、中央银行票据、政策性金融债券以及五个交易日内到期的其他金融工具；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产品投资到期日在10个交易日以上的债券买入返售、银行定期存款（含协议约定有条件提前支取的银行存款），以及资产支持证券、因发行人债务违约无法进行转让或者交易的债券等由于法律法规、合同或者操作障碍等原因无法以合理价格予以变现的流动性受限资产，合计不得超过产品资产净值的10%；</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（4）产品的杠杆水平不得超过120%，发生巨额赎回、连续3个交易日累计赎回20%以上或者连续5个交易日累计赎回30%以上的情形除外。</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非主观因素导致突破前款第（2）（4）项比例限制的，产品管理人应当在10个交易日内调整至符合要求；非主观因素导致突破前款第（3）项比例限制的，产品管理人不得主动新增流动性受限资产的投资。</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3.产品投资组合的平均剩余期限不得超过120天，平均剩余存续期限不得超过240天。</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4</w:t>
      </w:r>
      <w:r>
        <w:rPr>
          <w:rFonts w:asciiTheme="majorEastAsia" w:hAnsiTheme="majorEastAsia" w:eastAsiaTheme="majorEastAsia"/>
          <w:bCs/>
          <w:kern w:val="0"/>
          <w:sz w:val="18"/>
          <w:szCs w:val="18"/>
        </w:rPr>
        <w:t>.产品管理人对产品的投资者</w:t>
      </w:r>
      <w:r>
        <w:rPr>
          <w:rFonts w:hint="eastAsia" w:asciiTheme="majorEastAsia" w:hAnsiTheme="majorEastAsia" w:eastAsiaTheme="majorEastAsia"/>
          <w:bCs/>
          <w:kern w:val="0"/>
          <w:sz w:val="18"/>
          <w:szCs w:val="18"/>
        </w:rPr>
        <w:t>集中度实施严格的监控与管理，并根据投资者集中度情况对投资组合实施调整：</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当前10名投资者的持有份额合计超过产品总份额的50%时,投资组合的平均剩余期限不得超过60天,平均剩余存续期限不得超过120天，投资组合中现金、国债、中央银行票据、政策性金融债券以及5个交易日内到期的其他金融工具占产品资产净值的比例合计不得低于30%;</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当前10名投资者的持有份额合计超过产品总份额的20%时,投资组合的平均剩余期限不得超过90天,平均剩余存续期限不得超过180天,投资组合中现金、国债、中央银行票据、政策性金融债券以及5个交易日内到期的其他金融工具占该产品资产净值的比例合计不得低于20%。</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非因管理人主观因素导致突破前款第(1)(2)项比例限制的，管理人应当在10个交易日内调整至符合要求,监管部门规定的特殊情形除外。</w:t>
      </w:r>
    </w:p>
    <w:p>
      <w:pPr>
        <w:spacing w:line="360" w:lineRule="auto"/>
        <w:ind w:firstLine="360" w:firstLineChars="200"/>
        <w:rPr>
          <w:rFonts w:ascii="宋体" w:hAnsi="宋体"/>
          <w:bCs/>
          <w:sz w:val="18"/>
          <w:szCs w:val="18"/>
        </w:rPr>
      </w:pPr>
      <w:r>
        <w:rPr>
          <w:rFonts w:hint="eastAsia" w:ascii="宋体" w:hAnsi="宋体"/>
          <w:bCs/>
          <w:sz w:val="18"/>
          <w:szCs w:val="18"/>
        </w:rPr>
        <w:t>5</w:t>
      </w:r>
      <w:r>
        <w:rPr>
          <w:rFonts w:ascii="宋体" w:hAnsi="宋体"/>
          <w:bCs/>
          <w:sz w:val="18"/>
          <w:szCs w:val="18"/>
        </w:rPr>
        <w:t>.</w:t>
      </w:r>
      <w:r>
        <w:rPr>
          <w:rFonts w:hint="eastAsia" w:ascii="宋体" w:hAnsi="宋体"/>
          <w:bCs/>
          <w:sz w:val="18"/>
          <w:szCs w:val="18"/>
        </w:rPr>
        <w:t>其他投资限制：</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1</w:t>
      </w:r>
      <w:r>
        <w:rPr>
          <w:rFonts w:hint="eastAsia" w:ascii="宋体" w:hAnsi="宋体"/>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）面向非机构投资者发行的理财产品不得直接或间接投资于不良资产、不良资产支持证券，国务院银行业监督管理机构另有规定的除外。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w:t>
      </w:r>
      <w:r>
        <w:rPr>
          <w:rFonts w:hint="eastAsia" w:ascii="宋体" w:hAnsi="宋体"/>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r>
        <w:rPr>
          <w:rFonts w:hint="eastAsia" w:ascii="宋体" w:hAnsi="宋体"/>
          <w:bCs/>
          <w:sz w:val="18"/>
          <w:szCs w:val="18"/>
        </w:rPr>
        <w:t>不持有金融牌照的机构发行的产品或管理的资产，金融资产投资公司的附属机构依法依规设立的私募股权投资基金以及国务院银行业监督管理机构另有规定的除外。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）不得直接或间接投资于兴业银行信贷资产受（收）益权，面向非机构投资者发行的理财产品不得直接或间接投资于不良资产受（收）益权。</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5</w:t>
      </w:r>
      <w:r>
        <w:rPr>
          <w:rFonts w:hint="eastAsia" w:ascii="宋体" w:hAnsi="宋体"/>
          <w:bCs/>
          <w:sz w:val="18"/>
          <w:szCs w:val="18"/>
        </w:rPr>
        <w:t>）其他法律法规规定或监管规定禁止或限制理财产品投资的情形。</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6.</w:t>
      </w:r>
      <w:r>
        <w:rPr>
          <w:rFonts w:asciiTheme="majorEastAsia" w:hAnsiTheme="majorEastAsia" w:eastAsiaTheme="majorEastAsia"/>
          <w:bCs/>
          <w:sz w:val="18"/>
          <w:szCs w:val="18"/>
        </w:rPr>
        <w:t>如果法律法规对本</w:t>
      </w:r>
      <w:r>
        <w:rPr>
          <w:rFonts w:hint="eastAsia" w:asciiTheme="majorEastAsia" w:hAnsiTheme="majorEastAsia" w:eastAsiaTheme="majorEastAsia"/>
          <w:bCs/>
          <w:sz w:val="18"/>
          <w:szCs w:val="18"/>
        </w:rPr>
        <w:t>销售文件</w:t>
      </w:r>
      <w:r>
        <w:rPr>
          <w:rFonts w:asciiTheme="majorEastAsia" w:hAnsiTheme="majorEastAsia" w:eastAsiaTheme="majorEastAsia"/>
          <w:bCs/>
          <w:sz w:val="18"/>
          <w:szCs w:val="18"/>
        </w:rPr>
        <w:t>约定的投资限制进行变更的，以变更后的规定为准。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四</w:t>
      </w: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投资策略</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本产品根据对短期利率变动的预测，采用投资组合平均剩余期限控制下的主动性投资策略，利用定性分析和定量分析方法，通过对短期金融工具的积极投资，在控制风险和保证流动性的基础上，力争获得稳定的当期收益。</w:t>
      </w:r>
    </w:p>
    <w:p>
      <w:pPr>
        <w:pStyle w:val="6"/>
        <w:shd w:val="clear" w:color="auto" w:fill="FFFFFF"/>
        <w:spacing w:line="360" w:lineRule="auto"/>
        <w:rPr>
          <w:rFonts w:asciiTheme="majorEastAsia" w:hAnsiTheme="majorEastAsia" w:eastAsiaTheme="majorEastAsia"/>
          <w:sz w:val="18"/>
          <w:szCs w:val="18"/>
        </w:rPr>
      </w:pPr>
    </w:p>
    <w:p>
      <w:pPr>
        <w:pStyle w:val="6"/>
        <w:spacing w:line="360" w:lineRule="auto"/>
        <w:ind w:firstLine="360" w:firstLineChars="200"/>
        <w:rPr>
          <w:rFonts w:asciiTheme="majorEastAsia" w:hAnsiTheme="majorEastAsia" w:eastAsiaTheme="majorEastAsia"/>
          <w:sz w:val="18"/>
          <w:szCs w:val="18"/>
        </w:rPr>
      </w:pP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98" w:name="_Toc4741"/>
      <w:bookmarkStart w:id="99" w:name="_Toc24783"/>
      <w:bookmarkStart w:id="100" w:name="_Toc176189283"/>
      <w:bookmarkStart w:id="101" w:name="_Toc18329"/>
      <w:bookmarkStart w:id="102" w:name="_Toc18526"/>
      <w:bookmarkStart w:id="103" w:name="_Toc26986"/>
      <w:bookmarkStart w:id="104" w:name="_Toc18797"/>
      <w:bookmarkStart w:id="105" w:name="_Toc74065742"/>
      <w:bookmarkStart w:id="106" w:name="_Toc21988"/>
      <w:bookmarkStart w:id="107" w:name="_Toc139991735"/>
      <w:bookmarkStart w:id="108" w:name="_Toc14893"/>
      <w:bookmarkStart w:id="109" w:name="_Toc1823"/>
      <w:bookmarkStart w:id="110" w:name="_Toc7848"/>
      <w:bookmarkStart w:id="111" w:name="_Toc79154669"/>
      <w:bookmarkStart w:id="112" w:name="_Toc141703885"/>
      <w:bookmarkStart w:id="113" w:name="_Toc17912"/>
      <w:r>
        <w:rPr>
          <w:rFonts w:ascii="Times New Roman"/>
          <w:sz w:val="30"/>
        </w:rPr>
        <w:t>第</w:t>
      </w:r>
      <w:r>
        <w:rPr>
          <w:rFonts w:hint="eastAsia" w:ascii="Times New Roman"/>
          <w:sz w:val="30"/>
        </w:rPr>
        <w:t>六条</w:t>
      </w:r>
      <w:r>
        <w:rPr>
          <w:rFonts w:ascii="Times New Roman"/>
          <w:sz w:val="30"/>
        </w:rPr>
        <w:t xml:space="preserve">  </w:t>
      </w:r>
      <w:r>
        <w:rPr>
          <w:rFonts w:hint="eastAsia" w:ascii="Times New Roman"/>
          <w:sz w:val="30"/>
        </w:rPr>
        <w:t>理财产品的资产</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pPr>
        <w:pStyle w:val="16"/>
        <w:spacing w:line="360" w:lineRule="auto"/>
        <w:ind w:firstLine="361" w:firstLineChars="200"/>
        <w:rPr>
          <w:rFonts w:asciiTheme="majorEastAsia" w:hAnsiTheme="majorEastAsia" w:eastAsiaTheme="majorEastAsia"/>
          <w:b/>
          <w:color w:val="auto"/>
          <w:sz w:val="18"/>
          <w:szCs w:val="18"/>
        </w:rPr>
      </w:pPr>
      <w:bookmarkStart w:id="114" w:name="_Hlk490214295"/>
      <w:r>
        <w:rPr>
          <w:rFonts w:hint="eastAsia" w:asciiTheme="majorEastAsia" w:hAnsiTheme="majorEastAsia" w:eastAsiaTheme="majorEastAsia"/>
          <w:b/>
          <w:color w:val="auto"/>
          <w:sz w:val="18"/>
          <w:szCs w:val="18"/>
        </w:rPr>
        <w:t>（一）理财产品的资产的保管和处分</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本理财产品的资产独立于产品管理人和产品托管人的财产，并由产品托管人保管。</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产品管理人和产品托管人以其自有的财产承担其自身的法律责任，其债权人不得对本产品财产行使请求冻结、扣押或其他权利。除依法律法规规定的处分外，理财产品的资产不得被处分。</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（二）理财产品的有关账户</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产品管理人和产品托管人根据相关法律法规、规范性文件为本产品开立资金账户、证券账户以及投资所需的其他专用账户。</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开立的理财专用账户与产品管理人和产品托管人自有的财产账户以及其他理财产品的有关账户相独立。</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bookmarkEnd w:id="114"/>
    <w:p>
      <w:pPr>
        <w:pStyle w:val="2"/>
        <w:spacing w:before="0" w:after="0" w:line="360" w:lineRule="auto"/>
        <w:jc w:val="center"/>
        <w:rPr>
          <w:rFonts w:ascii="Times New Roman"/>
          <w:sz w:val="30"/>
        </w:rPr>
      </w:pPr>
      <w:bookmarkStart w:id="115" w:name="_Toc23261"/>
      <w:bookmarkStart w:id="116" w:name="_Toc98560352"/>
      <w:bookmarkStart w:id="117" w:name="_Toc176189284"/>
      <w:bookmarkStart w:id="118" w:name="_Toc48649707"/>
      <w:bookmarkStart w:id="119" w:name="_Toc7920"/>
      <w:bookmarkStart w:id="120" w:name="_Toc5681"/>
      <w:bookmarkStart w:id="121" w:name="_Toc79154670"/>
      <w:bookmarkStart w:id="122" w:name="_Toc139991736"/>
      <w:bookmarkStart w:id="123" w:name="_Toc79392606"/>
      <w:bookmarkStart w:id="124" w:name="_Toc123051452"/>
      <w:bookmarkStart w:id="125" w:name="_Toc10463"/>
      <w:bookmarkStart w:id="126" w:name="_Toc123112234"/>
      <w:bookmarkStart w:id="127" w:name="_Toc1427"/>
      <w:bookmarkStart w:id="128" w:name="_Toc610"/>
      <w:bookmarkStart w:id="129" w:name="_Toc4003"/>
      <w:bookmarkStart w:id="130" w:name="_Toc141703886"/>
      <w:bookmarkStart w:id="131" w:name="_Toc17244"/>
      <w:bookmarkStart w:id="132" w:name="_Toc23822"/>
      <w:bookmarkStart w:id="133" w:name="_Toc1270"/>
      <w:bookmarkStart w:id="134" w:name="_Toc74065743"/>
      <w:bookmarkStart w:id="135" w:name="_Toc20733"/>
      <w:bookmarkStart w:id="136" w:name="_Toc123102453"/>
      <w:r>
        <w:rPr>
          <w:rFonts w:ascii="Times New Roman"/>
          <w:sz w:val="30"/>
        </w:rPr>
        <w:t>第</w:t>
      </w:r>
      <w:r>
        <w:rPr>
          <w:rFonts w:hint="eastAsia" w:ascii="Times New Roman"/>
          <w:sz w:val="30"/>
        </w:rPr>
        <w:t>七条</w:t>
      </w:r>
      <w:r>
        <w:rPr>
          <w:rFonts w:ascii="Times New Roman"/>
          <w:sz w:val="30"/>
        </w:rPr>
        <w:t xml:space="preserve">  </w:t>
      </w:r>
      <w:r>
        <w:rPr>
          <w:rFonts w:hint="eastAsia" w:ascii="Times New Roman"/>
          <w:sz w:val="30"/>
        </w:rPr>
        <w:t>理财产品项下资产的估值</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pStyle w:val="16"/>
        <w:spacing w:line="360" w:lineRule="auto"/>
        <w:ind w:firstLine="360" w:firstLineChars="200"/>
        <w:rPr>
          <w:rFonts w:ascii="黑体" w:hAnsi="黑体" w:eastAsia="黑体"/>
          <w:color w:val="auto"/>
          <w:sz w:val="18"/>
          <w:szCs w:val="18"/>
        </w:rPr>
      </w:pPr>
      <w:r>
        <w:rPr>
          <w:rFonts w:hint="eastAsia" w:ascii="黑体" w:hAnsi="黑体" w:eastAsia="黑体"/>
          <w:color w:val="auto"/>
          <w:sz w:val="18"/>
          <w:szCs w:val="18"/>
        </w:rPr>
        <w:t>★注：本说明书估值条款所涉及的资产相关描述，仅为估值条款完备性而设计，并不代表本产品投资范围涉及该资产。本产品的投资范围仍应以“第五条 理财产品的投资”约定为准。</w:t>
      </w:r>
    </w:p>
    <w:p>
      <w:pPr>
        <w:pStyle w:val="16"/>
        <w:spacing w:line="360" w:lineRule="auto"/>
        <w:ind w:firstLine="361"/>
        <w:rPr>
          <w:rFonts w:hAnsi="宋体"/>
          <w:b/>
          <w:color w:val="auto"/>
          <w:sz w:val="18"/>
          <w:szCs w:val="18"/>
        </w:rPr>
      </w:pPr>
      <w:r>
        <w:rPr>
          <w:rFonts w:hint="eastAsia" w:hAnsi="宋体"/>
          <w:b/>
          <w:color w:val="auto"/>
          <w:sz w:val="18"/>
          <w:szCs w:val="18"/>
        </w:rPr>
        <w:t>（一）估值目的</w:t>
      </w:r>
    </w:p>
    <w:p>
      <w:pPr>
        <w:pStyle w:val="16"/>
        <w:spacing w:line="360" w:lineRule="auto"/>
        <w:ind w:firstLine="360"/>
        <w:rPr>
          <w:rFonts w:hAnsi="宋体"/>
          <w:color w:val="auto"/>
          <w:sz w:val="18"/>
          <w:szCs w:val="18"/>
        </w:rPr>
      </w:pPr>
      <w:r>
        <w:rPr>
          <w:rFonts w:hint="eastAsia" w:hAnsi="宋体"/>
          <w:color w:val="auto"/>
          <w:sz w:val="18"/>
          <w:szCs w:val="18"/>
        </w:rPr>
        <w:t>理财资产估值的目的是客观、准确地反映理财资产是否保值、增值。</w:t>
      </w:r>
    </w:p>
    <w:p>
      <w:pPr>
        <w:pStyle w:val="16"/>
        <w:spacing w:line="360" w:lineRule="auto"/>
        <w:ind w:firstLine="361"/>
        <w:rPr>
          <w:rFonts w:hAnsi="宋体"/>
          <w:b/>
          <w:color w:val="auto"/>
          <w:sz w:val="18"/>
          <w:szCs w:val="18"/>
        </w:rPr>
      </w:pPr>
      <w:r>
        <w:rPr>
          <w:rFonts w:hint="eastAsia" w:hAnsi="宋体"/>
          <w:b/>
          <w:color w:val="auto"/>
          <w:sz w:val="18"/>
          <w:szCs w:val="18"/>
        </w:rPr>
        <w:t>（二）估值频率</w:t>
      </w:r>
    </w:p>
    <w:p>
      <w:pPr>
        <w:pStyle w:val="16"/>
        <w:spacing w:line="360" w:lineRule="auto"/>
        <w:ind w:firstLine="450" w:firstLineChars="250"/>
        <w:rPr>
          <w:rFonts w:hAnsi="宋体"/>
          <w:color w:val="auto"/>
          <w:sz w:val="18"/>
          <w:szCs w:val="18"/>
        </w:rPr>
      </w:pPr>
      <w:r>
        <w:rPr>
          <w:rFonts w:hint="eastAsia"/>
          <w:color w:val="auto"/>
          <w:sz w:val="18"/>
          <w:szCs w:val="18"/>
        </w:rPr>
        <w:t>本产品存续期间，管理人每日进行估值。</w:t>
      </w:r>
    </w:p>
    <w:p>
      <w:pPr>
        <w:pStyle w:val="16"/>
        <w:spacing w:line="360" w:lineRule="auto"/>
        <w:ind w:firstLine="361"/>
        <w:rPr>
          <w:rFonts w:hAnsi="宋体"/>
          <w:b/>
          <w:color w:val="auto"/>
          <w:sz w:val="18"/>
          <w:szCs w:val="18"/>
        </w:rPr>
      </w:pPr>
      <w:r>
        <w:rPr>
          <w:rFonts w:hint="eastAsia" w:hAnsi="宋体"/>
          <w:b/>
          <w:color w:val="auto"/>
          <w:sz w:val="18"/>
          <w:szCs w:val="18"/>
        </w:rPr>
        <w:t>（三）估值对象</w:t>
      </w:r>
    </w:p>
    <w:p>
      <w:pPr>
        <w:pStyle w:val="16"/>
        <w:spacing w:line="360" w:lineRule="auto"/>
        <w:ind w:firstLine="450" w:firstLineChars="250"/>
        <w:rPr>
          <w:rFonts w:hAnsi="宋体"/>
          <w:color w:val="auto"/>
          <w:sz w:val="18"/>
          <w:szCs w:val="18"/>
        </w:rPr>
      </w:pPr>
      <w:r>
        <w:rPr>
          <w:rFonts w:hint="eastAsia" w:hAnsi="宋体"/>
          <w:color w:val="auto"/>
          <w:sz w:val="18"/>
          <w:szCs w:val="18"/>
        </w:rPr>
        <w:t>本产品所拥有的各类证券、资产管理产品和银行存款本息、应收款项、其它投资等资产及负债。</w:t>
      </w:r>
    </w:p>
    <w:p>
      <w:pPr>
        <w:pStyle w:val="16"/>
        <w:spacing w:line="360" w:lineRule="auto"/>
        <w:ind w:firstLine="361"/>
        <w:rPr>
          <w:rFonts w:hAnsi="宋体"/>
          <w:b/>
          <w:color w:val="auto"/>
          <w:sz w:val="18"/>
          <w:szCs w:val="18"/>
        </w:rPr>
      </w:pPr>
      <w:r>
        <w:rPr>
          <w:rFonts w:hint="eastAsia" w:hAnsi="宋体"/>
          <w:b/>
          <w:color w:val="auto"/>
          <w:sz w:val="18"/>
          <w:szCs w:val="18"/>
        </w:rPr>
        <w:t>（四）估值方法</w:t>
      </w:r>
    </w:p>
    <w:p>
      <w:pPr>
        <w:pStyle w:val="16"/>
        <w:spacing w:line="360" w:lineRule="auto"/>
        <w:ind w:firstLine="361"/>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1.</w:t>
      </w:r>
      <w:r>
        <w:rPr>
          <w:rFonts w:hint="eastAsia" w:asciiTheme="minorEastAsia" w:hAnsiTheme="minorEastAsia" w:eastAsiaTheme="minorEastAsia"/>
          <w:color w:val="auto"/>
          <w:sz w:val="18"/>
          <w:szCs w:val="18"/>
        </w:rPr>
        <w:t>标准化债权类资产估值</w:t>
      </w:r>
    </w:p>
    <w:p>
      <w:pPr>
        <w:pStyle w:val="16"/>
        <w:spacing w:line="360" w:lineRule="auto"/>
        <w:ind w:firstLine="36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债券类资产采用摊余成本法估值，即估值对象以买入成本列示，按票面利率或协议利率并考虑其买入时的溢价与折价，在其剩余存续期内按照实际利率法进行摊销，每日计提损益。</w:t>
      </w:r>
    </w:p>
    <w:p>
      <w:pPr>
        <w:pStyle w:val="16"/>
        <w:spacing w:line="360" w:lineRule="auto"/>
        <w:ind w:firstLine="361"/>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2</w:t>
      </w:r>
      <w:r>
        <w:rPr>
          <w:rFonts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rPr>
        <w:t>货币市场基金估值</w:t>
      </w:r>
    </w:p>
    <w:p>
      <w:pPr>
        <w:pStyle w:val="16"/>
        <w:spacing w:line="360" w:lineRule="auto"/>
        <w:ind w:firstLine="361"/>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rPr>
        <w:t>1</w:t>
      </w:r>
      <w:r>
        <w:rPr>
          <w:rFonts w:asciiTheme="minorEastAsia" w:hAnsiTheme="minorEastAsia" w:eastAsiaTheme="minorEastAsia"/>
          <w:color w:val="auto"/>
          <w:sz w:val="18"/>
          <w:szCs w:val="18"/>
        </w:rPr>
        <w:t>）本产品投资的境内非上市货币市场基金，按所投资基金前一估值日后至估值日期间（含节假日）的万份收益计提估值日基金收益</w:t>
      </w:r>
      <w:r>
        <w:rPr>
          <w:rFonts w:hint="eastAsia" w:asciiTheme="minorEastAsia" w:hAnsiTheme="minorEastAsia" w:eastAsiaTheme="minorEastAsia"/>
          <w:color w:val="auto"/>
          <w:sz w:val="18"/>
          <w:szCs w:val="18"/>
        </w:rPr>
        <w:t>；若前一估值日后至估值日期间（含节假日）基金万份收益未公布的，以基金管理人公布的最近一个估值日基金万份收益计算。</w:t>
      </w:r>
    </w:p>
    <w:p>
      <w:pPr>
        <w:pStyle w:val="16"/>
        <w:spacing w:line="360" w:lineRule="auto"/>
        <w:ind w:firstLine="361"/>
        <w:rPr>
          <w:rFonts w:asciiTheme="minorEastAsia" w:hAnsiTheme="minorEastAsia" w:eastAsiaTheme="minorEastAsia"/>
          <w:sz w:val="18"/>
          <w:szCs w:val="18"/>
        </w:rPr>
      </w:pPr>
      <w:r>
        <w:rPr>
          <w:rFonts w:asciiTheme="minorEastAsia" w:hAnsiTheme="minorEastAsia" w:eastAsiaTheme="minorEastAsia"/>
          <w:color w:val="auto"/>
          <w:sz w:val="18"/>
          <w:szCs w:val="18"/>
        </w:rPr>
        <w:t>（2)本产品投资的境内上市交易型货币市场基金，如所投资基金披露份额净值，则按所投资基金估值日的份额净值估值，</w:t>
      </w:r>
      <w:r>
        <w:rPr>
          <w:rFonts w:hint="eastAsia" w:asciiTheme="minorEastAsia" w:hAnsiTheme="minorEastAsia" w:eastAsiaTheme="minorEastAsia"/>
          <w:color w:val="auto"/>
          <w:sz w:val="18"/>
          <w:szCs w:val="18"/>
        </w:rPr>
        <w:t>若估值日基金份额净值未公布的，以基金管理人最近公布的基金份额净值计算；</w:t>
      </w:r>
      <w:r>
        <w:rPr>
          <w:rFonts w:asciiTheme="minorEastAsia" w:hAnsiTheme="minorEastAsia" w:eastAsiaTheme="minorEastAsia"/>
          <w:color w:val="auto"/>
          <w:sz w:val="18"/>
          <w:szCs w:val="18"/>
        </w:rPr>
        <w:t>如所投资基金披露万份（百份）收益，则按所投资基金前一估值日后至估值日期间（含节假日）的万份（百份）收益计提估值日基金收益</w:t>
      </w:r>
      <w:r>
        <w:rPr>
          <w:rFonts w:hint="eastAsia" w:asciiTheme="minorEastAsia" w:hAnsiTheme="minorEastAsia" w:eastAsiaTheme="minorEastAsia"/>
          <w:color w:val="auto"/>
          <w:sz w:val="18"/>
          <w:szCs w:val="18"/>
        </w:rPr>
        <w:t>；若前一估值日后至估值日期间（含节假日）的万份（百份）收益未公布的，则按最新万份（百份）收益计提估值日基金收益。</w:t>
      </w:r>
    </w:p>
    <w:p>
      <w:pPr>
        <w:pStyle w:val="16"/>
        <w:spacing w:line="360" w:lineRule="auto"/>
        <w:ind w:firstLine="361"/>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3</w:t>
      </w:r>
      <w:r>
        <w:rPr>
          <w:rFonts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rPr>
        <w:t>其他资产管理产品的估值</w:t>
      </w:r>
    </w:p>
    <w:p>
      <w:pPr>
        <w:spacing w:line="360" w:lineRule="auto"/>
        <w:ind w:firstLine="360" w:firstLineChars="200"/>
        <w:rPr>
          <w:rFonts w:hAnsi="宋体"/>
          <w:sz w:val="18"/>
        </w:rPr>
      </w:pPr>
      <w:r>
        <w:rPr>
          <w:rFonts w:hint="eastAsia" w:hAnsi="宋体"/>
          <w:sz w:val="18"/>
        </w:rPr>
        <w:t>其他资产管理产品，指理财产品投资的除证券投资基金以外的其他资产管理产品，主要包括：</w:t>
      </w:r>
      <w:r>
        <w:rPr>
          <w:rFonts w:hAnsi="宋体"/>
          <w:sz w:val="18"/>
        </w:rPr>
        <w:t>信托公司</w:t>
      </w:r>
      <w:r>
        <w:rPr>
          <w:rFonts w:hint="eastAsia" w:hAnsi="宋体"/>
          <w:sz w:val="18"/>
        </w:rPr>
        <w:t>、证券公司、证券公司子公司、基金管理公司、基金管理子公司、期货公司、期货公司子公司、保险资产管理机构、金融资产投资公司发行的资产管理产品。其他资产管理产品以估值日资产管理人提供的单位净值进行估值；</w:t>
      </w:r>
      <w:r>
        <w:rPr>
          <w:rFonts w:hint="eastAsia" w:asciiTheme="minorEastAsia" w:hAnsiTheme="minorEastAsia" w:eastAsiaTheme="minorEastAsia"/>
          <w:bCs/>
          <w:sz w:val="18"/>
          <w:szCs w:val="18"/>
        </w:rPr>
        <w:t>估值日资产管理人未提供净值，且从最近净值提供日到估值日整体市场环境及投资标的未发生重大变化的，可参考最近可获取的单位净值确定公允价值；若有充足证据表明最近可获取的净值不能真实反映公允价值的，可采用估值技术确定公允价值。</w:t>
      </w:r>
    </w:p>
    <w:p>
      <w:pPr>
        <w:spacing w:line="360" w:lineRule="auto"/>
        <w:ind w:firstLine="360" w:firstLineChars="200"/>
        <w:rPr>
          <w:rFonts w:hAnsi="宋体"/>
          <w:sz w:val="18"/>
        </w:rPr>
      </w:pPr>
      <w:r>
        <w:rPr>
          <w:rFonts w:hint="eastAsia" w:asciiTheme="minorEastAsia" w:hAnsiTheme="minorEastAsia" w:eastAsiaTheme="minorEastAsia"/>
          <w:sz w:val="18"/>
          <w:szCs w:val="18"/>
        </w:rPr>
        <w:t>4</w:t>
      </w:r>
      <w:r>
        <w:rPr>
          <w:rFonts w:asciiTheme="minorEastAsia" w:hAnsiTheme="minorEastAsia" w:eastAsiaTheme="minorEastAsia"/>
          <w:sz w:val="18"/>
          <w:szCs w:val="18"/>
        </w:rPr>
        <w:t>.</w:t>
      </w:r>
      <w:r>
        <w:rPr>
          <w:rFonts w:hint="eastAsia" w:asciiTheme="minorEastAsia" w:hAnsiTheme="minorEastAsia" w:eastAsiaTheme="minorEastAsia"/>
          <w:sz w:val="18"/>
          <w:szCs w:val="18"/>
        </w:rPr>
        <w:t>存款、拆借、回购等货币市场工具的估值</w:t>
      </w:r>
    </w:p>
    <w:p>
      <w:pPr>
        <w:spacing w:line="360" w:lineRule="auto"/>
        <w:ind w:firstLine="360" w:firstLineChars="200"/>
        <w:rPr>
          <w:rFonts w:hAnsi="宋体"/>
          <w:sz w:val="18"/>
          <w:szCs w:val="18"/>
        </w:rPr>
      </w:pPr>
      <w:r>
        <w:rPr>
          <w:rFonts w:hint="eastAsia" w:hAnsi="宋体"/>
          <w:sz w:val="18"/>
          <w:szCs w:val="18"/>
        </w:rPr>
        <w:t>以本金列示，按商定利率在实际持有期间内逐日计提利息。</w:t>
      </w:r>
    </w:p>
    <w:p>
      <w:pPr>
        <w:spacing w:line="360" w:lineRule="auto"/>
        <w:ind w:firstLine="360" w:firstLineChars="200"/>
        <w:rPr>
          <w:rFonts w:asciiTheme="minorEastAsia" w:hAnsiTheme="minorEastAsia" w:eastAsiaTheme="minorEastAsia"/>
          <w:sz w:val="18"/>
          <w:szCs w:val="18"/>
        </w:rPr>
      </w:pPr>
      <w:r>
        <w:rPr>
          <w:rFonts w:hint="eastAsia" w:asciiTheme="minorEastAsia" w:hAnsiTheme="minorEastAsia" w:eastAsiaTheme="minorEastAsia"/>
          <w:sz w:val="18"/>
          <w:szCs w:val="18"/>
        </w:rPr>
        <w:t>5.为了避免采用</w:t>
      </w:r>
      <w:r>
        <w:rPr>
          <w:rFonts w:asciiTheme="minorEastAsia" w:hAnsiTheme="minorEastAsia" w:eastAsiaTheme="minorEastAsia"/>
          <w:sz w:val="18"/>
          <w:szCs w:val="18"/>
        </w:rPr>
        <w:t>“</w:t>
      </w:r>
      <w:r>
        <w:rPr>
          <w:rFonts w:hint="eastAsia" w:asciiTheme="minorEastAsia" w:hAnsiTheme="minorEastAsia" w:eastAsiaTheme="minorEastAsia"/>
          <w:sz w:val="18"/>
          <w:szCs w:val="18"/>
        </w:rPr>
        <w:t>摊余成本法</w:t>
      </w:r>
      <w:r>
        <w:rPr>
          <w:rFonts w:asciiTheme="minorEastAsia" w:hAnsiTheme="minorEastAsia" w:eastAsiaTheme="minorEastAsia"/>
          <w:sz w:val="18"/>
          <w:szCs w:val="18"/>
        </w:rPr>
        <w:t>”</w:t>
      </w:r>
      <w:r>
        <w:rPr>
          <w:rFonts w:hint="eastAsia" w:asciiTheme="minorEastAsia" w:hAnsiTheme="minorEastAsia" w:eastAsiaTheme="minorEastAsia"/>
          <w:sz w:val="18"/>
          <w:szCs w:val="18"/>
        </w:rPr>
        <w:t>计算的理财资产净值与按市场利率和交易市价计算的理财资产净值发生重大偏离，从而对理财份额持有人的利益产生稀释和不公平的结果，产品管理人于每一估值日，采用估值技术，对理财持有的估值对象进行重新评估，即</w:t>
      </w:r>
      <w:r>
        <w:rPr>
          <w:rFonts w:asciiTheme="minorEastAsia" w:hAnsiTheme="minorEastAsia" w:eastAsiaTheme="minorEastAsia"/>
          <w:sz w:val="18"/>
          <w:szCs w:val="18"/>
        </w:rPr>
        <w:t>“</w:t>
      </w:r>
      <w:r>
        <w:rPr>
          <w:rFonts w:hint="eastAsia" w:asciiTheme="minorEastAsia" w:hAnsiTheme="minorEastAsia" w:eastAsiaTheme="minorEastAsia"/>
          <w:sz w:val="18"/>
          <w:szCs w:val="18"/>
        </w:rPr>
        <w:t>影子定价</w:t>
      </w:r>
      <w:r>
        <w:rPr>
          <w:rFonts w:asciiTheme="minorEastAsia" w:hAnsiTheme="minorEastAsia" w:eastAsiaTheme="minorEastAsia"/>
          <w:sz w:val="18"/>
          <w:szCs w:val="18"/>
        </w:rPr>
        <w:t>”</w:t>
      </w:r>
      <w:r>
        <w:rPr>
          <w:rFonts w:hint="eastAsia" w:asciiTheme="minorEastAsia" w:hAnsiTheme="minorEastAsia" w:eastAsiaTheme="minorEastAsia"/>
          <w:sz w:val="18"/>
          <w:szCs w:val="18"/>
        </w:rPr>
        <w:t>。</w:t>
      </w:r>
    </w:p>
    <w:p>
      <w:pPr>
        <w:spacing w:line="360" w:lineRule="auto"/>
        <w:ind w:firstLine="360" w:firstLineChars="200"/>
        <w:rPr>
          <w:rFonts w:asciiTheme="minorEastAsia" w:hAnsiTheme="minorEastAsia" w:eastAsiaTheme="minorEastAsia"/>
          <w:sz w:val="18"/>
          <w:szCs w:val="18"/>
        </w:rPr>
      </w:pPr>
      <w:r>
        <w:rPr>
          <w:rFonts w:hint="eastAsia" w:asciiTheme="minorEastAsia" w:hAnsiTheme="minorEastAsia" w:eastAsiaTheme="minorEastAsia"/>
          <w:sz w:val="18"/>
          <w:szCs w:val="18"/>
        </w:rPr>
        <w:t>当影子定价确定的资产净值与摊余成本法计算的资产净值正偏离度绝对值达到0.5%时，管理人将暂停接受认</w:t>
      </w:r>
      <w:r>
        <w:rPr>
          <w:rFonts w:asciiTheme="minorEastAsia" w:hAnsiTheme="minorEastAsia" w:eastAsiaTheme="minorEastAsia"/>
          <w:sz w:val="18"/>
          <w:szCs w:val="18"/>
        </w:rPr>
        <w:t>/申</w:t>
      </w:r>
      <w:r>
        <w:rPr>
          <w:rFonts w:hint="eastAsia" w:asciiTheme="minorEastAsia" w:hAnsiTheme="minorEastAsia" w:eastAsiaTheme="minorEastAsia"/>
          <w:sz w:val="18"/>
          <w:szCs w:val="18"/>
        </w:rPr>
        <w:t>购并在5个交易日内将正偏离度绝对值调整到0.5%以内。当负偏离度绝对值达到0.25%时，管理人应当在5个交易日内将负偏离度绝对值调整到0.25%以内。当负偏离度绝对值达到0.5%时，管理人应当采取相应措施，将负偏离度绝对值控制在0.5%以内。当负偏离度绝对值连续两个交易日超过0.5%时，管理人应当采用公允价值估值方法对持有投资组合的账面价值进行调整，或者采取暂停接受所有赎回申请并终止产品合同进行财产清算等措施。</w:t>
      </w:r>
      <w:r>
        <w:rPr>
          <w:rFonts w:asciiTheme="minorEastAsia" w:hAnsiTheme="minorEastAsia" w:eastAsiaTheme="minorEastAsia"/>
          <w:sz w:val="18"/>
          <w:szCs w:val="18"/>
        </w:rPr>
        <w:t xml:space="preserve"> </w:t>
      </w:r>
    </w:p>
    <w:p>
      <w:pPr>
        <w:spacing w:line="360" w:lineRule="auto"/>
        <w:ind w:firstLine="360" w:firstLineChars="200"/>
        <w:rPr>
          <w:rFonts w:asciiTheme="minorEastAsia" w:hAnsiTheme="minorEastAsia" w:eastAsiaTheme="minorEastAsia"/>
          <w:sz w:val="18"/>
          <w:szCs w:val="18"/>
        </w:rPr>
      </w:pPr>
      <w:r>
        <w:rPr>
          <w:rFonts w:hint="eastAsia" w:ascii="宋体" w:hAnsi="宋体"/>
          <w:bCs/>
          <w:sz w:val="18"/>
          <w:szCs w:val="18"/>
        </w:rPr>
        <w:t>6.</w:t>
      </w:r>
      <w:r>
        <w:rPr>
          <w:rFonts w:ascii="宋体" w:hAnsi="宋体"/>
          <w:bCs/>
          <w:sz w:val="18"/>
          <w:szCs w:val="18"/>
        </w:rPr>
        <w:t>如有确凿证据表明按上述方法进行估</w:t>
      </w:r>
      <w:r>
        <w:rPr>
          <w:rFonts w:hint="eastAsia" w:asciiTheme="minorEastAsia" w:hAnsiTheme="minorEastAsia"/>
          <w:sz w:val="18"/>
          <w:szCs w:val="18"/>
        </w:rPr>
        <w:t>值不能客观反映其公允价值的，产品管理人可根据具体情况与产品托管人商定后，</w:t>
      </w:r>
      <w:r>
        <w:rPr>
          <w:rFonts w:hint="eastAsia" w:hAnsi="宋体"/>
          <w:sz w:val="18"/>
          <w:szCs w:val="18"/>
        </w:rPr>
        <w:t>在综合考虑市场成交、市场报价、流动性、收益率曲线等因素基础上，</w:t>
      </w:r>
      <w:r>
        <w:rPr>
          <w:rFonts w:hint="eastAsia" w:asciiTheme="minorEastAsia" w:hAnsiTheme="minorEastAsia"/>
          <w:sz w:val="18"/>
          <w:szCs w:val="18"/>
        </w:rPr>
        <w:t>按最能反映公</w:t>
      </w:r>
      <w:r>
        <w:rPr>
          <w:rFonts w:hint="eastAsia" w:asciiTheme="minorEastAsia" w:hAnsiTheme="minorEastAsia" w:eastAsiaTheme="minorEastAsia"/>
          <w:sz w:val="18"/>
          <w:szCs w:val="18"/>
        </w:rPr>
        <w:t>允价值的价格估值。</w:t>
      </w:r>
    </w:p>
    <w:p>
      <w:pPr>
        <w:spacing w:line="360" w:lineRule="auto"/>
        <w:ind w:firstLine="360" w:firstLineChars="200"/>
        <w:rPr>
          <w:rFonts w:asciiTheme="minorEastAsia" w:hAnsiTheme="minorEastAsia" w:eastAsiaTheme="minorEastAsia"/>
          <w:sz w:val="18"/>
          <w:szCs w:val="18"/>
        </w:rPr>
      </w:pPr>
      <w:r>
        <w:rPr>
          <w:rFonts w:asciiTheme="minorEastAsia" w:hAnsiTheme="minorEastAsia" w:eastAsiaTheme="minorEastAsia"/>
          <w:sz w:val="18"/>
          <w:szCs w:val="18"/>
        </w:rPr>
        <w:t>7</w:t>
      </w:r>
      <w:r>
        <w:rPr>
          <w:rFonts w:hint="eastAsia" w:asciiTheme="minorEastAsia" w:hAnsiTheme="minorEastAsia" w:eastAsiaTheme="minorEastAsia"/>
          <w:sz w:val="18"/>
          <w:szCs w:val="18"/>
        </w:rPr>
        <w:t>.估值方法的调整</w:t>
      </w:r>
    </w:p>
    <w:p>
      <w:pPr>
        <w:pStyle w:val="16"/>
        <w:spacing w:line="360" w:lineRule="auto"/>
        <w:ind w:firstLine="360"/>
        <w:rPr>
          <w:rFonts w:ascii="黑体" w:hAnsi="黑体" w:eastAsia="黑体"/>
          <w:color w:val="auto"/>
          <w:sz w:val="18"/>
          <w:szCs w:val="18"/>
        </w:rPr>
      </w:pPr>
      <w:r>
        <w:rPr>
          <w:rFonts w:hint="eastAsia" w:hAnsi="宋体"/>
          <w:color w:val="auto"/>
          <w:sz w:val="18"/>
          <w:szCs w:val="18"/>
        </w:rPr>
        <w:t>★</w:t>
      </w:r>
      <w:r>
        <w:rPr>
          <w:rFonts w:hint="eastAsia" w:ascii="黑体" w:hAnsi="黑体" w:eastAsia="黑体"/>
          <w:color w:val="auto"/>
          <w:sz w:val="18"/>
          <w:szCs w:val="18"/>
        </w:rPr>
        <w:t>相关法律法规以及监管部门有强制规定的，从其规定。如有新增事项，按国家最新规定估值。</w:t>
      </w:r>
    </w:p>
    <w:p>
      <w:pPr>
        <w:pStyle w:val="16"/>
        <w:spacing w:line="360" w:lineRule="auto"/>
        <w:ind w:firstLine="361"/>
        <w:rPr>
          <w:rFonts w:hAnsi="宋体"/>
          <w:b/>
          <w:color w:val="auto"/>
          <w:sz w:val="18"/>
          <w:szCs w:val="18"/>
        </w:rPr>
      </w:pPr>
      <w:r>
        <w:rPr>
          <w:rFonts w:hint="eastAsia" w:hAnsi="宋体"/>
          <w:b/>
          <w:color w:val="auto"/>
          <w:sz w:val="18"/>
          <w:szCs w:val="18"/>
        </w:rPr>
        <w:t>（五）估值程序</w:t>
      </w:r>
    </w:p>
    <w:p>
      <w:pPr>
        <w:pStyle w:val="16"/>
        <w:spacing w:line="360" w:lineRule="auto"/>
        <w:ind w:firstLine="360"/>
        <w:rPr>
          <w:rFonts w:hAnsi="宋体"/>
          <w:color w:val="auto"/>
          <w:sz w:val="18"/>
          <w:szCs w:val="18"/>
        </w:rPr>
      </w:pPr>
      <w:r>
        <w:rPr>
          <w:rFonts w:hint="eastAsia" w:hAnsi="宋体"/>
          <w:color w:val="auto"/>
          <w:sz w:val="18"/>
          <w:szCs w:val="18"/>
        </w:rPr>
        <w:t>1.每万份理财产品收益是每万份理财份额的日净收益，精确至小数点后第</w:t>
      </w:r>
      <w:r>
        <w:rPr>
          <w:rFonts w:hAnsi="宋体"/>
          <w:color w:val="auto"/>
          <w:sz w:val="18"/>
          <w:szCs w:val="18"/>
        </w:rPr>
        <w:t>4位，小数点后第5</w:t>
      </w:r>
      <w:r>
        <w:rPr>
          <w:rFonts w:hint="eastAsia" w:hAnsi="宋体"/>
          <w:color w:val="auto"/>
          <w:sz w:val="18"/>
          <w:szCs w:val="18"/>
        </w:rPr>
        <w:t>位按去尾原则处理。本产品的收益分配按日结转份额，</w:t>
      </w:r>
      <w:r>
        <w:rPr>
          <w:rFonts w:hAnsi="宋体"/>
          <w:color w:val="auto"/>
          <w:sz w:val="18"/>
          <w:szCs w:val="18"/>
        </w:rPr>
        <w:t>7</w:t>
      </w:r>
      <w:r>
        <w:rPr>
          <w:rFonts w:hint="eastAsia" w:hAnsi="宋体"/>
          <w:color w:val="auto"/>
          <w:sz w:val="18"/>
          <w:szCs w:val="18"/>
        </w:rPr>
        <w:t>日年化收益率是以最近</w:t>
      </w:r>
      <w:r>
        <w:rPr>
          <w:rFonts w:hAnsi="宋体"/>
          <w:color w:val="auto"/>
          <w:sz w:val="18"/>
          <w:szCs w:val="18"/>
        </w:rPr>
        <w:t>7</w:t>
      </w:r>
      <w:r>
        <w:rPr>
          <w:rFonts w:hint="eastAsia" w:hAnsi="宋体"/>
          <w:color w:val="auto"/>
          <w:sz w:val="18"/>
          <w:szCs w:val="18"/>
        </w:rPr>
        <w:t>日</w:t>
      </w:r>
      <w:r>
        <w:rPr>
          <w:rFonts w:hAnsi="宋体"/>
          <w:color w:val="auto"/>
          <w:sz w:val="18"/>
          <w:szCs w:val="18"/>
        </w:rPr>
        <w:t>(</w:t>
      </w:r>
      <w:r>
        <w:rPr>
          <w:rFonts w:hint="eastAsia" w:hAnsi="宋体"/>
          <w:color w:val="auto"/>
          <w:sz w:val="18"/>
          <w:szCs w:val="18"/>
        </w:rPr>
        <w:t>含节假日</w:t>
      </w:r>
      <w:r>
        <w:rPr>
          <w:rFonts w:hAnsi="宋体"/>
          <w:color w:val="auto"/>
          <w:sz w:val="18"/>
          <w:szCs w:val="18"/>
        </w:rPr>
        <w:t>)</w:t>
      </w:r>
      <w:r>
        <w:rPr>
          <w:rFonts w:hint="eastAsia" w:hAnsi="宋体"/>
          <w:color w:val="auto"/>
          <w:sz w:val="18"/>
          <w:szCs w:val="18"/>
        </w:rPr>
        <w:t>收益所折算的年资产收益率，精确到百分号内小数点后</w:t>
      </w:r>
      <w:r>
        <w:rPr>
          <w:rFonts w:hAnsi="宋体"/>
          <w:color w:val="auto"/>
          <w:sz w:val="18"/>
          <w:szCs w:val="18"/>
        </w:rPr>
        <w:t>3</w:t>
      </w:r>
      <w:r>
        <w:rPr>
          <w:rFonts w:hint="eastAsia" w:hAnsi="宋体"/>
          <w:color w:val="auto"/>
          <w:sz w:val="18"/>
          <w:szCs w:val="18"/>
        </w:rPr>
        <w:t>位，小数点后第</w:t>
      </w:r>
      <w:r>
        <w:rPr>
          <w:rFonts w:hAnsi="宋体"/>
          <w:color w:val="auto"/>
          <w:sz w:val="18"/>
          <w:szCs w:val="18"/>
        </w:rPr>
        <w:t>4</w:t>
      </w:r>
      <w:r>
        <w:rPr>
          <w:rFonts w:hint="eastAsia" w:hAnsi="宋体"/>
          <w:color w:val="auto"/>
          <w:sz w:val="18"/>
          <w:szCs w:val="18"/>
        </w:rPr>
        <w:t>位四舍五入。国家另有规定的，从其规定。</w:t>
      </w:r>
    </w:p>
    <w:p>
      <w:pPr>
        <w:pStyle w:val="16"/>
        <w:spacing w:line="360" w:lineRule="auto"/>
        <w:ind w:firstLine="360"/>
        <w:rPr>
          <w:rFonts w:hAnsi="宋体"/>
          <w:color w:val="auto"/>
          <w:sz w:val="18"/>
          <w:szCs w:val="18"/>
        </w:rPr>
      </w:pPr>
      <w:r>
        <w:rPr>
          <w:rFonts w:hint="eastAsia" w:hAnsi="宋体"/>
          <w:color w:val="auto"/>
          <w:sz w:val="18"/>
          <w:szCs w:val="18"/>
        </w:rPr>
        <w:t>2.产品管理人对理财资产估值后，将理财产品份额净值、</w:t>
      </w:r>
      <w:r>
        <w:rPr>
          <w:rFonts w:hint="eastAsia" w:asciiTheme="minorEastAsia" w:hAnsiTheme="minorEastAsia" w:eastAsiaTheme="minorEastAsia"/>
          <w:color w:val="auto"/>
          <w:sz w:val="18"/>
          <w:szCs w:val="18"/>
        </w:rPr>
        <w:t>每万份理财收益和</w:t>
      </w:r>
      <w:r>
        <w:rPr>
          <w:rFonts w:asciiTheme="minorEastAsia" w:hAnsiTheme="minorEastAsia" w:eastAsiaTheme="minorEastAsia"/>
          <w:color w:val="auto"/>
          <w:sz w:val="18"/>
          <w:szCs w:val="18"/>
        </w:rPr>
        <w:t>7</w:t>
      </w:r>
      <w:r>
        <w:rPr>
          <w:rFonts w:hint="eastAsia" w:asciiTheme="minorEastAsia" w:hAnsiTheme="minorEastAsia" w:eastAsiaTheme="minorEastAsia"/>
          <w:color w:val="auto"/>
          <w:sz w:val="18"/>
          <w:szCs w:val="18"/>
        </w:rPr>
        <w:t>日年化收益率</w:t>
      </w:r>
      <w:r>
        <w:rPr>
          <w:rFonts w:hint="eastAsia" w:hAnsi="宋体"/>
          <w:color w:val="auto"/>
          <w:sz w:val="18"/>
          <w:szCs w:val="18"/>
        </w:rPr>
        <w:t>结果发送产品托管人，经产品托管人复核无误后，由产品管理人按规定对外公布。</w:t>
      </w:r>
    </w:p>
    <w:p>
      <w:pPr>
        <w:pStyle w:val="16"/>
        <w:spacing w:line="360" w:lineRule="auto"/>
        <w:ind w:firstLine="360"/>
        <w:rPr>
          <w:rFonts w:hAnsi="宋体"/>
          <w:color w:val="auto"/>
          <w:sz w:val="18"/>
          <w:szCs w:val="18"/>
        </w:rPr>
      </w:pPr>
      <w:r>
        <w:rPr>
          <w:rFonts w:hAnsi="宋体"/>
          <w:color w:val="auto"/>
          <w:sz w:val="18"/>
          <w:szCs w:val="18"/>
        </w:rPr>
        <w:t xml:space="preserve">3. </w:t>
      </w:r>
      <w:r>
        <w:rPr>
          <w:rFonts w:hint="eastAsia" w:hAnsi="宋体"/>
          <w:color w:val="auto"/>
          <w:sz w:val="18"/>
          <w:szCs w:val="18"/>
        </w:rPr>
        <w:t>如产品管理人或产品托管人发现理财估值违反本说明书约定的估值方法、程序及相关法律法规的规定或者未能充分维护理财份额持有人权益时，应立即通知对方，共同查明原因，双方协商解决。</w:t>
      </w:r>
    </w:p>
    <w:p>
      <w:pPr>
        <w:pStyle w:val="16"/>
        <w:spacing w:line="360" w:lineRule="auto"/>
        <w:ind w:firstLine="361" w:firstLineChars="200"/>
        <w:rPr>
          <w:rFonts w:cs="Times New Roman" w:asciiTheme="minorEastAsia" w:hAnsiTheme="minorEastAsia" w:eastAsiaTheme="minorEastAsia"/>
          <w:b/>
          <w:color w:val="auto"/>
          <w:sz w:val="18"/>
          <w:szCs w:val="18"/>
        </w:rPr>
      </w:pPr>
      <w:r>
        <w:rPr>
          <w:rFonts w:hint="eastAsia" w:cs="Times New Roman" w:asciiTheme="minorEastAsia" w:hAnsiTheme="minorEastAsia" w:eastAsiaTheme="minorEastAsia"/>
          <w:b/>
          <w:color w:val="auto"/>
          <w:sz w:val="18"/>
          <w:szCs w:val="18"/>
        </w:rPr>
        <w:t>（六）估值主体</w:t>
      </w:r>
    </w:p>
    <w:p>
      <w:pPr>
        <w:pStyle w:val="16"/>
        <w:spacing w:line="360" w:lineRule="auto"/>
        <w:ind w:firstLine="360"/>
        <w:rPr>
          <w:rFonts w:hAnsi="宋体"/>
          <w:color w:val="auto"/>
          <w:sz w:val="18"/>
          <w:szCs w:val="18"/>
        </w:rPr>
      </w:pPr>
      <w:r>
        <w:rPr>
          <w:rFonts w:hint="eastAsia" w:hAnsi="宋体"/>
          <w:color w:val="auto"/>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pPr>
        <w:pStyle w:val="16"/>
        <w:spacing w:line="360" w:lineRule="auto"/>
        <w:ind w:firstLine="360" w:firstLineChars="200"/>
        <w:rPr>
          <w:rFonts w:ascii="黑体" w:hAnsi="黑体" w:eastAsia="黑体"/>
          <w:sz w:val="18"/>
          <w:szCs w:val="18"/>
        </w:rPr>
      </w:pPr>
      <w:r>
        <w:rPr>
          <w:rFonts w:hint="eastAsia" w:ascii="黑体" w:hAnsi="黑体" w:eastAsia="黑体"/>
          <w:sz w:val="18"/>
          <w:szCs w:val="18"/>
        </w:rPr>
        <w:t>（七）★暂停估值</w:t>
      </w:r>
    </w:p>
    <w:p>
      <w:pPr>
        <w:pStyle w:val="16"/>
        <w:spacing w:line="360" w:lineRule="auto"/>
        <w:ind w:firstLine="360" w:firstLineChars="200"/>
        <w:rPr>
          <w:rFonts w:ascii="黑体" w:hAnsi="黑体" w:eastAsia="黑体"/>
          <w:sz w:val="18"/>
          <w:szCs w:val="18"/>
        </w:rPr>
      </w:pPr>
      <w:r>
        <w:rPr>
          <w:rFonts w:hint="eastAsia" w:ascii="黑体" w:hAnsi="黑体" w:eastAsia="黑体"/>
          <w:sz w:val="18"/>
          <w:szCs w:val="18"/>
        </w:rPr>
        <w:t>当发生以下情况时，产品管理人可暂停估值。估值条件恢复时，将按规定完成估值工作：</w:t>
      </w:r>
    </w:p>
    <w:p>
      <w:pPr>
        <w:pStyle w:val="16"/>
        <w:spacing w:line="360" w:lineRule="auto"/>
        <w:ind w:firstLine="360" w:firstLineChars="200"/>
        <w:rPr>
          <w:rFonts w:ascii="黑体" w:hAnsi="黑体" w:eastAsia="黑体"/>
          <w:sz w:val="18"/>
          <w:szCs w:val="18"/>
        </w:rPr>
      </w:pPr>
      <w:r>
        <w:rPr>
          <w:rFonts w:hint="eastAsia" w:ascii="黑体" w:hAnsi="黑体" w:eastAsia="黑体"/>
          <w:sz w:val="18"/>
          <w:szCs w:val="18"/>
        </w:rPr>
        <w:t>1.理财产品投资涉及的交易市场遇法定节假日或其他原因暂停营业时；</w:t>
      </w:r>
    </w:p>
    <w:p>
      <w:pPr>
        <w:pStyle w:val="16"/>
        <w:spacing w:line="360" w:lineRule="auto"/>
        <w:ind w:firstLine="360" w:firstLineChars="200"/>
        <w:rPr>
          <w:rFonts w:ascii="黑体" w:hAnsi="黑体" w:eastAsia="黑体"/>
          <w:sz w:val="18"/>
          <w:szCs w:val="18"/>
        </w:rPr>
      </w:pPr>
      <w:r>
        <w:rPr>
          <w:rFonts w:hint="eastAsia" w:ascii="黑体" w:hAnsi="黑体" w:eastAsia="黑体"/>
          <w:sz w:val="18"/>
          <w:szCs w:val="18"/>
        </w:rPr>
        <w:t>2.因任何不可抗力致使理财产品管理人、托管人无法准确评估资产价值时；</w:t>
      </w:r>
    </w:p>
    <w:p>
      <w:pPr>
        <w:pStyle w:val="16"/>
        <w:spacing w:line="360" w:lineRule="auto"/>
        <w:ind w:firstLine="360" w:firstLineChars="200"/>
        <w:rPr>
          <w:rFonts w:ascii="黑体" w:hAnsi="黑体" w:eastAsia="黑体"/>
          <w:sz w:val="18"/>
          <w:szCs w:val="18"/>
        </w:rPr>
      </w:pPr>
      <w:r>
        <w:rPr>
          <w:rFonts w:hint="eastAsia" w:ascii="黑体" w:hAnsi="黑体" w:eastAsia="黑体"/>
          <w:sz w:val="18"/>
          <w:szCs w:val="18"/>
        </w:rPr>
        <w:t>3.开放式理财产品在前一估值日内理财产品资产净值50%以上的资产不具备活跃交易市场或者在活跃市场中无报价，且不能采用估值技术可靠计量公允价值的；</w:t>
      </w:r>
    </w:p>
    <w:p>
      <w:pPr>
        <w:pStyle w:val="16"/>
        <w:spacing w:line="360" w:lineRule="auto"/>
        <w:ind w:firstLine="360" w:firstLineChars="200"/>
        <w:rPr>
          <w:rFonts w:ascii="黑体" w:hAnsi="黑体" w:eastAsia="黑体"/>
          <w:sz w:val="18"/>
          <w:szCs w:val="18"/>
        </w:rPr>
      </w:pPr>
      <w:r>
        <w:rPr>
          <w:rFonts w:hint="eastAsia" w:ascii="黑体" w:hAnsi="黑体" w:eastAsia="黑体"/>
          <w:sz w:val="18"/>
          <w:szCs w:val="18"/>
        </w:rPr>
        <w:t>4.监管机构规定的其他情形。</w:t>
      </w:r>
    </w:p>
    <w:p>
      <w:pPr>
        <w:pStyle w:val="16"/>
        <w:spacing w:line="360" w:lineRule="auto"/>
        <w:ind w:firstLine="360" w:firstLineChars="200"/>
        <w:rPr>
          <w:rFonts w:hAnsi="宋体"/>
          <w:color w:val="auto"/>
          <w:sz w:val="18"/>
          <w:szCs w:val="18"/>
        </w:rPr>
      </w:pPr>
    </w:p>
    <w:p>
      <w:pPr>
        <w:widowControl/>
        <w:spacing w:line="360" w:lineRule="auto"/>
        <w:jc w:val="left"/>
        <w:rPr>
          <w:rFonts w:ascii="宋体" w:hAnsi="宋体"/>
          <w:kern w:val="0"/>
          <w:sz w:val="18"/>
          <w:szCs w:val="18"/>
        </w:rPr>
      </w:pPr>
      <w:r>
        <w:rPr>
          <w:rFonts w:hAnsi="宋体"/>
          <w:sz w:val="18"/>
          <w:szCs w:val="18"/>
        </w:rPr>
        <w:br w:type="page"/>
      </w:r>
    </w:p>
    <w:p>
      <w:pPr>
        <w:pStyle w:val="2"/>
        <w:spacing w:before="0" w:after="0" w:line="360" w:lineRule="auto"/>
        <w:ind w:left="60" w:firstLine="10"/>
        <w:jc w:val="center"/>
        <w:rPr>
          <w:rFonts w:ascii="Times New Roman"/>
          <w:sz w:val="30"/>
        </w:rPr>
      </w:pPr>
      <w:bookmarkStart w:id="137" w:name="_Hlt70481650"/>
      <w:bookmarkEnd w:id="137"/>
      <w:bookmarkStart w:id="138" w:name="_Toc15143"/>
      <w:bookmarkStart w:id="139" w:name="_Toc14835"/>
      <w:bookmarkStart w:id="140" w:name="_Toc3601"/>
      <w:bookmarkStart w:id="141" w:name="_Toc31653"/>
      <w:bookmarkStart w:id="142" w:name="_Toc74065744"/>
      <w:bookmarkStart w:id="143" w:name="_Toc123051453"/>
      <w:bookmarkStart w:id="144" w:name="_Toc98560353"/>
      <w:bookmarkStart w:id="145" w:name="_Toc139991737"/>
      <w:bookmarkStart w:id="146" w:name="_Toc6810"/>
      <w:bookmarkStart w:id="147" w:name="_Toc31644"/>
      <w:bookmarkStart w:id="148" w:name="_Toc79154671"/>
      <w:bookmarkStart w:id="149" w:name="_Toc176189285"/>
      <w:bookmarkStart w:id="150" w:name="_Toc12245"/>
      <w:bookmarkStart w:id="151" w:name="_Toc31235"/>
      <w:bookmarkStart w:id="152" w:name="_Toc141703887"/>
      <w:bookmarkStart w:id="153" w:name="_Toc29251"/>
      <w:bookmarkStart w:id="154" w:name="_Toc26207"/>
      <w:bookmarkStart w:id="155" w:name="_Toc123112235"/>
      <w:bookmarkStart w:id="156" w:name="_Toc6405"/>
      <w:bookmarkStart w:id="157" w:name="_Toc123102454"/>
      <w:r>
        <w:rPr>
          <w:rFonts w:ascii="Times New Roman"/>
          <w:sz w:val="30"/>
        </w:rPr>
        <w:t>第</w:t>
      </w:r>
      <w:r>
        <w:rPr>
          <w:rFonts w:hint="eastAsia" w:ascii="Times New Roman"/>
          <w:sz w:val="30"/>
        </w:rPr>
        <w:t>八条</w:t>
      </w:r>
      <w:r>
        <w:rPr>
          <w:rFonts w:ascii="Times New Roman"/>
          <w:sz w:val="30"/>
        </w:rPr>
        <w:t xml:space="preserve">  </w:t>
      </w:r>
      <w:r>
        <w:rPr>
          <w:rFonts w:hint="eastAsia" w:ascii="Times New Roman"/>
          <w:sz w:val="30"/>
        </w:rPr>
        <w:t>理财产品的利益分配</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Start w:id="158" w:name="_Hlt55355235"/>
      <w:bookmarkEnd w:id="158"/>
      <w:bookmarkStart w:id="159" w:name="_Toc79392580"/>
      <w:bookmarkStart w:id="160" w:name="_Toc57530239"/>
      <w:bookmarkStart w:id="161" w:name="_Toc523711668"/>
      <w:bookmarkStart w:id="162" w:name="_Toc15118234"/>
    </w:p>
    <w:p>
      <w:pPr>
        <w:pStyle w:val="16"/>
        <w:spacing w:line="360" w:lineRule="auto"/>
        <w:ind w:firstLine="361" w:firstLineChars="200"/>
        <w:rPr>
          <w:rFonts w:hAnsi="宋体"/>
          <w:b/>
          <w:color w:val="auto"/>
          <w:sz w:val="18"/>
          <w:szCs w:val="18"/>
        </w:rPr>
      </w:pPr>
      <w:r>
        <w:rPr>
          <w:rFonts w:hint="eastAsia" w:hAnsi="宋体"/>
          <w:b/>
          <w:color w:val="auto"/>
          <w:sz w:val="18"/>
          <w:szCs w:val="18"/>
        </w:rPr>
        <w:t>（一）理财利益的分配类型</w:t>
      </w:r>
    </w:p>
    <w:p>
      <w:pPr>
        <w:pStyle w:val="16"/>
        <w:spacing w:line="360" w:lineRule="auto"/>
        <w:ind w:firstLine="360" w:firstLineChars="200"/>
        <w:rPr>
          <w:rFonts w:hAnsi="宋体"/>
          <w:color w:val="auto"/>
          <w:sz w:val="18"/>
          <w:szCs w:val="18"/>
        </w:rPr>
      </w:pPr>
      <w:r>
        <w:rPr>
          <w:rFonts w:hint="eastAsia" w:hAnsi="宋体"/>
          <w:color w:val="auto"/>
          <w:sz w:val="18"/>
          <w:szCs w:val="18"/>
        </w:rPr>
        <w:t>1.依据分配时点，理财利益的分配可分为“期间分配”与“终止分配”。</w:t>
      </w:r>
    </w:p>
    <w:p>
      <w:pPr>
        <w:pStyle w:val="16"/>
        <w:spacing w:line="360" w:lineRule="auto"/>
        <w:ind w:firstLine="360" w:firstLineChars="200"/>
        <w:rPr>
          <w:rFonts w:hAnsi="宋体"/>
          <w:color w:val="auto"/>
          <w:sz w:val="18"/>
          <w:szCs w:val="18"/>
        </w:rPr>
      </w:pPr>
      <w:r>
        <w:rPr>
          <w:rFonts w:hint="eastAsia" w:hAnsi="宋体"/>
          <w:color w:val="auto"/>
          <w:sz w:val="18"/>
          <w:szCs w:val="18"/>
        </w:rPr>
        <w:t>2.依据分配方式，理财利益的分配可分为“现金分配”与“非现金分配”。</w:t>
      </w:r>
    </w:p>
    <w:p>
      <w:pPr>
        <w:pStyle w:val="16"/>
        <w:spacing w:line="360" w:lineRule="auto"/>
        <w:ind w:firstLine="361" w:firstLineChars="200"/>
        <w:rPr>
          <w:rFonts w:hAnsi="宋体"/>
          <w:color w:val="auto"/>
          <w:sz w:val="18"/>
          <w:szCs w:val="18"/>
        </w:rPr>
      </w:pPr>
      <w:r>
        <w:rPr>
          <w:rFonts w:hint="eastAsia" w:hAnsi="宋体"/>
          <w:b/>
          <w:color w:val="auto"/>
          <w:sz w:val="18"/>
          <w:szCs w:val="18"/>
        </w:rPr>
        <w:t>（二）理财利益的分配原则</w:t>
      </w:r>
    </w:p>
    <w:p>
      <w:pPr>
        <w:pStyle w:val="16"/>
        <w:spacing w:line="360" w:lineRule="auto"/>
        <w:ind w:firstLine="360" w:firstLineChars="200"/>
        <w:rPr>
          <w:rFonts w:hAnsi="宋体"/>
          <w:color w:val="auto"/>
          <w:sz w:val="18"/>
          <w:szCs w:val="18"/>
        </w:rPr>
      </w:pPr>
      <w:r>
        <w:rPr>
          <w:rFonts w:hint="eastAsia" w:hAnsi="宋体"/>
          <w:color w:val="auto"/>
          <w:sz w:val="18"/>
          <w:szCs w:val="18"/>
        </w:rPr>
        <w:t>1</w:t>
      </w:r>
      <w:r>
        <w:rPr>
          <w:rFonts w:hAnsi="宋体"/>
          <w:color w:val="auto"/>
          <w:sz w:val="18"/>
          <w:szCs w:val="18"/>
        </w:rPr>
        <w:t>.</w:t>
      </w:r>
      <w:r>
        <w:rPr>
          <w:rFonts w:hint="eastAsia" w:hAnsi="宋体"/>
          <w:color w:val="auto"/>
          <w:sz w:val="18"/>
          <w:szCs w:val="18"/>
        </w:rPr>
        <w:t>本产品利益分配应遵循下列原则：</w:t>
      </w:r>
    </w:p>
    <w:p>
      <w:pPr>
        <w:pStyle w:val="16"/>
        <w:spacing w:line="360" w:lineRule="auto"/>
        <w:ind w:firstLine="360" w:firstLineChars="200"/>
        <w:rPr>
          <w:rFonts w:hAnsi="宋体"/>
          <w:color w:val="auto"/>
          <w:sz w:val="18"/>
          <w:szCs w:val="18"/>
        </w:rPr>
      </w:pPr>
      <w:r>
        <w:rPr>
          <w:rFonts w:hint="eastAsia" w:hAnsi="宋体"/>
          <w:color w:val="auto"/>
          <w:sz w:val="18"/>
          <w:szCs w:val="18"/>
        </w:rPr>
        <w:t>（1）每一产品份额</w:t>
      </w:r>
      <w:r>
        <w:rPr>
          <w:rFonts w:hAnsi="宋体"/>
          <w:color w:val="auto"/>
          <w:sz w:val="18"/>
          <w:szCs w:val="18"/>
        </w:rPr>
        <w:t>享有同等分配权</w:t>
      </w:r>
      <w:r>
        <w:rPr>
          <w:rFonts w:hint="eastAsia" w:hAnsi="宋体"/>
          <w:color w:val="auto"/>
          <w:sz w:val="18"/>
          <w:szCs w:val="18"/>
        </w:rPr>
        <w:t>。</w:t>
      </w:r>
    </w:p>
    <w:p>
      <w:pPr>
        <w:pStyle w:val="16"/>
        <w:spacing w:line="360" w:lineRule="auto"/>
        <w:ind w:firstLine="360" w:firstLineChars="200"/>
        <w:rPr>
          <w:rFonts w:hAnsi="宋体"/>
          <w:color w:val="auto"/>
          <w:sz w:val="18"/>
          <w:szCs w:val="18"/>
        </w:rPr>
      </w:pPr>
      <w:r>
        <w:rPr>
          <w:rFonts w:hint="eastAsia" w:hAnsi="宋体"/>
          <w:color w:val="auto"/>
          <w:sz w:val="18"/>
          <w:szCs w:val="18"/>
        </w:rPr>
        <w:t>（2）</w:t>
      </w:r>
      <w:r>
        <w:rPr>
          <w:rFonts w:hAnsi="宋体"/>
          <w:color w:val="auto"/>
          <w:sz w:val="18"/>
          <w:szCs w:val="18"/>
        </w:rPr>
        <w:t>本</w:t>
      </w:r>
      <w:r>
        <w:rPr>
          <w:rFonts w:hint="eastAsia" w:hAnsi="宋体"/>
          <w:color w:val="auto"/>
          <w:sz w:val="18"/>
          <w:szCs w:val="18"/>
        </w:rPr>
        <w:t>产品</w:t>
      </w:r>
      <w:r>
        <w:rPr>
          <w:rFonts w:hAnsi="宋体"/>
          <w:color w:val="auto"/>
          <w:sz w:val="18"/>
          <w:szCs w:val="18"/>
        </w:rPr>
        <w:t>收益分配方式为红利再投资，免收再投资的费用</w:t>
      </w:r>
      <w:r>
        <w:rPr>
          <w:rFonts w:hint="eastAsia" w:hAnsi="宋体"/>
          <w:color w:val="auto"/>
          <w:sz w:val="18"/>
          <w:szCs w:val="18"/>
        </w:rPr>
        <w:t>。</w:t>
      </w:r>
    </w:p>
    <w:p>
      <w:pPr>
        <w:pStyle w:val="16"/>
        <w:spacing w:line="360" w:lineRule="auto"/>
        <w:ind w:firstLine="360" w:firstLineChars="200"/>
        <w:rPr>
          <w:rFonts w:hAnsi="宋体"/>
          <w:color w:val="auto"/>
          <w:sz w:val="18"/>
          <w:szCs w:val="18"/>
        </w:rPr>
      </w:pPr>
      <w:r>
        <w:rPr>
          <w:rFonts w:hint="eastAsia" w:hAnsi="宋体"/>
          <w:color w:val="auto"/>
          <w:sz w:val="18"/>
          <w:szCs w:val="18"/>
        </w:rPr>
        <w:t>（3）</w:t>
      </w:r>
      <w:r>
        <w:rPr>
          <w:rFonts w:hAnsi="宋体"/>
          <w:color w:val="auto"/>
          <w:sz w:val="18"/>
          <w:szCs w:val="18"/>
        </w:rPr>
        <w:t>“</w:t>
      </w:r>
      <w:r>
        <w:rPr>
          <w:rFonts w:hint="eastAsia" w:hAnsi="宋体"/>
          <w:color w:val="auto"/>
          <w:sz w:val="18"/>
          <w:szCs w:val="18"/>
        </w:rPr>
        <w:t>每日分配、按日支付</w:t>
      </w:r>
      <w:r>
        <w:rPr>
          <w:rFonts w:hAnsi="宋体"/>
          <w:color w:val="auto"/>
          <w:sz w:val="18"/>
          <w:szCs w:val="18"/>
        </w:rPr>
        <w:t>”</w:t>
      </w:r>
      <w:r>
        <w:rPr>
          <w:rFonts w:hint="eastAsia" w:hAnsi="宋体"/>
          <w:color w:val="auto"/>
          <w:sz w:val="18"/>
          <w:szCs w:val="18"/>
        </w:rPr>
        <w:t>。本产品根据每日理财收益情况，以每万份理财收益为基准，为投资人每日计算当日收益并分配，且每日进行支付。投资者当日收益分配的计算保留到小数点后</w:t>
      </w:r>
      <w:r>
        <w:rPr>
          <w:rFonts w:hAnsi="宋体"/>
          <w:color w:val="auto"/>
          <w:sz w:val="18"/>
          <w:szCs w:val="18"/>
        </w:rPr>
        <w:t>2</w:t>
      </w:r>
      <w:r>
        <w:rPr>
          <w:rFonts w:hint="eastAsia" w:hAnsi="宋体"/>
          <w:color w:val="auto"/>
          <w:sz w:val="18"/>
          <w:szCs w:val="18"/>
        </w:rPr>
        <w:t>位，小数点后第</w:t>
      </w:r>
      <w:r>
        <w:rPr>
          <w:rFonts w:hAnsi="宋体"/>
          <w:color w:val="auto"/>
          <w:sz w:val="18"/>
          <w:szCs w:val="18"/>
        </w:rPr>
        <w:t>3</w:t>
      </w:r>
      <w:r>
        <w:rPr>
          <w:rFonts w:hint="eastAsia" w:hAnsi="宋体"/>
          <w:color w:val="auto"/>
          <w:sz w:val="18"/>
          <w:szCs w:val="18"/>
        </w:rPr>
        <w:t>位按去尾原则处理。</w:t>
      </w:r>
    </w:p>
    <w:p>
      <w:pPr>
        <w:pStyle w:val="16"/>
        <w:spacing w:line="360" w:lineRule="auto"/>
        <w:ind w:firstLine="360" w:firstLineChars="200"/>
        <w:rPr>
          <w:rFonts w:hAnsi="宋体"/>
          <w:color w:val="auto"/>
          <w:sz w:val="18"/>
          <w:szCs w:val="18"/>
        </w:rPr>
      </w:pPr>
      <w:r>
        <w:rPr>
          <w:rFonts w:hint="eastAsia" w:hAnsi="宋体"/>
          <w:color w:val="auto"/>
          <w:sz w:val="18"/>
          <w:szCs w:val="18"/>
        </w:rPr>
        <w:t>（4）</w:t>
      </w:r>
      <w:r>
        <w:rPr>
          <w:rFonts w:hAnsi="宋体"/>
          <w:color w:val="auto"/>
          <w:sz w:val="18"/>
          <w:szCs w:val="18"/>
        </w:rPr>
        <w:t>本</w:t>
      </w:r>
      <w:r>
        <w:rPr>
          <w:rFonts w:hint="eastAsia" w:hAnsi="宋体"/>
          <w:color w:val="auto"/>
          <w:sz w:val="18"/>
          <w:szCs w:val="18"/>
        </w:rPr>
        <w:t>产品</w:t>
      </w:r>
      <w:r>
        <w:rPr>
          <w:rFonts w:hAnsi="宋体"/>
          <w:color w:val="auto"/>
          <w:sz w:val="18"/>
          <w:szCs w:val="18"/>
        </w:rPr>
        <w:t>根据每日收益情况，将当日收益全部分配，若当日</w:t>
      </w:r>
      <w:r>
        <w:rPr>
          <w:rFonts w:hint="eastAsia" w:hAnsi="宋体"/>
          <w:color w:val="auto"/>
          <w:sz w:val="18"/>
          <w:szCs w:val="18"/>
        </w:rPr>
        <w:t>理财产品收益</w:t>
      </w:r>
      <w:r>
        <w:rPr>
          <w:rFonts w:hAnsi="宋体"/>
          <w:color w:val="auto"/>
          <w:sz w:val="18"/>
          <w:szCs w:val="18"/>
        </w:rPr>
        <w:t>大于零时，为投资</w:t>
      </w:r>
      <w:r>
        <w:rPr>
          <w:rFonts w:hint="eastAsia" w:hAnsi="宋体"/>
          <w:color w:val="auto"/>
          <w:sz w:val="18"/>
          <w:szCs w:val="18"/>
        </w:rPr>
        <w:t>者</w:t>
      </w:r>
      <w:r>
        <w:rPr>
          <w:rFonts w:hAnsi="宋体"/>
          <w:color w:val="auto"/>
          <w:sz w:val="18"/>
          <w:szCs w:val="18"/>
        </w:rPr>
        <w:t>记正收益；若当日</w:t>
      </w:r>
      <w:r>
        <w:rPr>
          <w:rFonts w:hint="eastAsia" w:hAnsi="宋体"/>
          <w:color w:val="auto"/>
          <w:sz w:val="18"/>
          <w:szCs w:val="18"/>
        </w:rPr>
        <w:t>理财产品收益</w:t>
      </w:r>
      <w:r>
        <w:rPr>
          <w:rFonts w:hAnsi="宋体"/>
          <w:color w:val="auto"/>
          <w:sz w:val="18"/>
          <w:szCs w:val="18"/>
        </w:rPr>
        <w:t>小于零时，为投资人记负收益；若当日</w:t>
      </w:r>
      <w:r>
        <w:rPr>
          <w:rFonts w:hint="eastAsia" w:hAnsi="宋体"/>
          <w:color w:val="auto"/>
          <w:sz w:val="18"/>
          <w:szCs w:val="18"/>
        </w:rPr>
        <w:t>理财产品收益</w:t>
      </w:r>
      <w:r>
        <w:rPr>
          <w:rFonts w:hAnsi="宋体"/>
          <w:color w:val="auto"/>
          <w:sz w:val="18"/>
          <w:szCs w:val="18"/>
        </w:rPr>
        <w:t>等于零时，当日投资</w:t>
      </w:r>
      <w:r>
        <w:rPr>
          <w:rFonts w:hint="eastAsia" w:hAnsi="宋体"/>
          <w:color w:val="auto"/>
          <w:sz w:val="18"/>
          <w:szCs w:val="18"/>
        </w:rPr>
        <w:t>者</w:t>
      </w:r>
      <w:r>
        <w:rPr>
          <w:rFonts w:hAnsi="宋体"/>
          <w:color w:val="auto"/>
          <w:sz w:val="18"/>
          <w:szCs w:val="18"/>
        </w:rPr>
        <w:t>不记收益</w:t>
      </w:r>
      <w:r>
        <w:rPr>
          <w:rFonts w:hint="eastAsia" w:hAnsi="宋体"/>
          <w:color w:val="auto"/>
          <w:sz w:val="18"/>
          <w:szCs w:val="18"/>
        </w:rPr>
        <w:t>。</w:t>
      </w:r>
    </w:p>
    <w:p>
      <w:pPr>
        <w:pStyle w:val="16"/>
        <w:spacing w:line="360" w:lineRule="auto"/>
        <w:ind w:firstLine="360" w:firstLineChars="200"/>
        <w:rPr>
          <w:rFonts w:hAnsi="宋体"/>
          <w:color w:val="auto"/>
          <w:sz w:val="18"/>
          <w:szCs w:val="18"/>
        </w:rPr>
      </w:pPr>
      <w:r>
        <w:rPr>
          <w:rFonts w:hint="eastAsia" w:hAnsi="宋体"/>
          <w:color w:val="auto"/>
          <w:sz w:val="18"/>
          <w:szCs w:val="18"/>
        </w:rPr>
        <w:t>（5）</w:t>
      </w:r>
      <w:r>
        <w:rPr>
          <w:rFonts w:hAnsi="宋体"/>
          <w:color w:val="auto"/>
          <w:sz w:val="18"/>
          <w:szCs w:val="18"/>
        </w:rPr>
        <w:t>本产品每日进行收益计算并分配时，</w:t>
      </w:r>
      <w:r>
        <w:rPr>
          <w:rFonts w:hint="eastAsia" w:asciiTheme="majorEastAsia" w:hAnsiTheme="majorEastAsia" w:eastAsiaTheme="majorEastAsia"/>
          <w:bCs/>
          <w:color w:val="auto"/>
          <w:sz w:val="18"/>
          <w:szCs w:val="18"/>
        </w:rPr>
        <w:t>产品管理人</w:t>
      </w:r>
      <w:r>
        <w:rPr>
          <w:rFonts w:hint="eastAsia" w:hAnsi="宋体"/>
          <w:color w:val="auto"/>
          <w:sz w:val="18"/>
          <w:szCs w:val="18"/>
        </w:rPr>
        <w:t>根据每日理财收益情况，以每万份理财收益为基准，为投资人每日计算当日收益并分配，且每日进行支付，</w:t>
      </w:r>
      <w:r>
        <w:rPr>
          <w:rFonts w:hAnsi="宋体"/>
          <w:color w:val="auto"/>
          <w:sz w:val="18"/>
          <w:szCs w:val="18"/>
        </w:rPr>
        <w:t>支付方式只采用红利再投资</w:t>
      </w:r>
      <w:r>
        <w:rPr>
          <w:rFonts w:hint="eastAsia" w:hAnsi="宋体"/>
          <w:color w:val="auto"/>
          <w:sz w:val="18"/>
          <w:szCs w:val="18"/>
        </w:rPr>
        <w:t>（</w:t>
      </w:r>
      <w:r>
        <w:rPr>
          <w:rFonts w:hAnsi="宋体"/>
          <w:color w:val="auto"/>
          <w:sz w:val="18"/>
          <w:szCs w:val="18"/>
        </w:rPr>
        <w:t>即红利转产品份额</w:t>
      </w:r>
      <w:r>
        <w:rPr>
          <w:rFonts w:hint="eastAsia" w:hAnsi="宋体"/>
          <w:color w:val="auto"/>
          <w:sz w:val="18"/>
          <w:szCs w:val="18"/>
        </w:rPr>
        <w:t>）</w:t>
      </w:r>
      <w:r>
        <w:rPr>
          <w:rFonts w:hAnsi="宋体"/>
          <w:color w:val="auto"/>
          <w:sz w:val="18"/>
          <w:szCs w:val="18"/>
        </w:rPr>
        <w:t>方式，</w:t>
      </w:r>
      <w:r>
        <w:rPr>
          <w:rFonts w:hint="eastAsia" w:hAnsi="宋体"/>
          <w:color w:val="auto"/>
          <w:sz w:val="18"/>
          <w:szCs w:val="18"/>
        </w:rPr>
        <w:t>收益按日结转份额，</w:t>
      </w:r>
      <w:r>
        <w:rPr>
          <w:rFonts w:hAnsi="宋体"/>
          <w:color w:val="auto"/>
          <w:sz w:val="18"/>
          <w:szCs w:val="18"/>
        </w:rPr>
        <w:t>投资</w:t>
      </w:r>
      <w:r>
        <w:rPr>
          <w:rFonts w:hint="eastAsia" w:hAnsi="宋体"/>
          <w:color w:val="auto"/>
          <w:sz w:val="18"/>
          <w:szCs w:val="18"/>
        </w:rPr>
        <w:t>者</w:t>
      </w:r>
      <w:r>
        <w:rPr>
          <w:rFonts w:hAnsi="宋体"/>
          <w:color w:val="auto"/>
          <w:sz w:val="18"/>
          <w:szCs w:val="18"/>
        </w:rPr>
        <w:t>可通过赎回理财产品份额获得现金收益；在当日收益支付时，若</w:t>
      </w:r>
      <w:r>
        <w:rPr>
          <w:rFonts w:hint="eastAsia" w:hAnsi="宋体"/>
          <w:color w:val="auto"/>
          <w:sz w:val="18"/>
          <w:szCs w:val="18"/>
        </w:rPr>
        <w:t>当日净收益</w:t>
      </w:r>
      <w:r>
        <w:rPr>
          <w:rFonts w:hAnsi="宋体"/>
          <w:color w:val="auto"/>
          <w:sz w:val="18"/>
          <w:szCs w:val="18"/>
        </w:rPr>
        <w:t>大于零时，则增加投资</w:t>
      </w:r>
      <w:r>
        <w:rPr>
          <w:rFonts w:hint="eastAsia" w:hAnsi="宋体"/>
          <w:color w:val="auto"/>
          <w:sz w:val="18"/>
          <w:szCs w:val="18"/>
        </w:rPr>
        <w:t>者产品</w:t>
      </w:r>
      <w:r>
        <w:rPr>
          <w:rFonts w:hAnsi="宋体"/>
          <w:color w:val="auto"/>
          <w:sz w:val="18"/>
          <w:szCs w:val="18"/>
        </w:rPr>
        <w:t>份额；若当日净收益等于零时，则保持投资</w:t>
      </w:r>
      <w:r>
        <w:rPr>
          <w:rFonts w:hint="eastAsia" w:hAnsi="宋体"/>
          <w:color w:val="auto"/>
          <w:sz w:val="18"/>
          <w:szCs w:val="18"/>
        </w:rPr>
        <w:t>者产品</w:t>
      </w:r>
      <w:r>
        <w:rPr>
          <w:rFonts w:hAnsi="宋体"/>
          <w:color w:val="auto"/>
          <w:sz w:val="18"/>
          <w:szCs w:val="18"/>
        </w:rPr>
        <w:t>份额不变；</w:t>
      </w:r>
      <w:r>
        <w:rPr>
          <w:rFonts w:hint="eastAsia" w:hAnsi="宋体"/>
          <w:color w:val="auto"/>
          <w:sz w:val="18"/>
          <w:szCs w:val="18"/>
        </w:rPr>
        <w:t>产品管理人</w:t>
      </w:r>
      <w:r>
        <w:rPr>
          <w:rFonts w:hAnsi="宋体"/>
          <w:color w:val="auto"/>
          <w:sz w:val="18"/>
          <w:szCs w:val="18"/>
        </w:rPr>
        <w:t>将采取必要措施尽量避免产品净收益小于零，若当日净收益小于零时，</w:t>
      </w:r>
      <w:r>
        <w:rPr>
          <w:rFonts w:hint="eastAsia" w:hAnsi="宋体"/>
          <w:color w:val="auto"/>
          <w:sz w:val="18"/>
          <w:szCs w:val="18"/>
        </w:rPr>
        <w:t>则</w:t>
      </w:r>
      <w:r>
        <w:rPr>
          <w:rFonts w:hAnsi="宋体"/>
          <w:color w:val="auto"/>
          <w:sz w:val="18"/>
          <w:szCs w:val="18"/>
        </w:rPr>
        <w:t>缩减投资</w:t>
      </w:r>
      <w:r>
        <w:rPr>
          <w:rFonts w:hint="eastAsia" w:hAnsi="宋体"/>
          <w:color w:val="auto"/>
          <w:sz w:val="18"/>
          <w:szCs w:val="18"/>
        </w:rPr>
        <w:t>者</w:t>
      </w:r>
      <w:r>
        <w:rPr>
          <w:rFonts w:hAnsi="宋体"/>
          <w:color w:val="auto"/>
          <w:sz w:val="18"/>
          <w:szCs w:val="18"/>
        </w:rPr>
        <w:t>产品份额</w:t>
      </w:r>
      <w:r>
        <w:rPr>
          <w:rFonts w:hint="eastAsia" w:hAnsi="宋体"/>
          <w:color w:val="auto"/>
          <w:sz w:val="18"/>
          <w:szCs w:val="18"/>
        </w:rPr>
        <w:t>。</w:t>
      </w:r>
    </w:p>
    <w:p>
      <w:pPr>
        <w:autoSpaceDE w:val="0"/>
        <w:autoSpaceDN w:val="0"/>
        <w:adjustRightInd w:val="0"/>
        <w:spacing w:line="360" w:lineRule="auto"/>
        <w:ind w:firstLine="360" w:firstLineChars="200"/>
        <w:jc w:val="left"/>
        <w:rPr>
          <w:rFonts w:ascii="宋体" w:hAnsi="宋体"/>
          <w:sz w:val="18"/>
          <w:szCs w:val="18"/>
        </w:rPr>
      </w:pPr>
      <w:r>
        <w:rPr>
          <w:rFonts w:hint="eastAsia" w:ascii="宋体" w:hAnsi="宋体"/>
          <w:bCs/>
          <w:sz w:val="18"/>
          <w:szCs w:val="18"/>
        </w:rPr>
        <w:t>（6）</w:t>
      </w:r>
      <w:r>
        <w:rPr>
          <w:rFonts w:ascii="宋体" w:hAnsi="宋体"/>
          <w:bCs/>
          <w:sz w:val="18"/>
          <w:szCs w:val="18"/>
        </w:rPr>
        <w:t>申购的</w:t>
      </w:r>
      <w:r>
        <w:rPr>
          <w:rFonts w:hint="eastAsia" w:ascii="宋体" w:hAnsi="宋体"/>
          <w:bCs/>
          <w:sz w:val="18"/>
          <w:szCs w:val="18"/>
        </w:rPr>
        <w:t>理财产品</w:t>
      </w:r>
      <w:r>
        <w:rPr>
          <w:rFonts w:ascii="宋体" w:hAnsi="宋体"/>
          <w:bCs/>
          <w:sz w:val="18"/>
          <w:szCs w:val="18"/>
        </w:rPr>
        <w:t>份额自申购确认之日起，享有</w:t>
      </w:r>
      <w:r>
        <w:rPr>
          <w:rFonts w:hint="eastAsia" w:ascii="宋体" w:hAnsi="宋体"/>
          <w:bCs/>
          <w:sz w:val="18"/>
          <w:szCs w:val="18"/>
        </w:rPr>
        <w:t>产品</w:t>
      </w:r>
      <w:r>
        <w:rPr>
          <w:rFonts w:ascii="宋体" w:hAnsi="宋体"/>
          <w:bCs/>
          <w:sz w:val="18"/>
          <w:szCs w:val="18"/>
        </w:rPr>
        <w:t>的收益分配权益；赎回的</w:t>
      </w:r>
      <w:r>
        <w:rPr>
          <w:rFonts w:hint="eastAsia" w:ascii="宋体" w:hAnsi="宋体"/>
          <w:bCs/>
          <w:sz w:val="18"/>
          <w:szCs w:val="18"/>
        </w:rPr>
        <w:t>理财产品</w:t>
      </w:r>
      <w:r>
        <w:rPr>
          <w:rFonts w:ascii="宋体" w:hAnsi="宋体"/>
          <w:bCs/>
          <w:sz w:val="18"/>
          <w:szCs w:val="18"/>
        </w:rPr>
        <w:t>份额自赎回确认之日起，不享有</w:t>
      </w:r>
      <w:r>
        <w:rPr>
          <w:rFonts w:hint="eastAsia" w:ascii="宋体" w:hAnsi="宋体"/>
          <w:bCs/>
          <w:sz w:val="18"/>
          <w:szCs w:val="18"/>
        </w:rPr>
        <w:t>产品</w:t>
      </w:r>
      <w:r>
        <w:rPr>
          <w:rFonts w:ascii="宋体" w:hAnsi="宋体"/>
          <w:bCs/>
          <w:sz w:val="18"/>
          <w:szCs w:val="18"/>
        </w:rPr>
        <w:t>的收益分配权益</w:t>
      </w:r>
      <w:r>
        <w:rPr>
          <w:rFonts w:hint="eastAsia" w:ascii="宋体" w:hAnsi="宋体"/>
          <w:bCs/>
          <w:sz w:val="18"/>
          <w:szCs w:val="18"/>
        </w:rPr>
        <w:t>。</w:t>
      </w:r>
    </w:p>
    <w:p>
      <w:pPr>
        <w:pStyle w:val="16"/>
        <w:spacing w:line="360" w:lineRule="auto"/>
        <w:ind w:firstLine="270" w:firstLineChars="150"/>
        <w:rPr>
          <w:rFonts w:hAnsi="宋体"/>
          <w:color w:val="auto"/>
          <w:sz w:val="18"/>
          <w:szCs w:val="18"/>
        </w:rPr>
      </w:pPr>
      <w:r>
        <w:rPr>
          <w:rFonts w:hAnsi="宋体"/>
          <w:color w:val="auto"/>
          <w:sz w:val="18"/>
          <w:szCs w:val="18"/>
        </w:rPr>
        <w:t>2</w:t>
      </w:r>
      <w:r>
        <w:rPr>
          <w:rFonts w:hint="eastAsia" w:hAnsi="宋体"/>
          <w:color w:val="auto"/>
          <w:sz w:val="18"/>
          <w:szCs w:val="18"/>
        </w:rPr>
        <w:t>.</w:t>
      </w:r>
      <w:r>
        <w:rPr>
          <w:rFonts w:hAnsi="宋体"/>
          <w:color w:val="auto"/>
          <w:sz w:val="18"/>
          <w:szCs w:val="18"/>
        </w:rPr>
        <w:t>在不违反法律法规、</w:t>
      </w:r>
      <w:r>
        <w:rPr>
          <w:rFonts w:hint="eastAsia" w:hAnsi="宋体"/>
          <w:color w:val="auto"/>
          <w:sz w:val="18"/>
          <w:szCs w:val="18"/>
        </w:rPr>
        <w:t>理财产品销售文件</w:t>
      </w:r>
      <w:r>
        <w:rPr>
          <w:rFonts w:hAnsi="宋体"/>
          <w:color w:val="auto"/>
          <w:sz w:val="18"/>
          <w:szCs w:val="18"/>
        </w:rPr>
        <w:t>约定以及对份额持有人</w:t>
      </w:r>
      <w:r>
        <w:rPr>
          <w:rFonts w:hint="eastAsia" w:hAnsi="宋体"/>
          <w:color w:val="auto"/>
          <w:sz w:val="18"/>
          <w:szCs w:val="18"/>
        </w:rPr>
        <w:t>权益</w:t>
      </w:r>
      <w:r>
        <w:rPr>
          <w:rFonts w:hAnsi="宋体"/>
          <w:color w:val="auto"/>
          <w:sz w:val="18"/>
          <w:szCs w:val="18"/>
        </w:rPr>
        <w:t>无实质性不利影响的情况下，</w:t>
      </w:r>
      <w:r>
        <w:rPr>
          <w:rFonts w:hint="eastAsia" w:asciiTheme="majorEastAsia" w:hAnsiTheme="majorEastAsia" w:eastAsiaTheme="majorEastAsia"/>
          <w:bCs/>
          <w:color w:val="auto"/>
          <w:sz w:val="18"/>
          <w:szCs w:val="18"/>
        </w:rPr>
        <w:t>产品管理人</w:t>
      </w:r>
      <w:r>
        <w:rPr>
          <w:rFonts w:hAnsi="宋体"/>
          <w:color w:val="auto"/>
          <w:sz w:val="18"/>
          <w:szCs w:val="18"/>
        </w:rPr>
        <w:t>可调整</w:t>
      </w:r>
      <w:r>
        <w:rPr>
          <w:rFonts w:hint="eastAsia" w:hAnsi="宋体"/>
          <w:color w:val="auto"/>
          <w:sz w:val="18"/>
          <w:szCs w:val="18"/>
        </w:rPr>
        <w:t>本产品利益</w:t>
      </w:r>
      <w:r>
        <w:rPr>
          <w:rFonts w:hAnsi="宋体"/>
          <w:color w:val="auto"/>
          <w:sz w:val="18"/>
          <w:szCs w:val="18"/>
        </w:rPr>
        <w:t>的分配原则和支付方式</w:t>
      </w:r>
      <w:r>
        <w:rPr>
          <w:rFonts w:hint="eastAsia" w:hAnsi="宋体"/>
          <w:color w:val="auto"/>
          <w:sz w:val="18"/>
          <w:szCs w:val="18"/>
        </w:rPr>
        <w:t>。法律法规或监管机构另有规定的从其规定。</w:t>
      </w:r>
    </w:p>
    <w:p>
      <w:pPr>
        <w:pStyle w:val="16"/>
        <w:spacing w:line="360" w:lineRule="auto"/>
        <w:ind w:firstLine="361" w:firstLineChars="200"/>
        <w:rPr>
          <w:rFonts w:hAnsi="宋体"/>
          <w:b/>
          <w:bCs/>
          <w:color w:val="auto"/>
          <w:sz w:val="18"/>
          <w:szCs w:val="18"/>
        </w:rPr>
      </w:pPr>
      <w:r>
        <w:rPr>
          <w:rFonts w:hint="eastAsia" w:hAnsi="宋体"/>
          <w:b/>
          <w:bCs/>
          <w:color w:val="auto"/>
          <w:sz w:val="18"/>
          <w:szCs w:val="18"/>
        </w:rPr>
        <w:t>（三）理财利益的分配方案</w:t>
      </w:r>
    </w:p>
    <w:p>
      <w:pPr>
        <w:pStyle w:val="16"/>
        <w:spacing w:line="360" w:lineRule="auto"/>
        <w:ind w:firstLine="361" w:firstLineChars="200"/>
        <w:rPr>
          <w:rFonts w:hAnsi="宋体"/>
          <w:b/>
          <w:bCs/>
          <w:color w:val="auto"/>
          <w:sz w:val="18"/>
          <w:szCs w:val="18"/>
        </w:rPr>
      </w:pPr>
      <w:r>
        <w:rPr>
          <w:rFonts w:hint="eastAsia" w:hAnsi="宋体"/>
          <w:b/>
          <w:bCs/>
          <w:color w:val="auto"/>
          <w:sz w:val="18"/>
          <w:szCs w:val="18"/>
        </w:rPr>
        <w:t>1.分配方案要点：</w:t>
      </w:r>
    </w:p>
    <w:p>
      <w:pPr>
        <w:pStyle w:val="16"/>
        <w:spacing w:line="360" w:lineRule="auto"/>
        <w:ind w:firstLine="360" w:firstLineChars="200"/>
        <w:rPr>
          <w:rFonts w:hAnsi="宋体"/>
          <w:color w:val="auto"/>
          <w:sz w:val="18"/>
          <w:szCs w:val="18"/>
        </w:rPr>
      </w:pPr>
      <w:r>
        <w:rPr>
          <w:rFonts w:hint="eastAsia" w:hAnsi="宋体"/>
          <w:color w:val="auto"/>
          <w:sz w:val="18"/>
          <w:szCs w:val="18"/>
        </w:rPr>
        <w:t>（1）本产品的分配时点采取“期间分配”和“终止分配”。</w:t>
      </w:r>
    </w:p>
    <w:p>
      <w:pPr>
        <w:pStyle w:val="16"/>
        <w:spacing w:line="360" w:lineRule="auto"/>
        <w:ind w:firstLine="360" w:firstLineChars="200"/>
        <w:rPr>
          <w:rFonts w:hAnsi="宋体"/>
          <w:color w:val="auto"/>
          <w:sz w:val="18"/>
          <w:szCs w:val="18"/>
        </w:rPr>
      </w:pPr>
      <w:r>
        <w:rPr>
          <w:rFonts w:hint="eastAsia" w:hAnsi="宋体"/>
          <w:color w:val="auto"/>
          <w:sz w:val="18"/>
          <w:szCs w:val="18"/>
        </w:rPr>
        <w:t>（2）本产品的分配方式采取“现金分配”和“非现金分配”。</w:t>
      </w:r>
    </w:p>
    <w:p>
      <w:pPr>
        <w:pStyle w:val="16"/>
        <w:spacing w:line="360" w:lineRule="auto"/>
        <w:ind w:firstLine="360" w:firstLineChars="200"/>
        <w:rPr>
          <w:rFonts w:hAnsi="宋体"/>
          <w:color w:val="auto"/>
          <w:sz w:val="18"/>
          <w:szCs w:val="18"/>
        </w:rPr>
      </w:pPr>
      <w:r>
        <w:rPr>
          <w:rFonts w:hAnsi="宋体"/>
          <w:color w:val="auto"/>
          <w:sz w:val="18"/>
          <w:szCs w:val="18"/>
        </w:rPr>
        <w:t>2.具体理财利益分配方案由产品管理人拟定，并由产品托管人复核后确定。</w:t>
      </w:r>
    </w:p>
    <w:p>
      <w:pPr>
        <w:pStyle w:val="16"/>
        <w:spacing w:line="360" w:lineRule="auto"/>
        <w:ind w:firstLine="360" w:firstLineChars="200"/>
        <w:rPr>
          <w:rFonts w:hAnsi="宋体"/>
          <w:color w:val="auto"/>
          <w:sz w:val="18"/>
          <w:szCs w:val="18"/>
        </w:rPr>
      </w:pPr>
      <w:r>
        <w:rPr>
          <w:rFonts w:hint="eastAsia" w:hAnsi="宋体"/>
          <w:color w:val="auto"/>
          <w:sz w:val="18"/>
          <w:szCs w:val="18"/>
        </w:rPr>
        <w:t>3.理财产品存续期间，产品管理人</w:t>
      </w:r>
      <w:r>
        <w:rPr>
          <w:rFonts w:hAnsi="宋体"/>
          <w:color w:val="auto"/>
          <w:sz w:val="18"/>
          <w:szCs w:val="18"/>
        </w:rPr>
        <w:t>有权视理财产品</w:t>
      </w:r>
      <w:r>
        <w:rPr>
          <w:rFonts w:hint="eastAsia" w:hAnsi="宋体"/>
          <w:color w:val="auto"/>
          <w:sz w:val="18"/>
          <w:szCs w:val="18"/>
        </w:rPr>
        <w:t>收益情况</w:t>
      </w:r>
      <w:r>
        <w:rPr>
          <w:rFonts w:hAnsi="宋体"/>
          <w:color w:val="auto"/>
          <w:sz w:val="18"/>
          <w:szCs w:val="18"/>
        </w:rPr>
        <w:t>进行主动分配，相应分配基准日、分配方案由管理人</w:t>
      </w:r>
      <w:r>
        <w:rPr>
          <w:rFonts w:hint="eastAsia" w:hAnsi="宋体"/>
          <w:color w:val="auto"/>
          <w:sz w:val="18"/>
          <w:szCs w:val="18"/>
        </w:rPr>
        <w:t>及时</w:t>
      </w:r>
      <w:r>
        <w:rPr>
          <w:rFonts w:hAnsi="宋体"/>
          <w:color w:val="auto"/>
          <w:sz w:val="18"/>
          <w:szCs w:val="18"/>
        </w:rPr>
        <w:t>披露。</w:t>
      </w:r>
    </w:p>
    <w:p>
      <w:pPr>
        <w:spacing w:line="360" w:lineRule="auto"/>
        <w:ind w:firstLine="360"/>
        <w:rPr>
          <w:rFonts w:ascii="宋体" w:hAnsi="宋体"/>
          <w:b/>
          <w:sz w:val="18"/>
          <w:szCs w:val="18"/>
        </w:rPr>
      </w:pPr>
      <w:r>
        <w:rPr>
          <w:rFonts w:hint="eastAsia" w:ascii="宋体" w:hAnsi="宋体"/>
          <w:b/>
          <w:kern w:val="0"/>
          <w:sz w:val="18"/>
          <w:szCs w:val="18"/>
        </w:rPr>
        <w:t>（四）理财利益的分配</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w:t>
      </w:r>
      <w:r>
        <w:rPr>
          <w:rFonts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rPr>
        <w:t>本产品每日进行收益分配。每个开放日公告前一个开放日每万份理财收益和</w:t>
      </w:r>
      <w:r>
        <w:rPr>
          <w:rFonts w:asciiTheme="minorEastAsia" w:hAnsiTheme="minorEastAsia" w:eastAsiaTheme="minorEastAsia"/>
          <w:color w:val="auto"/>
          <w:sz w:val="18"/>
          <w:szCs w:val="18"/>
        </w:rPr>
        <w:t>7</w:t>
      </w:r>
      <w:r>
        <w:rPr>
          <w:rFonts w:hint="eastAsia" w:asciiTheme="minorEastAsia" w:hAnsiTheme="minorEastAsia" w:eastAsiaTheme="minorEastAsia"/>
          <w:color w:val="auto"/>
          <w:sz w:val="18"/>
          <w:szCs w:val="18"/>
        </w:rPr>
        <w:t>日年化收益率。若遇法定节假日，应于节假日结束后第一个工作日，披露节假日期间的每万份理财收益和</w:t>
      </w:r>
      <w:r>
        <w:rPr>
          <w:rFonts w:asciiTheme="minorEastAsia" w:hAnsiTheme="minorEastAsia" w:eastAsiaTheme="minorEastAsia"/>
          <w:color w:val="auto"/>
          <w:sz w:val="18"/>
          <w:szCs w:val="18"/>
        </w:rPr>
        <w:t>7</w:t>
      </w:r>
      <w:r>
        <w:rPr>
          <w:rFonts w:hint="eastAsia" w:asciiTheme="minorEastAsia" w:hAnsiTheme="minorEastAsia" w:eastAsiaTheme="minorEastAsia"/>
          <w:color w:val="auto"/>
          <w:sz w:val="18"/>
          <w:szCs w:val="18"/>
        </w:rPr>
        <w:t>日年化收益率。法律法规另有规定的，从其规定。</w:t>
      </w:r>
    </w:p>
    <w:p>
      <w:pPr>
        <w:pStyle w:val="16"/>
        <w:spacing w:line="360" w:lineRule="auto"/>
        <w:ind w:firstLine="360" w:firstLineChars="200"/>
        <w:rPr>
          <w:rFonts w:ascii="黑体" w:hAnsi="黑体" w:eastAsia="黑体"/>
          <w:color w:val="auto"/>
          <w:sz w:val="18"/>
          <w:szCs w:val="18"/>
        </w:rPr>
      </w:pPr>
      <w:r>
        <w:rPr>
          <w:rFonts w:hint="eastAsia" w:ascii="黑体" w:hAnsi="黑体" w:eastAsia="黑体"/>
          <w:color w:val="auto"/>
          <w:sz w:val="18"/>
          <w:szCs w:val="18"/>
        </w:rPr>
        <w:t>该收益仅供客户购买时决策参考，并不代表该理财产品未来的表现，也不构成产品管理人对本产品收益的任何承诺或保证。</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本产品根据每日收益情况，以产品实际收益为基准，每日为投资者计提当日理财收益，每日结转份额(如遇节假日顺延)，每日例行的份额结转不再另行公告。</w:t>
      </w:r>
    </w:p>
    <w:p>
      <w:pPr>
        <w:pStyle w:val="16"/>
        <w:spacing w:line="360" w:lineRule="auto"/>
        <w:ind w:firstLine="360" w:firstLineChars="200"/>
        <w:rPr>
          <w:rFonts w:hAnsi="宋体"/>
          <w:color w:val="auto"/>
          <w:sz w:val="18"/>
          <w:szCs w:val="18"/>
        </w:rPr>
      </w:pPr>
      <w:r>
        <w:rPr>
          <w:rFonts w:hint="eastAsia" w:hAnsi="宋体"/>
          <w:color w:val="auto"/>
          <w:sz w:val="18"/>
          <w:szCs w:val="18"/>
        </w:rPr>
        <w:t>2.</w:t>
      </w:r>
      <w:r>
        <w:rPr>
          <w:rFonts w:hAnsi="宋体"/>
          <w:color w:val="auto"/>
          <w:sz w:val="18"/>
          <w:szCs w:val="18"/>
        </w:rPr>
        <w:t>如发生需要</w:t>
      </w:r>
      <w:r>
        <w:rPr>
          <w:rFonts w:hint="eastAsia" w:hAnsi="宋体"/>
          <w:color w:val="auto"/>
          <w:sz w:val="18"/>
          <w:szCs w:val="18"/>
        </w:rPr>
        <w:t>延期</w:t>
      </w:r>
      <w:r>
        <w:rPr>
          <w:rFonts w:hAnsi="宋体"/>
          <w:color w:val="auto"/>
          <w:sz w:val="18"/>
          <w:szCs w:val="18"/>
        </w:rPr>
        <w:t>分配的特殊情况，产品管理人将对</w:t>
      </w:r>
      <w:r>
        <w:rPr>
          <w:rFonts w:hint="eastAsia" w:hAnsi="宋体"/>
          <w:color w:val="auto"/>
          <w:sz w:val="18"/>
          <w:szCs w:val="18"/>
        </w:rPr>
        <w:t>延期</w:t>
      </w:r>
      <w:r>
        <w:rPr>
          <w:rFonts w:hAnsi="宋体"/>
          <w:color w:val="auto"/>
          <w:sz w:val="18"/>
          <w:szCs w:val="18"/>
        </w:rPr>
        <w:t xml:space="preserve">分配的情况进行公告。 </w:t>
      </w:r>
    </w:p>
    <w:p>
      <w:pPr>
        <w:pStyle w:val="16"/>
        <w:spacing w:line="360" w:lineRule="auto"/>
        <w:ind w:firstLine="360" w:firstLineChars="200"/>
        <w:rPr>
          <w:rFonts w:hAnsi="宋体"/>
          <w:color w:val="auto"/>
          <w:sz w:val="18"/>
          <w:szCs w:val="18"/>
        </w:rPr>
      </w:pPr>
    </w:p>
    <w:p>
      <w:pPr>
        <w:widowControl/>
        <w:spacing w:line="360" w:lineRule="auto"/>
        <w:jc w:val="left"/>
        <w:rPr>
          <w:rFonts w:ascii="宋体" w:hAnsi="宋体"/>
          <w:kern w:val="0"/>
          <w:sz w:val="18"/>
          <w:szCs w:val="18"/>
        </w:rPr>
      </w:pPr>
      <w:r>
        <w:rPr>
          <w:rFonts w:hAnsi="宋体"/>
          <w:sz w:val="18"/>
          <w:szCs w:val="18"/>
        </w:rPr>
        <w:br w:type="page"/>
      </w:r>
    </w:p>
    <w:bookmarkEnd w:id="159"/>
    <w:bookmarkEnd w:id="160"/>
    <w:bookmarkEnd w:id="161"/>
    <w:bookmarkEnd w:id="162"/>
    <w:p>
      <w:pPr>
        <w:pStyle w:val="2"/>
        <w:spacing w:before="0" w:after="0" w:line="360" w:lineRule="auto"/>
        <w:jc w:val="center"/>
        <w:rPr>
          <w:rFonts w:ascii="Times New Roman"/>
          <w:sz w:val="30"/>
        </w:rPr>
      </w:pPr>
      <w:bookmarkStart w:id="163" w:name="_Hlt88897298"/>
      <w:bookmarkEnd w:id="163"/>
      <w:bookmarkStart w:id="164" w:name="_Hlt88825574"/>
      <w:bookmarkEnd w:id="164"/>
      <w:bookmarkStart w:id="165" w:name="_Toc7058"/>
      <w:bookmarkStart w:id="166" w:name="_Toc176189286"/>
      <w:bookmarkStart w:id="167" w:name="_Toc10650"/>
      <w:bookmarkStart w:id="168" w:name="_Toc4559"/>
      <w:bookmarkStart w:id="169" w:name="_Toc139991738"/>
      <w:bookmarkStart w:id="170" w:name="_Toc79392583"/>
      <w:bookmarkStart w:id="171" w:name="_Toc9706"/>
      <w:bookmarkStart w:id="172" w:name="_Toc25783"/>
      <w:bookmarkStart w:id="173" w:name="_Toc3321"/>
      <w:bookmarkStart w:id="174" w:name="_Toc123051454"/>
      <w:bookmarkStart w:id="175" w:name="_Toc141703888"/>
      <w:bookmarkStart w:id="176" w:name="_Toc123112236"/>
      <w:bookmarkStart w:id="177" w:name="_Toc74065745"/>
      <w:bookmarkStart w:id="178" w:name="_Toc79154672"/>
      <w:bookmarkStart w:id="179" w:name="_Toc3771"/>
      <w:bookmarkStart w:id="180" w:name="_Toc18567"/>
      <w:bookmarkStart w:id="181" w:name="_Toc6447"/>
      <w:bookmarkStart w:id="182" w:name="_Toc98560354"/>
      <w:bookmarkStart w:id="183" w:name="_Toc27112"/>
      <w:bookmarkStart w:id="184" w:name="_Toc123102455"/>
      <w:bookmarkStart w:id="185" w:name="_Toc11030"/>
      <w:r>
        <w:rPr>
          <w:rFonts w:ascii="Times New Roman"/>
          <w:sz w:val="30"/>
        </w:rPr>
        <w:t>第</w:t>
      </w:r>
      <w:r>
        <w:rPr>
          <w:rFonts w:hint="eastAsia" w:ascii="Times New Roman"/>
          <w:sz w:val="30"/>
        </w:rPr>
        <w:t>九条</w:t>
      </w:r>
      <w:r>
        <w:rPr>
          <w:rFonts w:ascii="Times New Roman"/>
          <w:sz w:val="30"/>
        </w:rPr>
        <w:t xml:space="preserve">  </w:t>
      </w:r>
      <w:r>
        <w:rPr>
          <w:rFonts w:hint="eastAsia" w:ascii="Times New Roman"/>
          <w:sz w:val="30"/>
        </w:rPr>
        <w:t>理财产品的费用与税收</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（一）理财产品的费用</w:t>
      </w:r>
    </w:p>
    <w:p>
      <w:pPr>
        <w:widowControl/>
        <w:spacing w:line="360" w:lineRule="auto"/>
        <w:ind w:firstLine="360" w:firstLineChars="200"/>
        <w:jc w:val="left"/>
        <w:rPr>
          <w:rFonts w:hAnsi="宋体"/>
          <w:sz w:val="18"/>
          <w:szCs w:val="18"/>
        </w:rPr>
      </w:pPr>
      <w:r>
        <w:rPr>
          <w:rFonts w:ascii="宋体" w:hAnsi="宋体"/>
          <w:kern w:val="0"/>
          <w:sz w:val="18"/>
          <w:szCs w:val="18"/>
        </w:rPr>
        <w:t>1</w:t>
      </w:r>
      <w:r>
        <w:rPr>
          <w:rFonts w:hint="eastAsia" w:ascii="宋体" w:hAnsi="宋体"/>
          <w:kern w:val="0"/>
          <w:sz w:val="18"/>
          <w:szCs w:val="18"/>
        </w:rPr>
        <w:t>.</w:t>
      </w:r>
      <w:r>
        <w:rPr>
          <w:rFonts w:ascii="宋体" w:hAnsi="宋体"/>
          <w:kern w:val="0"/>
          <w:sz w:val="18"/>
          <w:szCs w:val="18"/>
        </w:rPr>
        <w:t>理财产品费用的种类</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1）理财产品的认购费、申购费、赎回费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2）理财产品的销售服务费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3）理财产品的投资管理费及超额业绩报酬；</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4</w:t>
      </w:r>
      <w:r>
        <w:rPr>
          <w:rFonts w:hint="eastAsia" w:ascii="宋体" w:hAnsi="宋体"/>
          <w:kern w:val="0"/>
          <w:sz w:val="18"/>
          <w:szCs w:val="18"/>
        </w:rPr>
        <w:t>）理财产品的产品托管费；</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）理财产品的交易费用（包括但不限于证券交易费用、经纪费用等）；</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）理财产品验资费、审计费、律师费、信息披露费、清算费、执行费用等相关费用；</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7</w:t>
      </w:r>
      <w:r>
        <w:rPr>
          <w:rFonts w:hint="eastAsia" w:ascii="宋体" w:hAnsi="宋体"/>
          <w:kern w:val="0"/>
          <w:sz w:val="18"/>
          <w:szCs w:val="18"/>
        </w:rPr>
        <w:t>）按照国家法律法规规定可以列入的其他费用。</w:t>
      </w:r>
    </w:p>
    <w:p>
      <w:pPr>
        <w:widowControl/>
        <w:spacing w:line="360" w:lineRule="auto"/>
        <w:ind w:firstLine="360" w:firstLineChars="200"/>
        <w:jc w:val="left"/>
        <w:rPr>
          <w:rFonts w:ascii="宋体" w:hAnsi="宋体"/>
          <w:sz w:val="18"/>
          <w:szCs w:val="18"/>
        </w:rPr>
      </w:pPr>
      <w:r>
        <w:rPr>
          <w:rFonts w:ascii="宋体" w:hAnsi="宋体"/>
          <w:kern w:val="0"/>
          <w:sz w:val="18"/>
          <w:szCs w:val="18"/>
        </w:rPr>
        <w:t>2.</w:t>
      </w:r>
      <w:r>
        <w:rPr>
          <w:rFonts w:hint="eastAsia" w:ascii="宋体" w:hAnsi="宋体"/>
          <w:kern w:val="0"/>
          <w:sz w:val="18"/>
          <w:szCs w:val="18"/>
        </w:rPr>
        <w:t>理财产品费用计提方法、计提标准和支付方式</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1</w:t>
      </w:r>
      <w:r>
        <w:rPr>
          <w:rFonts w:hint="eastAsia" w:ascii="宋体" w:hAnsi="宋体"/>
          <w:kern w:val="0"/>
          <w:sz w:val="18"/>
          <w:szCs w:val="18"/>
        </w:rPr>
        <w:t>）理财产品的认购费、申购费、赎回费</w:t>
      </w:r>
    </w:p>
    <w:p>
      <w:pPr>
        <w:widowControl/>
        <w:spacing w:line="360" w:lineRule="auto"/>
        <w:ind w:firstLine="360" w:firstLineChars="200"/>
        <w:jc w:val="left"/>
        <w:rPr>
          <w:rFonts w:ascii="宋体" w:hAnsi="宋体"/>
          <w:sz w:val="18"/>
          <w:szCs w:val="18"/>
        </w:rPr>
      </w:pPr>
      <w:r>
        <w:rPr>
          <w:rFonts w:ascii="宋体" w:hAnsi="宋体"/>
          <w:kern w:val="0"/>
          <w:sz w:val="18"/>
          <w:szCs w:val="18"/>
        </w:rPr>
        <w:t>1）认购费：</w:t>
      </w: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ascii="宋体" w:hAnsi="宋体"/>
          <w:kern w:val="0"/>
          <w:sz w:val="18"/>
          <w:szCs w:val="18"/>
        </w:rPr>
        <w:t>。</w:t>
      </w:r>
    </w:p>
    <w:p>
      <w:pPr>
        <w:widowControl/>
        <w:spacing w:line="360" w:lineRule="auto"/>
        <w:ind w:firstLine="360" w:firstLineChars="200"/>
        <w:jc w:val="left"/>
        <w:rPr>
          <w:rFonts w:ascii="宋体" w:hAnsi="宋体"/>
          <w:sz w:val="18"/>
          <w:szCs w:val="18"/>
        </w:rPr>
      </w:pPr>
      <w:r>
        <w:rPr>
          <w:rFonts w:ascii="宋体" w:hAnsi="宋体"/>
          <w:kern w:val="0"/>
          <w:sz w:val="18"/>
          <w:szCs w:val="18"/>
        </w:rPr>
        <w:t>2）申购费：</w:t>
      </w: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hint="eastAsia" w:ascii="宋体" w:hAnsi="宋体"/>
          <w:kern w:val="0"/>
          <w:sz w:val="18"/>
          <w:szCs w:val="18"/>
        </w:rPr>
        <w:t>。</w:t>
      </w:r>
    </w:p>
    <w:p>
      <w:pPr>
        <w:widowControl/>
        <w:spacing w:line="360" w:lineRule="auto"/>
        <w:ind w:firstLine="360" w:firstLineChars="200"/>
        <w:jc w:val="left"/>
        <w:rPr>
          <w:bCs/>
          <w:sz w:val="18"/>
          <w:szCs w:val="18"/>
        </w:rPr>
      </w:pPr>
      <w:r>
        <w:rPr>
          <w:rFonts w:ascii="宋体" w:hAnsi="宋体"/>
          <w:kern w:val="0"/>
          <w:sz w:val="18"/>
          <w:szCs w:val="18"/>
        </w:rPr>
        <w:t>3</w:t>
      </w:r>
      <w:r>
        <w:rPr>
          <w:rFonts w:hint="eastAsia" w:ascii="宋体" w:hAnsi="宋体"/>
          <w:kern w:val="0"/>
          <w:sz w:val="18"/>
          <w:szCs w:val="18"/>
        </w:rPr>
        <w:t>）赎回费：</w:t>
      </w: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hint="eastAsia" w:ascii="宋体" w:hAnsi="宋体"/>
          <w:kern w:val="0"/>
          <w:sz w:val="18"/>
          <w:szCs w:val="18"/>
        </w:rPr>
        <w:t>。</w:t>
      </w:r>
    </w:p>
    <w:p>
      <w:pPr>
        <w:widowControl/>
        <w:spacing w:line="360" w:lineRule="auto"/>
        <w:ind w:firstLine="360" w:firstLineChars="200"/>
        <w:jc w:val="left"/>
        <w:rPr>
          <w:bCs/>
          <w:sz w:val="18"/>
          <w:szCs w:val="18"/>
        </w:rPr>
      </w:pPr>
      <w:r>
        <w:rPr>
          <w:rFonts w:ascii="宋体" w:hAnsi="宋体"/>
          <w:kern w:val="0"/>
          <w:sz w:val="18"/>
          <w:szCs w:val="18"/>
        </w:rPr>
        <w:t>4）强制赎回费用</w:t>
      </w:r>
      <w:r>
        <w:rPr>
          <w:rFonts w:hint="eastAsia" w:ascii="宋体" w:hAnsi="宋体"/>
          <w:kern w:val="0"/>
          <w:sz w:val="18"/>
          <w:szCs w:val="18"/>
        </w:rPr>
        <w:t>：</w:t>
      </w: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理财产品基本情况”</w:t>
      </w:r>
      <w:r>
        <w:rPr>
          <w:rFonts w:hint="eastAsia" w:asciiTheme="majorEastAsia" w:hAnsiTheme="majorEastAsia" w:eastAsiaTheme="majorEastAsia"/>
          <w:bCs/>
          <w:sz w:val="18"/>
          <w:szCs w:val="18"/>
        </w:rPr>
        <w:t>为准</w:t>
      </w:r>
      <w:r>
        <w:rPr>
          <w:rFonts w:hint="eastAsia"/>
          <w:bCs/>
          <w:sz w:val="18"/>
          <w:szCs w:val="18"/>
        </w:rPr>
        <w:t>。</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2）</w:t>
      </w:r>
      <w:r>
        <w:rPr>
          <w:rFonts w:hint="eastAsia" w:ascii="宋体" w:hAnsi="宋体"/>
          <w:kern w:val="0"/>
          <w:sz w:val="18"/>
          <w:szCs w:val="18"/>
        </w:rPr>
        <w:t>理财产品的销售服务费</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本产品的销售服务费按前一日理财资产净值与销售服务费每日费率每日计提。销售服务费的计算方法如下：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H＝E×销售服务费年费率÷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H为每日应计提的销售服务费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pStyle w:val="16"/>
        <w:spacing w:line="360" w:lineRule="auto"/>
        <w:ind w:firstLine="360" w:firstLineChars="200"/>
        <w:rPr>
          <w:rFonts w:asciiTheme="majorEastAsia" w:hAnsiTheme="majorEastAsia" w:eastAsiaTheme="majorEastAsia"/>
          <w:color w:val="auto"/>
          <w:kern w:val="2"/>
          <w:sz w:val="18"/>
          <w:szCs w:val="18"/>
        </w:rPr>
      </w:pPr>
      <w:r>
        <w:rPr>
          <w:rFonts w:hint="eastAsia" w:hAnsi="宋体"/>
          <w:color w:val="auto"/>
          <w:sz w:val="18"/>
          <w:szCs w:val="18"/>
        </w:rPr>
        <w:t>销售服务费依照上述约定，从理财财产中支付。</w:t>
      </w:r>
      <w:r>
        <w:rPr>
          <w:rFonts w:hint="eastAsia" w:asciiTheme="majorEastAsia" w:hAnsiTheme="majorEastAsia" w:eastAsiaTheme="majorEastAsia"/>
          <w:color w:val="auto"/>
          <w:kern w:val="2"/>
          <w:sz w:val="18"/>
          <w:szCs w:val="18"/>
        </w:rPr>
        <w:t>费率具体数值以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color w:val="auto"/>
          <w:kern w:val="2"/>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3）</w:t>
      </w:r>
      <w:r>
        <w:rPr>
          <w:rFonts w:hint="eastAsia" w:ascii="宋体" w:hAnsi="宋体"/>
          <w:kern w:val="0"/>
          <w:sz w:val="18"/>
          <w:szCs w:val="18"/>
        </w:rPr>
        <w:t>理财产品</w:t>
      </w:r>
      <w:r>
        <w:rPr>
          <w:rFonts w:ascii="宋体" w:hAnsi="宋体"/>
          <w:kern w:val="0"/>
          <w:sz w:val="18"/>
          <w:szCs w:val="18"/>
        </w:rPr>
        <w:t>的投资管理费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本产品的投资管理费按前一日理财资产净值与投资管理费每日费率每日计提。</w:t>
      </w:r>
      <w:r>
        <w:rPr>
          <w:rFonts w:hint="eastAsia" w:ascii="宋体" w:hAnsi="宋体"/>
          <w:kern w:val="0"/>
          <w:sz w:val="18"/>
          <w:szCs w:val="18"/>
        </w:rPr>
        <w:t>投资管理费的计算方法如下：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投资管理费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投资管理费</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投资管理费依照上述约定，从理财财产中支付。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r>
        <w:rPr>
          <w:rFonts w:hint="eastAsia" w:ascii="宋体" w:hAnsi="宋体"/>
          <w:kern w:val="0"/>
          <w:sz w:val="18"/>
          <w:szCs w:val="18"/>
        </w:rPr>
        <w:t>。</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（4）超额业绩报酬</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本产品</w:t>
      </w:r>
      <w:r>
        <w:rPr>
          <w:rFonts w:ascii="宋体" w:hAnsi="宋体"/>
          <w:kern w:val="0"/>
          <w:sz w:val="18"/>
          <w:szCs w:val="18"/>
        </w:rPr>
        <w:t>不收取超额业绩报酬。</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w:t>
      </w:r>
      <w:r>
        <w:rPr>
          <w:rFonts w:ascii="宋体" w:hAnsi="宋体"/>
          <w:kern w:val="0"/>
          <w:sz w:val="18"/>
          <w:szCs w:val="18"/>
        </w:rPr>
        <w:t>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本产品的产品</w:t>
      </w:r>
      <w:r>
        <w:rPr>
          <w:rFonts w:ascii="宋体" w:hAnsi="宋体"/>
          <w:sz w:val="18"/>
          <w:szCs w:val="18"/>
        </w:rPr>
        <w:t>托管</w:t>
      </w:r>
      <w:r>
        <w:rPr>
          <w:rFonts w:hint="eastAsia" w:ascii="宋体" w:hAnsi="宋体"/>
          <w:sz w:val="18"/>
          <w:szCs w:val="18"/>
        </w:rPr>
        <w:t>费按前一日理财资产净值与产品</w:t>
      </w:r>
      <w:r>
        <w:rPr>
          <w:rFonts w:ascii="宋体" w:hAnsi="宋体"/>
          <w:sz w:val="18"/>
          <w:szCs w:val="18"/>
        </w:rPr>
        <w:t>托管</w:t>
      </w:r>
      <w:r>
        <w:rPr>
          <w:rFonts w:hint="eastAsia" w:ascii="宋体" w:hAnsi="宋体"/>
          <w:sz w:val="18"/>
          <w:szCs w:val="18"/>
        </w:rPr>
        <w:t>费每日费率每日计提。</w:t>
      </w:r>
      <w:r>
        <w:rPr>
          <w:rFonts w:hint="eastAsia" w:ascii="宋体" w:hAnsi="宋体"/>
          <w:kern w:val="0"/>
          <w:sz w:val="18"/>
          <w:szCs w:val="18"/>
        </w:rPr>
        <w:t>产品</w:t>
      </w:r>
      <w:r>
        <w:rPr>
          <w:rFonts w:ascii="宋体" w:hAnsi="宋体"/>
          <w:kern w:val="0"/>
          <w:sz w:val="18"/>
          <w:szCs w:val="18"/>
        </w:rPr>
        <w:t>托管费的计算方法如下：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产品托管费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产品托管费依照上述约定，从理财财产中支付。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w:t>
      </w:r>
      <w:r>
        <w:rPr>
          <w:rFonts w:ascii="宋体" w:hAnsi="宋体"/>
          <w:kern w:val="0"/>
          <w:sz w:val="18"/>
          <w:szCs w:val="18"/>
        </w:rPr>
        <w:t>上述</w:t>
      </w:r>
      <w:r>
        <w:rPr>
          <w:rFonts w:hint="eastAsia" w:ascii="宋体" w:hAnsi="宋体"/>
          <w:kern w:val="0"/>
          <w:sz w:val="18"/>
          <w:szCs w:val="18"/>
        </w:rPr>
        <w:t>理财产品的证券交易费用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7）上述</w:t>
      </w:r>
      <w:r>
        <w:rPr>
          <w:rFonts w:hint="eastAsia" w:ascii="宋体" w:hAnsi="宋体"/>
          <w:kern w:val="0"/>
          <w:sz w:val="18"/>
          <w:szCs w:val="18"/>
        </w:rPr>
        <w:t>理财产品</w:t>
      </w:r>
      <w:r>
        <w:rPr>
          <w:rFonts w:ascii="宋体" w:hAnsi="宋体"/>
          <w:kern w:val="0"/>
          <w:sz w:val="18"/>
          <w:szCs w:val="18"/>
        </w:rPr>
        <w:t>验资费、审计费、律师费、信息披露费、</w:t>
      </w:r>
      <w:r>
        <w:rPr>
          <w:rFonts w:hint="eastAsia" w:ascii="宋体" w:hAnsi="宋体"/>
          <w:kern w:val="0"/>
          <w:sz w:val="18"/>
          <w:szCs w:val="18"/>
        </w:rPr>
        <w:t>清算费、</w:t>
      </w:r>
      <w:r>
        <w:rPr>
          <w:rFonts w:ascii="宋体" w:hAnsi="宋体"/>
          <w:kern w:val="0"/>
          <w:sz w:val="18"/>
          <w:szCs w:val="18"/>
        </w:rPr>
        <w:t>执行费用等相关费用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按费用实际支出金额列入当期费用，从理财财产中支付。产品管理人因处理上述事务而先行垫付上述</w:t>
      </w:r>
      <w:r>
        <w:rPr>
          <w:rFonts w:ascii="宋体" w:hAnsi="宋体"/>
          <w:kern w:val="0"/>
          <w:sz w:val="18"/>
          <w:szCs w:val="18"/>
        </w:rPr>
        <w:t>费用</w:t>
      </w:r>
      <w:r>
        <w:rPr>
          <w:rFonts w:hint="eastAsia" w:ascii="宋体" w:hAnsi="宋体"/>
          <w:kern w:val="0"/>
          <w:sz w:val="18"/>
          <w:szCs w:val="18"/>
        </w:rPr>
        <w:t>的，管理人有权从理财产品资产中优先受偿。</w:t>
      </w:r>
    </w:p>
    <w:p>
      <w:pPr>
        <w:pStyle w:val="16"/>
        <w:spacing w:line="360" w:lineRule="auto"/>
        <w:ind w:firstLine="360" w:firstLineChars="200"/>
        <w:rPr>
          <w:rFonts w:ascii="黑体" w:hAnsi="黑体" w:eastAsia="黑体"/>
          <w:color w:val="auto"/>
          <w:sz w:val="18"/>
        </w:rPr>
      </w:pPr>
      <w:r>
        <w:rPr>
          <w:rFonts w:ascii="黑体" w:hAnsi="黑体" w:eastAsia="黑体"/>
          <w:color w:val="auto"/>
          <w:sz w:val="18"/>
        </w:rPr>
        <w:t>3.</w:t>
      </w:r>
      <w:r>
        <w:rPr>
          <w:rFonts w:hAnsi="宋体"/>
          <w:color w:val="auto"/>
          <w:sz w:val="18"/>
          <w:szCs w:val="18"/>
        </w:rPr>
        <w:t>★</w:t>
      </w:r>
      <w:r>
        <w:rPr>
          <w:rFonts w:hint="eastAsia" w:ascii="黑体" w:hAnsi="黑体" w:eastAsia="黑体"/>
          <w:color w:val="auto"/>
          <w:sz w:val="18"/>
          <w:szCs w:val="18"/>
        </w:rPr>
        <w:t>理财产品费用</w:t>
      </w:r>
      <w:r>
        <w:rPr>
          <w:rFonts w:hint="eastAsia" w:ascii="黑体" w:hAnsi="黑体" w:eastAsia="黑体"/>
          <w:color w:val="auto"/>
          <w:sz w:val="18"/>
        </w:rPr>
        <w:t>的调整</w:t>
      </w:r>
    </w:p>
    <w:p>
      <w:pPr>
        <w:pStyle w:val="16"/>
        <w:spacing w:line="360" w:lineRule="auto"/>
        <w:ind w:firstLine="360" w:firstLineChars="200"/>
        <w:rPr>
          <w:rFonts w:ascii="黑体" w:hAnsi="黑体" w:eastAsia="黑体"/>
          <w:color w:val="auto"/>
          <w:sz w:val="18"/>
        </w:rPr>
      </w:pPr>
      <w:r>
        <w:rPr>
          <w:rFonts w:hint="eastAsia" w:ascii="黑体" w:hAnsi="黑体" w:eastAsia="黑体"/>
          <w:color w:val="auto"/>
          <w:sz w:val="18"/>
        </w:rPr>
        <w:t>（1）发生巨额赎回时，为保护投资者利益，产品管理人有权对赎回日至赎回确认日之间的各项费用进行减免。</w:t>
      </w:r>
    </w:p>
    <w:p>
      <w:pPr>
        <w:pStyle w:val="16"/>
        <w:spacing w:line="360" w:lineRule="auto"/>
        <w:ind w:firstLine="360" w:firstLineChars="200"/>
        <w:rPr>
          <w:rFonts w:ascii="黑体" w:hAnsi="黑体" w:eastAsia="黑体"/>
          <w:b/>
          <w:color w:val="auto"/>
          <w:sz w:val="18"/>
        </w:rPr>
      </w:pPr>
      <w:r>
        <w:rPr>
          <w:rFonts w:hint="eastAsia" w:ascii="黑体" w:hAnsi="黑体" w:eastAsia="黑体"/>
          <w:color w:val="auto"/>
          <w:sz w:val="18"/>
        </w:rPr>
        <w:t>（2）产品管理人有权</w:t>
      </w:r>
      <w:r>
        <w:rPr>
          <w:rFonts w:hint="eastAsia" w:ascii="黑体" w:hAnsi="黑体" w:eastAsia="黑体"/>
          <w:color w:val="auto"/>
          <w:sz w:val="18"/>
          <w:szCs w:val="18"/>
        </w:rPr>
        <w:t>根据相关法律和国家政策规定，</w:t>
      </w:r>
      <w:r>
        <w:rPr>
          <w:rFonts w:hint="eastAsia" w:ascii="黑体" w:hAnsi="黑体" w:eastAsia="黑体"/>
          <w:color w:val="auto"/>
          <w:sz w:val="18"/>
        </w:rPr>
        <w:t>对理财产品费用的收费项目、收费条件、收费标准和收费方式等进行调整。产品管理人对费用的调整</w:t>
      </w:r>
      <w:r>
        <w:rPr>
          <w:rFonts w:hint="eastAsia" w:ascii="黑体" w:hAnsi="黑体" w:eastAsia="黑体"/>
          <w:bCs/>
          <w:color w:val="auto"/>
          <w:sz w:val="18"/>
        </w:rPr>
        <w:t>将依约定进行公告。</w:t>
      </w:r>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（二）理财产品的税收</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pPr>
        <w:pStyle w:val="2"/>
        <w:spacing w:line="360" w:lineRule="auto"/>
        <w:jc w:val="center"/>
      </w:pPr>
      <w:bookmarkStart w:id="186" w:name="_Toc3963"/>
      <w:bookmarkStart w:id="187" w:name="_Toc1745"/>
      <w:r>
        <w:br w:type="page"/>
      </w:r>
      <w:bookmarkStart w:id="188" w:name="_Toc74065746"/>
      <w:bookmarkStart w:id="189" w:name="_Toc123112237"/>
      <w:bookmarkStart w:id="190" w:name="_Toc18383"/>
      <w:bookmarkStart w:id="191" w:name="_Toc725"/>
      <w:bookmarkStart w:id="192" w:name="_Toc98560355"/>
      <w:bookmarkStart w:id="193" w:name="_Toc31821"/>
      <w:bookmarkStart w:id="194" w:name="_Toc79154673"/>
      <w:bookmarkStart w:id="195" w:name="_Toc123102456"/>
      <w:bookmarkStart w:id="196" w:name="_Toc16164"/>
      <w:bookmarkStart w:id="197" w:name="_Toc123051455"/>
      <w:bookmarkStart w:id="198" w:name="_Toc3572"/>
      <w:bookmarkStart w:id="199" w:name="_Toc18206"/>
      <w:bookmarkStart w:id="200" w:name="_Toc3080"/>
      <w:bookmarkStart w:id="201" w:name="_Toc10398"/>
      <w:bookmarkStart w:id="202" w:name="_Toc141703889"/>
      <w:bookmarkStart w:id="203" w:name="_Toc21735"/>
      <w:bookmarkStart w:id="204" w:name="_Toc176189287"/>
      <w:bookmarkStart w:id="205" w:name="_Toc139991739"/>
      <w:r>
        <w:rPr>
          <w:rFonts w:hint="eastAsia"/>
          <w:sz w:val="30"/>
        </w:rPr>
        <w:t>第十条</w:t>
      </w:r>
      <w:r>
        <w:rPr>
          <w:sz w:val="30"/>
        </w:rPr>
        <w:t xml:space="preserve">  </w:t>
      </w:r>
      <w:r>
        <w:rPr>
          <w:rFonts w:hint="eastAsia"/>
          <w:sz w:val="30"/>
        </w:rPr>
        <w:t>理财产品的终止与清算</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pPr>
        <w:spacing w:line="360" w:lineRule="auto"/>
        <w:ind w:firstLine="361" w:firstLineChars="200"/>
        <w:rPr>
          <w:rFonts w:asciiTheme="majorEastAsia" w:hAnsiTheme="majorEastAsia" w:eastAsiaTheme="majorEastAsia"/>
          <w:b/>
          <w:bCs/>
          <w:sz w:val="18"/>
          <w:szCs w:val="18"/>
        </w:rPr>
      </w:pPr>
      <w:bookmarkStart w:id="206" w:name="_Toc57530252"/>
      <w:bookmarkStart w:id="207" w:name="_Toc79392593"/>
      <w:bookmarkStart w:id="208" w:name="_Toc15118245"/>
      <w:r>
        <w:rPr>
          <w:rFonts w:hint="eastAsia" w:asciiTheme="majorEastAsia" w:hAnsiTheme="majorEastAsia" w:eastAsiaTheme="majorEastAsia"/>
          <w:b/>
          <w:bCs/>
          <w:sz w:val="18"/>
          <w:szCs w:val="18"/>
        </w:rPr>
        <w:t>（一）理财产品的终止</w:t>
      </w:r>
    </w:p>
    <w:p>
      <w:pPr>
        <w:spacing w:line="360" w:lineRule="auto"/>
        <w:ind w:firstLine="360" w:firstLineChars="200"/>
        <w:rPr>
          <w:rFonts w:ascii="黑体" w:hAnsi="黑体" w:eastAsia="黑体"/>
          <w:bCs/>
          <w:sz w:val="18"/>
          <w:szCs w:val="18"/>
        </w:rPr>
      </w:pPr>
      <w:r>
        <w:rPr>
          <w:rFonts w:ascii="黑体" w:hAnsi="黑体" w:eastAsia="黑体"/>
          <w:bCs/>
          <w:sz w:val="18"/>
          <w:szCs w:val="18"/>
        </w:rPr>
        <w:t>1.</w:t>
      </w:r>
      <w:r>
        <w:rPr>
          <w:rFonts w:hint="eastAsia" w:ascii="黑体" w:hAnsi="黑体" w:eastAsia="黑体"/>
          <w:bCs/>
          <w:sz w:val="18"/>
          <w:szCs w:val="18"/>
        </w:rPr>
        <w:t>★提前终止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在理财产品投资运作期间内，投资者无权要求提前终止该理财产品</w:t>
      </w:r>
      <w:r>
        <w:rPr>
          <w:rFonts w:hint="eastAsia" w:asciiTheme="majorEastAsia" w:hAnsiTheme="majorEastAsia" w:eastAsiaTheme="majorEastAsia"/>
          <w:bCs/>
          <w:sz w:val="18"/>
          <w:szCs w:val="18"/>
        </w:rPr>
        <w:t>。在理财产品投资运作期间内，</w:t>
      </w:r>
      <w:r>
        <w:rPr>
          <w:rFonts w:hint="eastAsia" w:ascii="黑体" w:hAnsi="黑体" w:eastAsia="黑体"/>
          <w:bCs/>
          <w:sz w:val="18"/>
          <w:szCs w:val="18"/>
        </w:rPr>
        <w:t>当出现下列情形之一时，产品管理人有权部分或全部提前终止本产品：</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因不可抗力原因导致理财产品无法继续运作。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遇有市场出现剧烈波动、异常风险事件等情形导致理财产品收益出现大幅波动或严重影响理财产品的资产安全。</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因投资者理财资金被有权机关扣划等原因导致理财产品剩余资产无法满足相关法律法规规定、所投资市场要求或协议等相关法律文件约定，或者继续存续无法实现投资目标。</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因相关投资管理机构解散、破产、撤销、被取消业务资格等原因无法继续履行相应职责导致产品无法继续运作。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相关投资管理机构或运用理财资金的第三方主体实施符合法律法规规定或协议等相关文件约定的行为导致理财产品被动提前终止。</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因法律法规、国家金融政策或监管规定变化，或紧急措施出台影响产品继续正常运作。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7）</w:t>
      </w:r>
      <w:r>
        <w:rPr>
          <w:rFonts w:hint="eastAsia" w:ascii="宋体" w:hAnsi="宋体"/>
          <w:bCs/>
          <w:sz w:val="18"/>
          <w:szCs w:val="18"/>
        </w:rPr>
        <w:t>所投资资产部分或全部提前偿付。</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8）提前终止产品比维持产品运作更有利于保护产品持有人的</w:t>
      </w:r>
      <w:r>
        <w:rPr>
          <w:rFonts w:hint="eastAsia" w:asciiTheme="majorEastAsia" w:hAnsiTheme="majorEastAsia" w:eastAsiaTheme="majorEastAsia"/>
          <w:bCs/>
          <w:sz w:val="18"/>
          <w:szCs w:val="18"/>
        </w:rPr>
        <w:t>权益。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9）</w:t>
      </w:r>
      <w:r>
        <w:rPr>
          <w:rFonts w:hint="eastAsia" w:asciiTheme="majorEastAsia" w:hAnsiTheme="majorEastAsia" w:eastAsiaTheme="majorEastAsia"/>
          <w:bCs/>
          <w:sz w:val="18"/>
          <w:szCs w:val="18"/>
        </w:rPr>
        <w:t>法律法规规定、监管部门要求或本销售文件约定的其他情形。</w:t>
      </w:r>
    </w:p>
    <w:p>
      <w:pPr>
        <w:spacing w:line="360" w:lineRule="auto"/>
        <w:ind w:firstLine="360" w:firstLineChars="200"/>
        <w:rPr>
          <w:rFonts w:ascii="黑体" w:hAnsi="黑体" w:eastAsia="黑体"/>
          <w:bCs/>
          <w:sz w:val="18"/>
          <w:szCs w:val="18"/>
        </w:rPr>
      </w:pPr>
      <w:r>
        <w:rPr>
          <w:rFonts w:ascii="黑体" w:hAnsi="黑体" w:eastAsia="黑体"/>
          <w:bCs/>
          <w:sz w:val="18"/>
          <w:szCs w:val="18"/>
        </w:rPr>
        <w:t>2.</w:t>
      </w:r>
      <w:r>
        <w:rPr>
          <w:rFonts w:hint="eastAsia" w:ascii="黑体" w:hAnsi="黑体" w:eastAsia="黑体"/>
          <w:bCs/>
          <w:sz w:val="18"/>
          <w:szCs w:val="18"/>
        </w:rPr>
        <w:t>★延期</w:t>
      </w:r>
      <w:r>
        <w:rPr>
          <w:rFonts w:ascii="黑体" w:hAnsi="黑体" w:eastAsia="黑体"/>
          <w:bCs/>
          <w:sz w:val="18"/>
          <w:szCs w:val="18"/>
        </w:rPr>
        <w:t>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出现以下情况，产品管理人有权延长本理财产品的</w:t>
      </w:r>
      <w:r>
        <w:rPr>
          <w:rFonts w:ascii="黑体" w:hAnsi="黑体" w:eastAsia="黑体"/>
          <w:bCs/>
          <w:sz w:val="18"/>
          <w:szCs w:val="18"/>
        </w:rPr>
        <w:t>终止</w:t>
      </w:r>
      <w:r>
        <w:rPr>
          <w:rFonts w:hint="eastAsia" w:ascii="黑体" w:hAnsi="黑体" w:eastAsia="黑体"/>
          <w:bCs/>
          <w:sz w:val="18"/>
          <w:szCs w:val="18"/>
        </w:rPr>
        <w:t>日：</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bCs/>
          <w:sz w:val="18"/>
          <w:szCs w:val="18"/>
        </w:rPr>
        <w:t>因市场成交量不足、资产限制赎回、暂停交易、缺乏意愿交易对手、交易对手违约等原因，导致产品项下对应的投资标的无法及时变现；</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2）</w:t>
      </w:r>
      <w:r>
        <w:rPr>
          <w:rFonts w:hint="eastAsia" w:ascii="黑体" w:hAnsi="黑体" w:eastAsia="黑体"/>
          <w:bCs/>
          <w:sz w:val="18"/>
          <w:szCs w:val="18"/>
        </w:rPr>
        <w:t>因资金在途等原因，导致未能及时收回资金；</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3）</w:t>
      </w:r>
      <w:r>
        <w:rPr>
          <w:rFonts w:hint="eastAsia" w:ascii="黑体" w:hAnsi="黑体" w:eastAsia="黑体"/>
          <w:bCs/>
          <w:sz w:val="18"/>
          <w:szCs w:val="18"/>
        </w:rPr>
        <w:t>因不可抗力等原因，导致产品管理人无法分配；</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ascii="黑体" w:hAnsi="黑体" w:eastAsia="黑体"/>
          <w:bCs/>
          <w:sz w:val="18"/>
          <w:szCs w:val="18"/>
        </w:rPr>
        <w:t>其他产品管理人认为需要延期终止的情形。</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产品管理人决定延期</w:t>
      </w:r>
      <w:r>
        <w:rPr>
          <w:rFonts w:ascii="黑体" w:hAnsi="黑体" w:eastAsia="黑体"/>
          <w:bCs/>
          <w:sz w:val="18"/>
          <w:szCs w:val="18"/>
        </w:rPr>
        <w:t>终止</w:t>
      </w:r>
      <w:r>
        <w:rPr>
          <w:rFonts w:hint="eastAsia" w:ascii="黑体" w:hAnsi="黑体" w:eastAsia="黑体"/>
          <w:bCs/>
          <w:sz w:val="18"/>
          <w:szCs w:val="18"/>
        </w:rPr>
        <w:t>的，应依据约定进行公告。</w:t>
      </w:r>
      <w:r>
        <w:rPr>
          <w:rFonts w:ascii="黑体" w:hAnsi="黑体" w:eastAsia="黑体"/>
          <w:bCs/>
          <w:sz w:val="18"/>
          <w:szCs w:val="18"/>
        </w:rPr>
        <w:t xml:space="preserve"> </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（二）理财产品的清算</w:t>
      </w:r>
    </w:p>
    <w:bookmarkEnd w:id="206"/>
    <w:bookmarkEnd w:id="207"/>
    <w:bookmarkEnd w:id="208"/>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1.理财产品到期日为理财产品终止日（含提前终止或延期终止）。产品份额全部终止后，理财产品终止运作，进入清算期，清算期不计算投资收益。理财资产清算后扣除理财相关费用、缴纳所欠税款并清偿理财产品负债后，理财利益按投资者持有的理财产品份额比例进行分配。清算期原则上不得超过【5】个工作日，清算期超过【5】个工作日的，将依约定进行公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2.产品管理人决定部分终止理财产品的，终止的部分产品份额按以下约定处理：</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1）部分终止的比例：理财产品将按比例（已变现资产/理财产品净资产）终止部分产品份额，同时根据产品最新的理财产品份额净值和份额计算并支付投资者相应的理财利益，投资者所持有的理财产品份额则按比例注销。</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部分终止的利益分配：产品管理人将依照销售文件公布部分终止日并指定利益分配日（一般为部分终止日之后的【5】个工作日以内）。产品管理人应将理财利益于指定的利益分配日（遇节假日顺延）向投资者分配。</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理财产品部分终止日（含当日）至理财利益实际到账日之间，理财资金不计算收益。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3.理财产品到期日产品管理人按照《产品说明书》“第十条 理财产品的终止与清算”中延期终止的事项延长本理财产品终止日的，产品管理人应在原产品到期日后【5】个工作日内将已变现资产按投资者持有理财产品份额比例分配。理财产品终止日相应顺延至理财产品全部资产变现之日。待全部资产变现后，产品管理人依照清算条款分配理财利益至投资者账户。</w:t>
      </w:r>
    </w:p>
    <w:p>
      <w:pPr>
        <w:pStyle w:val="2"/>
        <w:spacing w:before="0" w:after="0" w:line="360" w:lineRule="auto"/>
        <w:jc w:val="center"/>
        <w:rPr>
          <w:rFonts w:ascii="Times New Roman"/>
          <w:sz w:val="30"/>
        </w:rPr>
      </w:pPr>
      <w:r>
        <w:rPr>
          <w:rFonts w:ascii="Times New Roman"/>
          <w:b w:val="0"/>
          <w:bCs w:val="0"/>
          <w:kern w:val="2"/>
        </w:rPr>
        <w:br w:type="page"/>
      </w:r>
      <w:bookmarkStart w:id="209" w:name="_Toc98560356"/>
      <w:bookmarkStart w:id="210" w:name="_Toc17198"/>
      <w:bookmarkStart w:id="211" w:name="_Toc123102457"/>
      <w:bookmarkStart w:id="212" w:name="_Toc32584"/>
      <w:bookmarkStart w:id="213" w:name="_Toc139991740"/>
      <w:bookmarkStart w:id="214" w:name="_Toc17920"/>
      <w:bookmarkStart w:id="215" w:name="_Toc32092"/>
      <w:bookmarkStart w:id="216" w:name="_Toc8791"/>
      <w:bookmarkStart w:id="217" w:name="_Toc123051456"/>
      <w:bookmarkStart w:id="218" w:name="_Toc5170"/>
      <w:bookmarkStart w:id="219" w:name="_Toc3329"/>
      <w:bookmarkStart w:id="220" w:name="_Toc26192"/>
      <w:bookmarkStart w:id="221" w:name="_Toc79392622"/>
      <w:bookmarkStart w:id="222" w:name="_Toc48649708"/>
      <w:bookmarkStart w:id="223" w:name="_Toc29408"/>
      <w:bookmarkStart w:id="224" w:name="_Toc74065747"/>
      <w:bookmarkStart w:id="225" w:name="_Toc176189288"/>
      <w:bookmarkStart w:id="226" w:name="_Toc123112238"/>
      <w:bookmarkStart w:id="227" w:name="_Toc739"/>
      <w:bookmarkStart w:id="228" w:name="_Toc21237"/>
      <w:bookmarkStart w:id="229" w:name="_Toc79154674"/>
      <w:bookmarkStart w:id="230" w:name="_Toc141703890"/>
      <w:r>
        <w:rPr>
          <w:rFonts w:ascii="Times New Roman"/>
          <w:sz w:val="30"/>
        </w:rPr>
        <w:t>第十</w:t>
      </w:r>
      <w:r>
        <w:rPr>
          <w:rFonts w:hint="eastAsia" w:ascii="Times New Roman"/>
          <w:sz w:val="30"/>
        </w:rPr>
        <w:t>一条</w:t>
      </w:r>
      <w:r>
        <w:rPr>
          <w:rFonts w:ascii="Times New Roman"/>
          <w:sz w:val="30"/>
        </w:rPr>
        <w:t xml:space="preserve">  </w:t>
      </w:r>
      <w:r>
        <w:rPr>
          <w:rFonts w:hint="eastAsia" w:ascii="Times New Roman"/>
          <w:sz w:val="30"/>
        </w:rPr>
        <w:t>理财产品的信息披露</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pPr>
        <w:spacing w:line="360" w:lineRule="auto"/>
        <w:ind w:firstLine="361" w:firstLineChars="200"/>
        <w:rPr>
          <w:rFonts w:ascii="宋体" w:hAnsi="宋体"/>
          <w:b/>
          <w:bCs/>
          <w:sz w:val="18"/>
          <w:szCs w:val="18"/>
        </w:rPr>
      </w:pPr>
      <w:bookmarkStart w:id="231" w:name="_Toc85201647"/>
      <w:r>
        <w:rPr>
          <w:rFonts w:hint="eastAsia" w:ascii="宋体" w:hAnsi="宋体"/>
          <w:b/>
          <w:bCs/>
          <w:sz w:val="18"/>
          <w:szCs w:val="18"/>
        </w:rPr>
        <w:t>（一）信息</w:t>
      </w:r>
      <w:r>
        <w:rPr>
          <w:rFonts w:ascii="宋体" w:hAnsi="宋体"/>
          <w:b/>
          <w:bCs/>
          <w:sz w:val="18"/>
          <w:szCs w:val="18"/>
        </w:rPr>
        <w:t>披露的原则</w:t>
      </w:r>
    </w:p>
    <w:p>
      <w:pPr>
        <w:spacing w:line="360" w:lineRule="auto"/>
        <w:ind w:firstLine="360" w:firstLineChars="200"/>
        <w:rPr>
          <w:rFonts w:ascii="宋体" w:hAnsi="宋体"/>
          <w:b/>
          <w:bCs/>
          <w:sz w:val="18"/>
          <w:szCs w:val="18"/>
        </w:rPr>
      </w:pPr>
      <w:r>
        <w:rPr>
          <w:rFonts w:hint="eastAsia" w:ascii="宋体" w:hAnsi="宋体"/>
          <w:bCs/>
          <w:sz w:val="18"/>
          <w:szCs w:val="18"/>
        </w:rPr>
        <w:t>产品管理人</w:t>
      </w:r>
      <w:r>
        <w:rPr>
          <w:rFonts w:ascii="宋体" w:hAnsi="宋体"/>
          <w:bCs/>
          <w:sz w:val="18"/>
          <w:szCs w:val="18"/>
        </w:rPr>
        <w:t>遵循真实性、准确性、完整性和及时性原则</w:t>
      </w:r>
      <w:r>
        <w:rPr>
          <w:rFonts w:hint="eastAsia" w:ascii="宋体" w:hAnsi="宋体"/>
          <w:bCs/>
          <w:sz w:val="18"/>
          <w:szCs w:val="18"/>
        </w:rPr>
        <w:t>进行</w:t>
      </w:r>
      <w:r>
        <w:rPr>
          <w:rFonts w:ascii="宋体" w:hAnsi="宋体"/>
          <w:bCs/>
          <w:sz w:val="18"/>
          <w:szCs w:val="18"/>
        </w:rPr>
        <w:t>信息披露</w:t>
      </w:r>
      <w:r>
        <w:rPr>
          <w:rFonts w:hint="eastAsia" w:ascii="宋体" w:hAnsi="宋体"/>
          <w:bCs/>
          <w:sz w:val="18"/>
          <w:szCs w:val="18"/>
        </w:rPr>
        <w:t>。</w:t>
      </w:r>
    </w:p>
    <w:p>
      <w:pPr>
        <w:spacing w:line="360" w:lineRule="auto"/>
        <w:ind w:firstLine="361" w:firstLineChars="200"/>
        <w:rPr>
          <w:rFonts w:ascii="宋体" w:hAnsi="宋体"/>
          <w:b/>
          <w:bCs/>
          <w:sz w:val="18"/>
          <w:szCs w:val="18"/>
        </w:rPr>
      </w:pPr>
      <w:r>
        <w:rPr>
          <w:rFonts w:hint="eastAsia" w:ascii="宋体" w:hAnsi="宋体"/>
          <w:b/>
          <w:bCs/>
          <w:sz w:val="18"/>
          <w:szCs w:val="18"/>
        </w:rPr>
        <w:t>（二）信息披露的渠道</w:t>
      </w:r>
    </w:p>
    <w:p>
      <w:pPr>
        <w:spacing w:line="360" w:lineRule="auto"/>
        <w:ind w:firstLine="360" w:firstLineChars="200"/>
        <w:rPr>
          <w:rFonts w:ascii="宋体" w:hAnsi="宋体"/>
          <w:bCs/>
          <w:sz w:val="18"/>
          <w:szCs w:val="18"/>
        </w:rPr>
      </w:pPr>
      <w:r>
        <w:rPr>
          <w:rFonts w:ascii="宋体" w:hAnsi="宋体"/>
          <w:bCs/>
          <w:sz w:val="18"/>
          <w:szCs w:val="18"/>
        </w:rPr>
        <w:t>1</w:t>
      </w:r>
      <w:r>
        <w:rPr>
          <w:rFonts w:hint="eastAsia" w:ascii="宋体" w:hAnsi="宋体"/>
          <w:bCs/>
          <w:sz w:val="18"/>
          <w:szCs w:val="18"/>
        </w:rPr>
        <w:t>.理财产品的信息披露将通过产品管理人或销售机构的门户网站、电子销售渠道或营业网点等进行。本理财产品认购期和存续期间，产品管理人将通过产品管理人或销售机构的信息披露渠道开展理财产品的信息披露工作。请</w:t>
      </w:r>
      <w:r>
        <w:rPr>
          <w:rFonts w:ascii="宋体" w:hAnsi="宋体"/>
          <w:bCs/>
          <w:sz w:val="18"/>
          <w:szCs w:val="18"/>
        </w:rPr>
        <w:t>投资者及时关注。</w:t>
      </w:r>
    </w:p>
    <w:p>
      <w:pPr>
        <w:spacing w:line="360" w:lineRule="auto"/>
        <w:ind w:firstLine="360" w:firstLineChars="200"/>
        <w:rPr>
          <w:rFonts w:ascii="黑体" w:hAnsi="黑体" w:eastAsia="黑体"/>
          <w:bCs/>
          <w:sz w:val="18"/>
          <w:szCs w:val="18"/>
        </w:rPr>
      </w:pPr>
      <w:r>
        <w:rPr>
          <w:rFonts w:ascii="黑体" w:hAnsi="黑体" w:eastAsia="黑体"/>
          <w:bCs/>
          <w:sz w:val="18"/>
          <w:szCs w:val="18"/>
        </w:rPr>
        <w:t>2.★产品管理人</w:t>
      </w:r>
      <w:r>
        <w:rPr>
          <w:rFonts w:hint="eastAsia" w:ascii="黑体" w:hAnsi="黑体" w:eastAsia="黑体"/>
          <w:bCs/>
          <w:sz w:val="18"/>
          <w:szCs w:val="18"/>
        </w:rPr>
        <w:t>通过产品管理人或销售机构的信息披露渠道</w:t>
      </w:r>
      <w:r>
        <w:rPr>
          <w:rFonts w:ascii="黑体" w:hAnsi="黑体" w:eastAsia="黑体"/>
          <w:bCs/>
          <w:sz w:val="18"/>
          <w:szCs w:val="18"/>
        </w:rPr>
        <w:t>发布</w:t>
      </w:r>
      <w:r>
        <w:rPr>
          <w:rFonts w:hint="eastAsia" w:ascii="黑体" w:hAnsi="黑体" w:eastAsia="黑体"/>
          <w:bCs/>
          <w:sz w:val="18"/>
          <w:szCs w:val="18"/>
        </w:rPr>
        <w:t>理财产品有关</w:t>
      </w:r>
      <w:r>
        <w:rPr>
          <w:rFonts w:ascii="黑体" w:hAnsi="黑体" w:eastAsia="黑体"/>
          <w:bCs/>
          <w:sz w:val="18"/>
          <w:szCs w:val="18"/>
        </w:rPr>
        <w:t>信息，即视为已适当履行其信息披露义务。如</w:t>
      </w:r>
      <w:r>
        <w:rPr>
          <w:rFonts w:hint="eastAsia" w:ascii="黑体" w:hAnsi="黑体" w:eastAsia="黑体"/>
          <w:bCs/>
          <w:sz w:val="18"/>
          <w:szCs w:val="18"/>
        </w:rPr>
        <w:t>产品管理人</w:t>
      </w:r>
      <w:r>
        <w:rPr>
          <w:rFonts w:ascii="黑体" w:hAnsi="黑体" w:eastAsia="黑体"/>
          <w:bCs/>
          <w:sz w:val="18"/>
          <w:szCs w:val="18"/>
        </w:rPr>
        <w:t>认为需要直接联系</w:t>
      </w:r>
      <w:r>
        <w:rPr>
          <w:rFonts w:hint="eastAsia" w:ascii="黑体" w:hAnsi="黑体" w:eastAsia="黑体"/>
          <w:bCs/>
          <w:sz w:val="18"/>
          <w:szCs w:val="18"/>
        </w:rPr>
        <w:t>投资者</w:t>
      </w:r>
      <w:r>
        <w:rPr>
          <w:rFonts w:ascii="黑体" w:hAnsi="黑体" w:eastAsia="黑体"/>
          <w:bCs/>
          <w:sz w:val="18"/>
          <w:szCs w:val="18"/>
        </w:rPr>
        <w:t>的，将依据本说明书投资者信息中</w:t>
      </w:r>
      <w:r>
        <w:rPr>
          <w:rFonts w:hint="eastAsia" w:ascii="黑体" w:hAnsi="黑体" w:eastAsia="黑体"/>
          <w:bCs/>
          <w:sz w:val="18"/>
          <w:szCs w:val="18"/>
        </w:rPr>
        <w:t>投资者</w:t>
      </w:r>
      <w:r>
        <w:rPr>
          <w:rFonts w:ascii="黑体" w:hAnsi="黑体" w:eastAsia="黑体"/>
          <w:bCs/>
          <w:sz w:val="18"/>
          <w:szCs w:val="18"/>
        </w:rPr>
        <w:t>预留的</w:t>
      </w:r>
      <w:r>
        <w:rPr>
          <w:rFonts w:hint="eastAsia" w:ascii="黑体" w:hAnsi="黑体" w:eastAsia="黑体"/>
          <w:bCs/>
          <w:sz w:val="18"/>
          <w:szCs w:val="18"/>
        </w:rPr>
        <w:t>信息</w:t>
      </w:r>
      <w:r>
        <w:rPr>
          <w:rFonts w:ascii="黑体" w:hAnsi="黑体" w:eastAsia="黑体"/>
          <w:bCs/>
          <w:sz w:val="18"/>
          <w:szCs w:val="18"/>
        </w:rPr>
        <w:t>进行通知。因</w:t>
      </w:r>
      <w:r>
        <w:rPr>
          <w:rFonts w:hint="eastAsia" w:ascii="黑体" w:hAnsi="黑体" w:eastAsia="黑体"/>
          <w:bCs/>
          <w:sz w:val="18"/>
          <w:szCs w:val="18"/>
        </w:rPr>
        <w:t>投资者</w:t>
      </w:r>
      <w:r>
        <w:rPr>
          <w:rFonts w:ascii="黑体" w:hAnsi="黑体" w:eastAsia="黑体"/>
          <w:bCs/>
          <w:sz w:val="18"/>
          <w:szCs w:val="18"/>
        </w:rPr>
        <w:t>原因而导致该等通知失败的，</w:t>
      </w:r>
      <w:r>
        <w:rPr>
          <w:rFonts w:hint="eastAsia" w:ascii="黑体" w:hAnsi="黑体" w:eastAsia="黑体"/>
          <w:bCs/>
          <w:sz w:val="18"/>
          <w:szCs w:val="18"/>
        </w:rPr>
        <w:t>产品管理人</w:t>
      </w:r>
      <w:r>
        <w:rPr>
          <w:rFonts w:ascii="黑体" w:hAnsi="黑体" w:eastAsia="黑体"/>
          <w:bCs/>
          <w:sz w:val="18"/>
          <w:szCs w:val="18"/>
        </w:rPr>
        <w:t>不承担相应责任。</w:t>
      </w:r>
    </w:p>
    <w:p>
      <w:pPr>
        <w:spacing w:line="360" w:lineRule="auto"/>
        <w:ind w:firstLine="360" w:firstLineChars="200"/>
        <w:rPr>
          <w:rFonts w:ascii="宋体" w:hAnsi="宋体"/>
          <w:bCs/>
          <w:sz w:val="18"/>
          <w:szCs w:val="18"/>
        </w:rPr>
      </w:pPr>
      <w:r>
        <w:rPr>
          <w:rFonts w:ascii="宋体" w:hAnsi="宋体"/>
          <w:bCs/>
          <w:sz w:val="18"/>
          <w:szCs w:val="18"/>
        </w:rPr>
        <w:t>3</w:t>
      </w:r>
      <w:r>
        <w:rPr>
          <w:rFonts w:hint="eastAsia" w:ascii="宋体" w:hAnsi="宋体"/>
          <w:bCs/>
          <w:sz w:val="18"/>
          <w:szCs w:val="18"/>
        </w:rPr>
        <w:t>.投资者应定期通过约定的信息披露渠道获知有关理财产品相关信息。以上相关信息自披露之日即视为已送达投资者，也视为产品管理人已适当披露理财产品相关信息。投资者承诺将及时接收、浏览和阅读该等信息。如投资者对本产品的运作状况有任何疑问，可向产品管理人或销售机构进行咨询。</w:t>
      </w:r>
    </w:p>
    <w:p>
      <w:pPr>
        <w:spacing w:line="360" w:lineRule="auto"/>
        <w:ind w:firstLine="360" w:firstLineChars="200"/>
        <w:rPr>
          <w:rFonts w:ascii="宋体" w:hAnsi="宋体"/>
          <w:bCs/>
          <w:sz w:val="18"/>
          <w:szCs w:val="18"/>
        </w:rPr>
      </w:pPr>
      <w:r>
        <w:rPr>
          <w:rFonts w:ascii="宋体" w:hAnsi="宋体"/>
          <w:bCs/>
          <w:sz w:val="18"/>
          <w:szCs w:val="18"/>
        </w:rPr>
        <w:t>4</w:t>
      </w:r>
      <w:r>
        <w:rPr>
          <w:rFonts w:hint="eastAsia" w:ascii="宋体" w:hAnsi="宋体"/>
          <w:bCs/>
          <w:sz w:val="18"/>
          <w:szCs w:val="18"/>
        </w:rPr>
        <w:t>.在保障投资者知情权的前提下，产品管理人保留变更信息披露渠道的权利。</w:t>
      </w:r>
    </w:p>
    <w:p>
      <w:pPr>
        <w:spacing w:line="360" w:lineRule="auto"/>
        <w:ind w:firstLine="361" w:firstLineChars="200"/>
        <w:rPr>
          <w:rFonts w:ascii="宋体" w:hAnsi="宋体"/>
          <w:b/>
          <w:bCs/>
          <w:sz w:val="18"/>
          <w:szCs w:val="18"/>
        </w:rPr>
      </w:pPr>
      <w:r>
        <w:rPr>
          <w:rFonts w:hint="eastAsia" w:ascii="宋体" w:hAnsi="宋体"/>
          <w:b/>
          <w:bCs/>
          <w:sz w:val="18"/>
          <w:szCs w:val="18"/>
        </w:rPr>
        <w:t>（三）信息披露的内容</w:t>
      </w:r>
    </w:p>
    <w:p>
      <w:pPr>
        <w:spacing w:line="360" w:lineRule="auto"/>
        <w:ind w:firstLine="360" w:firstLineChars="200"/>
        <w:rPr>
          <w:rFonts w:ascii="宋体" w:hAnsi="宋体"/>
          <w:bCs/>
          <w:sz w:val="18"/>
          <w:szCs w:val="18"/>
        </w:rPr>
      </w:pPr>
      <w:r>
        <w:rPr>
          <w:rFonts w:hint="eastAsia" w:ascii="宋体" w:hAnsi="宋体"/>
          <w:bCs/>
          <w:sz w:val="18"/>
          <w:szCs w:val="18"/>
        </w:rPr>
        <w:t>理财产品信息披露</w:t>
      </w:r>
      <w:r>
        <w:rPr>
          <w:rFonts w:ascii="宋体" w:hAnsi="宋体"/>
          <w:bCs/>
          <w:sz w:val="18"/>
          <w:szCs w:val="18"/>
        </w:rPr>
        <w:t>包括但不限于产品成立、产品终止、</w:t>
      </w:r>
      <w:r>
        <w:rPr>
          <w:rFonts w:hint="eastAsia" w:ascii="宋体" w:hAnsi="宋体"/>
          <w:bCs/>
          <w:sz w:val="18"/>
          <w:szCs w:val="18"/>
        </w:rPr>
        <w:t>募集信息、资产净值、产品份额净值、暂停申购或赎回、投资对象和比例、产品组合资产情况及其流动性风险分析、杠杆水平、利益分配、托管安排、投资账户信息、主要投资风险、估值方法变更、收费标准变更、</w:t>
      </w:r>
      <w:r>
        <w:rPr>
          <w:rFonts w:hint="eastAsia" w:asciiTheme="minorEastAsia" w:hAnsiTheme="minorEastAsia"/>
          <w:bCs/>
          <w:sz w:val="18"/>
          <w:szCs w:val="18"/>
        </w:rPr>
        <w:t>每万份理财产品份额收益及</w:t>
      </w:r>
      <w:r>
        <w:rPr>
          <w:rFonts w:asciiTheme="minorEastAsia" w:hAnsiTheme="minorEastAsia"/>
          <w:bCs/>
          <w:sz w:val="18"/>
          <w:szCs w:val="18"/>
        </w:rPr>
        <w:t>7日年化收益率</w:t>
      </w:r>
      <w:r>
        <w:rPr>
          <w:rFonts w:hint="eastAsia" w:asciiTheme="minorEastAsia" w:hAnsiTheme="minorEastAsia"/>
          <w:bCs/>
          <w:sz w:val="18"/>
          <w:szCs w:val="18"/>
        </w:rPr>
        <w:t>、</w:t>
      </w:r>
      <w:r>
        <w:rPr>
          <w:rFonts w:asciiTheme="minorEastAsia" w:hAnsiTheme="minorEastAsia"/>
          <w:bCs/>
          <w:sz w:val="18"/>
          <w:szCs w:val="18"/>
        </w:rPr>
        <w:t>前</w:t>
      </w:r>
      <w:r>
        <w:rPr>
          <w:rFonts w:hint="eastAsia" w:asciiTheme="minorEastAsia" w:hAnsiTheme="minorEastAsia"/>
          <w:bCs/>
          <w:sz w:val="18"/>
          <w:szCs w:val="18"/>
        </w:rPr>
        <w:t>1</w:t>
      </w:r>
      <w:r>
        <w:rPr>
          <w:rFonts w:asciiTheme="minorEastAsia" w:hAnsiTheme="minorEastAsia"/>
          <w:bCs/>
          <w:sz w:val="18"/>
          <w:szCs w:val="18"/>
        </w:rPr>
        <w:t>0名投资者类别</w:t>
      </w:r>
      <w:r>
        <w:rPr>
          <w:rFonts w:hint="eastAsia" w:asciiTheme="minorEastAsia" w:hAnsiTheme="minorEastAsia"/>
          <w:bCs/>
          <w:sz w:val="18"/>
          <w:szCs w:val="18"/>
        </w:rPr>
        <w:t>和</w:t>
      </w:r>
      <w:r>
        <w:rPr>
          <w:rFonts w:asciiTheme="minorEastAsia" w:hAnsiTheme="minorEastAsia"/>
          <w:bCs/>
          <w:sz w:val="18"/>
          <w:szCs w:val="18"/>
        </w:rPr>
        <w:t>持有份额及</w:t>
      </w:r>
      <w:r>
        <w:rPr>
          <w:rFonts w:hint="eastAsia" w:asciiTheme="minorEastAsia" w:hAnsiTheme="minorEastAsia"/>
          <w:bCs/>
          <w:sz w:val="18"/>
          <w:szCs w:val="18"/>
        </w:rPr>
        <w:t>占总份额比例</w:t>
      </w:r>
      <w:r>
        <w:rPr>
          <w:rFonts w:hint="eastAsia" w:ascii="宋体" w:hAnsi="宋体"/>
          <w:bCs/>
          <w:sz w:val="18"/>
          <w:szCs w:val="18"/>
        </w:rPr>
        <w:t>等信息。</w:t>
      </w:r>
    </w:p>
    <w:p>
      <w:pPr>
        <w:spacing w:line="360" w:lineRule="auto"/>
        <w:ind w:firstLine="361" w:firstLineChars="200"/>
        <w:rPr>
          <w:rFonts w:ascii="宋体" w:hAnsi="宋体"/>
          <w:b/>
          <w:bCs/>
          <w:sz w:val="18"/>
          <w:szCs w:val="18"/>
        </w:rPr>
      </w:pPr>
      <w:r>
        <w:rPr>
          <w:rFonts w:hint="eastAsia" w:ascii="宋体" w:hAnsi="宋体"/>
          <w:b/>
          <w:bCs/>
          <w:sz w:val="18"/>
          <w:szCs w:val="18"/>
        </w:rPr>
        <w:t>（四）信息披露的频率和时间</w:t>
      </w:r>
    </w:p>
    <w:p>
      <w:pPr>
        <w:spacing w:line="360" w:lineRule="auto"/>
        <w:ind w:firstLine="360" w:firstLineChars="200"/>
        <w:rPr>
          <w:rFonts w:ascii="宋体" w:hAnsi="宋体"/>
          <w:bCs/>
          <w:sz w:val="18"/>
          <w:szCs w:val="18"/>
        </w:rPr>
      </w:pPr>
      <w:r>
        <w:rPr>
          <w:rFonts w:ascii="宋体" w:hAnsi="宋体"/>
          <w:bCs/>
          <w:sz w:val="18"/>
          <w:szCs w:val="18"/>
        </w:rPr>
        <w:t>1</w:t>
      </w:r>
      <w:r>
        <w:rPr>
          <w:rFonts w:hint="eastAsia" w:ascii="宋体" w:hAnsi="宋体"/>
          <w:bCs/>
          <w:sz w:val="18"/>
          <w:szCs w:val="18"/>
        </w:rPr>
        <w:t>.</w:t>
      </w:r>
      <w:r>
        <w:rPr>
          <w:rFonts w:ascii="宋体" w:hAnsi="宋体"/>
          <w:bCs/>
          <w:sz w:val="18"/>
          <w:szCs w:val="18"/>
        </w:rPr>
        <w:t>产品成立公告</w:t>
      </w:r>
    </w:p>
    <w:p>
      <w:pPr>
        <w:spacing w:line="360" w:lineRule="auto"/>
        <w:ind w:firstLine="360" w:firstLineChars="200"/>
        <w:rPr>
          <w:rFonts w:ascii="宋体" w:hAnsi="宋体"/>
          <w:bCs/>
          <w:sz w:val="18"/>
          <w:szCs w:val="18"/>
        </w:rPr>
      </w:pPr>
      <w:r>
        <w:rPr>
          <w:rFonts w:hint="eastAsia" w:ascii="宋体" w:hAnsi="宋体"/>
          <w:bCs/>
          <w:sz w:val="18"/>
          <w:szCs w:val="18"/>
        </w:rPr>
        <w:t>本产品成立后5个工作日内，产品管理人将发布产品成立公告。</w:t>
      </w:r>
    </w:p>
    <w:p>
      <w:pPr>
        <w:spacing w:line="360" w:lineRule="auto"/>
        <w:ind w:firstLine="360" w:firstLineChars="200"/>
        <w:rPr>
          <w:rFonts w:ascii="宋体" w:hAnsi="宋体"/>
          <w:bCs/>
          <w:sz w:val="18"/>
          <w:szCs w:val="18"/>
        </w:rPr>
      </w:pPr>
      <w:r>
        <w:rPr>
          <w:rFonts w:ascii="宋体" w:hAnsi="宋体"/>
          <w:bCs/>
          <w:sz w:val="18"/>
          <w:szCs w:val="18"/>
        </w:rPr>
        <w:t>2</w:t>
      </w:r>
      <w:r>
        <w:rPr>
          <w:rFonts w:hint="eastAsia" w:ascii="宋体" w:hAnsi="宋体"/>
          <w:bCs/>
          <w:sz w:val="18"/>
          <w:szCs w:val="18"/>
        </w:rPr>
        <w:t>.</w:t>
      </w:r>
      <w:r>
        <w:rPr>
          <w:rFonts w:ascii="宋体" w:hAnsi="宋体"/>
          <w:bCs/>
          <w:sz w:val="18"/>
          <w:szCs w:val="18"/>
        </w:rPr>
        <w:t>重大事项公告</w:t>
      </w:r>
    </w:p>
    <w:p>
      <w:pPr>
        <w:spacing w:line="360" w:lineRule="auto"/>
        <w:ind w:firstLine="360" w:firstLineChars="200"/>
        <w:rPr>
          <w:rFonts w:ascii="宋体" w:hAnsi="宋体"/>
          <w:bCs/>
          <w:sz w:val="18"/>
          <w:szCs w:val="18"/>
        </w:rPr>
      </w:pPr>
      <w:r>
        <w:rPr>
          <w:rFonts w:hint="eastAsia" w:ascii="宋体" w:hAnsi="宋体"/>
          <w:bCs/>
          <w:sz w:val="18"/>
          <w:szCs w:val="18"/>
        </w:rPr>
        <w:t>在发生可能对理财产品投资者或者理财产品收益产生重大影响的事件后</w:t>
      </w:r>
      <w:r>
        <w:rPr>
          <w:rFonts w:ascii="宋体" w:hAnsi="宋体"/>
          <w:bCs/>
          <w:sz w:val="18"/>
          <w:szCs w:val="18"/>
        </w:rPr>
        <w:t>2个工作日内发布重大事项公告。</w:t>
      </w:r>
    </w:p>
    <w:p>
      <w:pPr>
        <w:spacing w:line="360" w:lineRule="auto"/>
        <w:ind w:firstLine="360" w:firstLineChars="200"/>
        <w:rPr>
          <w:rFonts w:ascii="宋体" w:hAnsi="宋体"/>
          <w:bCs/>
          <w:sz w:val="18"/>
          <w:szCs w:val="18"/>
        </w:rPr>
      </w:pPr>
      <w:r>
        <w:rPr>
          <w:rFonts w:ascii="宋体" w:hAnsi="宋体"/>
          <w:bCs/>
          <w:sz w:val="18"/>
          <w:szCs w:val="18"/>
        </w:rPr>
        <w:t>3</w:t>
      </w:r>
      <w:r>
        <w:rPr>
          <w:rFonts w:hint="eastAsia" w:ascii="宋体" w:hAnsi="宋体"/>
          <w:bCs/>
          <w:sz w:val="18"/>
          <w:szCs w:val="18"/>
        </w:rPr>
        <w:t>.</w:t>
      </w:r>
      <w:r>
        <w:rPr>
          <w:rFonts w:ascii="宋体" w:hAnsi="宋体"/>
          <w:bCs/>
          <w:sz w:val="18"/>
          <w:szCs w:val="18"/>
        </w:rPr>
        <w:t>定期报告</w:t>
      </w:r>
    </w:p>
    <w:p>
      <w:pPr>
        <w:spacing w:line="360" w:lineRule="auto"/>
        <w:ind w:firstLine="360" w:firstLineChars="200"/>
        <w:rPr>
          <w:rFonts w:ascii="宋体" w:hAnsi="宋体"/>
          <w:bCs/>
          <w:sz w:val="18"/>
          <w:szCs w:val="18"/>
        </w:rPr>
      </w:pPr>
      <w:r>
        <w:rPr>
          <w:rFonts w:hint="eastAsia" w:ascii="宋体" w:hAnsi="宋体"/>
          <w:bCs/>
          <w:sz w:val="18"/>
          <w:szCs w:val="18"/>
        </w:rPr>
        <w:t>定期报告分为季度、半年度和年度定期报告。产品成立超过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pPr>
        <w:spacing w:line="360" w:lineRule="auto"/>
        <w:ind w:firstLine="360" w:firstLineChars="200"/>
        <w:rPr>
          <w:rFonts w:ascii="宋体" w:hAnsi="宋体"/>
          <w:bCs/>
          <w:sz w:val="18"/>
          <w:szCs w:val="18"/>
        </w:rPr>
      </w:pPr>
      <w:r>
        <w:rPr>
          <w:rFonts w:hint="eastAsia" w:ascii="宋体" w:hAnsi="宋体"/>
          <w:bCs/>
          <w:sz w:val="18"/>
          <w:szCs w:val="18"/>
        </w:rPr>
        <w:t>产品存续期间如出现单一投资者持有产品份额达到或者超过产品总份额20%的情形,为保障其他投资者的权益，管理人将在定期报告中披露该投资者的类别、持有份额及占比、持有份额变化情况及产品风险等信息，监管部门认定的特殊情形除外。</w:t>
      </w:r>
    </w:p>
    <w:p>
      <w:pPr>
        <w:spacing w:line="360" w:lineRule="auto"/>
        <w:ind w:firstLine="360" w:firstLineChars="200"/>
        <w:rPr>
          <w:rFonts w:ascii="宋体" w:hAnsi="宋体"/>
          <w:bCs/>
          <w:sz w:val="18"/>
          <w:szCs w:val="18"/>
        </w:rPr>
      </w:pPr>
      <w:r>
        <w:rPr>
          <w:rFonts w:ascii="宋体" w:hAnsi="宋体"/>
          <w:bCs/>
          <w:sz w:val="18"/>
          <w:szCs w:val="18"/>
        </w:rPr>
        <w:t>4</w:t>
      </w:r>
      <w:r>
        <w:rPr>
          <w:rFonts w:hint="eastAsia" w:ascii="宋体" w:hAnsi="宋体"/>
          <w:bCs/>
          <w:sz w:val="18"/>
          <w:szCs w:val="18"/>
        </w:rPr>
        <w:t>.</w:t>
      </w:r>
      <w:r>
        <w:rPr>
          <w:rFonts w:ascii="宋体" w:hAnsi="宋体"/>
          <w:bCs/>
          <w:sz w:val="18"/>
          <w:szCs w:val="18"/>
        </w:rPr>
        <w:t>到期公告</w:t>
      </w:r>
    </w:p>
    <w:p>
      <w:pPr>
        <w:spacing w:line="360" w:lineRule="auto"/>
        <w:ind w:firstLine="360" w:firstLineChars="200"/>
        <w:rPr>
          <w:rFonts w:ascii="宋体" w:hAnsi="宋体"/>
          <w:bCs/>
          <w:sz w:val="18"/>
          <w:szCs w:val="18"/>
        </w:rPr>
      </w:pPr>
      <w:r>
        <w:rPr>
          <w:rFonts w:hint="eastAsia" w:ascii="宋体" w:hAnsi="宋体"/>
          <w:bCs/>
          <w:sz w:val="18"/>
          <w:szCs w:val="18"/>
        </w:rPr>
        <w:t>如果产品管理人主动提前终止本产品，产品管理人将提前2个工作日进行公告。本产品终止后5个工作日内，产品管理人发布产品到期公告。</w:t>
      </w:r>
    </w:p>
    <w:p>
      <w:pPr>
        <w:spacing w:line="360" w:lineRule="auto"/>
        <w:ind w:firstLine="360" w:firstLineChars="200"/>
        <w:rPr>
          <w:rFonts w:ascii="宋体" w:hAnsi="宋体"/>
          <w:bCs/>
          <w:sz w:val="18"/>
          <w:szCs w:val="18"/>
        </w:rPr>
      </w:pPr>
      <w:r>
        <w:rPr>
          <w:rFonts w:ascii="宋体" w:hAnsi="宋体"/>
          <w:bCs/>
          <w:sz w:val="18"/>
          <w:szCs w:val="18"/>
        </w:rPr>
        <w:t>5</w:t>
      </w:r>
      <w:r>
        <w:rPr>
          <w:rFonts w:hint="eastAsia" w:ascii="宋体" w:hAnsi="宋体"/>
          <w:bCs/>
          <w:sz w:val="18"/>
          <w:szCs w:val="18"/>
        </w:rPr>
        <w:t>.</w:t>
      </w:r>
      <w:r>
        <w:rPr>
          <w:rFonts w:ascii="宋体" w:hAnsi="宋体"/>
          <w:bCs/>
          <w:sz w:val="18"/>
          <w:szCs w:val="18"/>
        </w:rPr>
        <w:t>开放日</w:t>
      </w:r>
      <w:r>
        <w:rPr>
          <w:rFonts w:hint="eastAsia" w:ascii="宋体" w:hAnsi="宋体"/>
          <w:bCs/>
          <w:sz w:val="18"/>
          <w:szCs w:val="18"/>
        </w:rPr>
        <w:t>/</w:t>
      </w:r>
      <w:r>
        <w:rPr>
          <w:rFonts w:ascii="宋体" w:hAnsi="宋体"/>
          <w:bCs/>
          <w:sz w:val="18"/>
          <w:szCs w:val="18"/>
        </w:rPr>
        <w:t>估值日公告</w:t>
      </w:r>
    </w:p>
    <w:p>
      <w:pPr>
        <w:spacing w:line="360" w:lineRule="auto"/>
        <w:ind w:firstLine="360" w:firstLineChars="200"/>
        <w:rPr>
          <w:rFonts w:ascii="宋体" w:hAnsi="宋体"/>
          <w:bCs/>
          <w:sz w:val="18"/>
          <w:szCs w:val="18"/>
        </w:rPr>
      </w:pPr>
      <w:r>
        <w:rPr>
          <w:rFonts w:hint="eastAsia" w:ascii="宋体" w:hAnsi="宋体"/>
          <w:bCs/>
          <w:sz w:val="18"/>
          <w:szCs w:val="18"/>
        </w:rPr>
        <w:t>产品管理人在每个开放日公告前一个开放日每万份理财收益和</w:t>
      </w:r>
      <w:r>
        <w:rPr>
          <w:rFonts w:ascii="宋体" w:hAnsi="宋体"/>
          <w:bCs/>
          <w:sz w:val="18"/>
          <w:szCs w:val="18"/>
        </w:rPr>
        <w:t>7</w:t>
      </w:r>
      <w:r>
        <w:rPr>
          <w:rFonts w:hint="eastAsia" w:ascii="宋体" w:hAnsi="宋体"/>
          <w:bCs/>
          <w:sz w:val="18"/>
          <w:szCs w:val="18"/>
        </w:rPr>
        <w:t>日年化收益率。如遇法定节假日顺延。</w:t>
      </w:r>
    </w:p>
    <w:p>
      <w:pPr>
        <w:spacing w:line="360" w:lineRule="auto"/>
        <w:ind w:firstLine="360" w:firstLineChars="200"/>
        <w:rPr>
          <w:rFonts w:ascii="宋体" w:hAnsi="宋体"/>
          <w:bCs/>
          <w:sz w:val="18"/>
          <w:szCs w:val="18"/>
        </w:rPr>
      </w:pPr>
      <w:r>
        <w:rPr>
          <w:rFonts w:ascii="宋体" w:hAnsi="宋体"/>
          <w:bCs/>
          <w:sz w:val="18"/>
          <w:szCs w:val="18"/>
        </w:rPr>
        <w:t>6.临时公告</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bCs/>
          <w:sz w:val="18"/>
          <w:szCs w:val="18"/>
        </w:rPr>
        <w:t>★产品管理人</w:t>
      </w:r>
      <w:r>
        <w:rPr>
          <w:rFonts w:ascii="黑体" w:hAnsi="黑体" w:eastAsia="黑体"/>
          <w:bCs/>
          <w:sz w:val="18"/>
          <w:szCs w:val="18"/>
        </w:rPr>
        <w:t>对</w:t>
      </w:r>
      <w:r>
        <w:rPr>
          <w:rFonts w:hint="eastAsia" w:ascii="黑体" w:hAnsi="黑体" w:eastAsia="黑体"/>
          <w:bCs/>
          <w:sz w:val="18"/>
          <w:szCs w:val="18"/>
        </w:rPr>
        <w:t>投资范围、投资资产种类、</w:t>
      </w:r>
      <w:r>
        <w:rPr>
          <w:rFonts w:ascii="黑体" w:hAnsi="黑体" w:eastAsia="黑体"/>
          <w:bCs/>
          <w:sz w:val="18"/>
          <w:szCs w:val="18"/>
        </w:rPr>
        <w:t>投资</w:t>
      </w:r>
      <w:r>
        <w:rPr>
          <w:rFonts w:hint="eastAsia" w:ascii="黑体" w:hAnsi="黑体" w:eastAsia="黑体"/>
          <w:bCs/>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hAnsi="黑体" w:eastAsia="黑体"/>
          <w:bCs/>
          <w:sz w:val="18"/>
          <w:szCs w:val="18"/>
        </w:rPr>
        <w:t>2个工作日发布变更公告</w:t>
      </w:r>
      <w:r>
        <w:rPr>
          <w:rFonts w:hint="eastAsia" w:ascii="黑体" w:hAnsi="黑体" w:eastAsia="黑体"/>
          <w:bCs/>
          <w:sz w:val="18"/>
          <w:szCs w:val="18"/>
        </w:rPr>
        <w:t>。</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2）在发生</w:t>
      </w:r>
      <w:r>
        <w:rPr>
          <w:rFonts w:hint="eastAsia" w:ascii="宋体" w:hAnsi="宋体"/>
          <w:sz w:val="18"/>
          <w:szCs w:val="18"/>
        </w:rPr>
        <w:t>产品管理人</w:t>
      </w:r>
      <w:r>
        <w:rPr>
          <w:rFonts w:hint="eastAsia" w:ascii="宋体" w:hAnsi="宋体"/>
          <w:bCs/>
          <w:sz w:val="18"/>
          <w:szCs w:val="18"/>
        </w:rPr>
        <w:t>拒绝或暂停接受</w:t>
      </w:r>
      <w:r>
        <w:rPr>
          <w:rFonts w:ascii="宋体" w:hAnsi="宋体"/>
          <w:bCs/>
          <w:sz w:val="18"/>
          <w:szCs w:val="18"/>
        </w:rPr>
        <w:t>投资者</w:t>
      </w:r>
      <w:r>
        <w:rPr>
          <w:rFonts w:hint="eastAsia" w:ascii="宋体" w:hAnsi="宋体"/>
          <w:bCs/>
          <w:sz w:val="18"/>
          <w:szCs w:val="18"/>
        </w:rPr>
        <w:t>认购</w:t>
      </w:r>
      <w:r>
        <w:rPr>
          <w:rFonts w:ascii="宋体" w:hAnsi="宋体"/>
          <w:bCs/>
          <w:sz w:val="18"/>
          <w:szCs w:val="18"/>
        </w:rPr>
        <w:t>/申购</w:t>
      </w:r>
      <w:r>
        <w:rPr>
          <w:rFonts w:hint="eastAsia" w:ascii="宋体" w:hAnsi="宋体"/>
          <w:bCs/>
          <w:sz w:val="18"/>
          <w:szCs w:val="18"/>
        </w:rPr>
        <w:t>申请、暂停接受</w:t>
      </w:r>
      <w:r>
        <w:rPr>
          <w:rFonts w:ascii="宋体" w:hAnsi="宋体"/>
          <w:bCs/>
          <w:sz w:val="18"/>
          <w:szCs w:val="18"/>
        </w:rPr>
        <w:t>投资者</w:t>
      </w:r>
      <w:r>
        <w:rPr>
          <w:rFonts w:hint="eastAsia" w:ascii="宋体" w:hAnsi="宋体"/>
          <w:bCs/>
          <w:sz w:val="18"/>
          <w:szCs w:val="18"/>
        </w:rPr>
        <w:t>赎回申请、延缓支付赎回款项、</w:t>
      </w:r>
      <w:r>
        <w:rPr>
          <w:rFonts w:ascii="宋体" w:hAnsi="宋体"/>
          <w:bCs/>
          <w:sz w:val="18"/>
          <w:szCs w:val="18"/>
        </w:rPr>
        <w:t>巨额赎回</w:t>
      </w:r>
      <w:r>
        <w:rPr>
          <w:rFonts w:hint="eastAsia" w:ascii="宋体" w:hAnsi="宋体"/>
          <w:bCs/>
          <w:sz w:val="18"/>
          <w:szCs w:val="18"/>
        </w:rPr>
        <w:t>、暂停理财产品估值</w:t>
      </w:r>
      <w:r>
        <w:rPr>
          <w:rFonts w:ascii="宋体" w:hAnsi="宋体"/>
          <w:bCs/>
          <w:sz w:val="18"/>
          <w:szCs w:val="18"/>
        </w:rPr>
        <w:t>等</w:t>
      </w:r>
      <w:r>
        <w:rPr>
          <w:rFonts w:hint="eastAsia" w:ascii="宋体" w:hAnsi="宋体"/>
          <w:bCs/>
          <w:sz w:val="18"/>
          <w:szCs w:val="18"/>
        </w:rPr>
        <w:t>情形</w:t>
      </w:r>
      <w:r>
        <w:rPr>
          <w:rFonts w:ascii="宋体" w:hAnsi="宋体"/>
          <w:bCs/>
          <w:sz w:val="18"/>
          <w:szCs w:val="18"/>
        </w:rPr>
        <w:t>时，</w:t>
      </w:r>
      <w:r>
        <w:rPr>
          <w:rFonts w:hint="eastAsia" w:ascii="宋体" w:hAnsi="宋体"/>
          <w:sz w:val="18"/>
          <w:szCs w:val="18"/>
        </w:rPr>
        <w:t>产品管理人</w:t>
      </w:r>
      <w:r>
        <w:rPr>
          <w:rFonts w:hint="eastAsia" w:ascii="宋体" w:hAnsi="宋体"/>
          <w:bCs/>
          <w:sz w:val="18"/>
          <w:szCs w:val="18"/>
        </w:rPr>
        <w:t>将</w:t>
      </w:r>
      <w:r>
        <w:rPr>
          <w:rFonts w:ascii="宋体" w:hAnsi="宋体"/>
          <w:bCs/>
          <w:sz w:val="18"/>
          <w:szCs w:val="18"/>
        </w:rPr>
        <w:t>于3个</w:t>
      </w:r>
      <w:r>
        <w:rPr>
          <w:rFonts w:hint="eastAsia" w:ascii="宋体" w:hAnsi="宋体"/>
          <w:bCs/>
          <w:sz w:val="18"/>
          <w:szCs w:val="18"/>
        </w:rPr>
        <w:t>交易</w:t>
      </w:r>
      <w:r>
        <w:rPr>
          <w:rFonts w:ascii="宋体" w:hAnsi="宋体"/>
          <w:bCs/>
          <w:sz w:val="18"/>
          <w:szCs w:val="18"/>
        </w:rPr>
        <w:t>日</w:t>
      </w:r>
      <w:r>
        <w:rPr>
          <w:rFonts w:hint="eastAsia" w:ascii="宋体" w:hAnsi="宋体"/>
          <w:bCs/>
          <w:sz w:val="18"/>
          <w:szCs w:val="18"/>
        </w:rPr>
        <w:t>内告知投资者，并说明运用相关措施的原因和拟采取的应对安排等</w:t>
      </w:r>
      <w:r>
        <w:rPr>
          <w:rFonts w:ascii="宋体" w:hAnsi="宋体"/>
          <w:bCs/>
          <w:sz w:val="18"/>
          <w:szCs w:val="18"/>
        </w:rPr>
        <w:t>。</w:t>
      </w:r>
      <w:r>
        <w:rPr>
          <w:rFonts w:hint="eastAsia" w:ascii="宋体" w:hAnsi="宋体"/>
          <w:bCs/>
          <w:sz w:val="18"/>
          <w:szCs w:val="18"/>
        </w:rPr>
        <w:t>在发生涉及产品认购、申购或赎回事项调整或潜在影响投资者赎回等事项时，管理人将发布临时公告。</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3）理财产品清算期超过5个工作日的，产品管理人应当在理财产品终止前，根据与投资者的约定，在指定渠道向理财产品投资者进行披露。</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4）★在本产品存续期内，如因国家法律法规、监管规定发生变化，或是出于维护本产品正常运营的需要，在不损害投资者</w:t>
      </w:r>
      <w:r>
        <w:rPr>
          <w:rFonts w:hint="eastAsia" w:ascii="黑体" w:hAnsi="黑体" w:eastAsia="黑体"/>
          <w:bCs/>
          <w:sz w:val="18"/>
          <w:szCs w:val="18"/>
        </w:rPr>
        <w:t>权益</w:t>
      </w:r>
      <w:r>
        <w:rPr>
          <w:rFonts w:ascii="黑体" w:hAnsi="黑体" w:eastAsia="黑体"/>
          <w:bCs/>
          <w:sz w:val="18"/>
          <w:szCs w:val="18"/>
        </w:rPr>
        <w:t>的前提下，</w:t>
      </w:r>
      <w:r>
        <w:rPr>
          <w:rFonts w:hint="eastAsia" w:ascii="黑体" w:hAnsi="黑体" w:eastAsia="黑体"/>
          <w:bCs/>
          <w:sz w:val="18"/>
          <w:szCs w:val="18"/>
        </w:rPr>
        <w:t>产品管理人</w:t>
      </w:r>
      <w:r>
        <w:rPr>
          <w:rFonts w:ascii="黑体" w:hAnsi="黑体" w:eastAsia="黑体"/>
          <w:bCs/>
          <w:sz w:val="18"/>
          <w:szCs w:val="18"/>
        </w:rPr>
        <w:t>有权对</w:t>
      </w:r>
      <w:r>
        <w:rPr>
          <w:rFonts w:hint="eastAsia" w:ascii="黑体" w:hAnsi="黑体" w:eastAsia="黑体"/>
          <w:bCs/>
          <w:sz w:val="18"/>
          <w:szCs w:val="18"/>
        </w:rPr>
        <w:t>理财产品销售文件</w:t>
      </w:r>
      <w:r>
        <w:rPr>
          <w:rFonts w:ascii="黑体" w:hAnsi="黑体" w:eastAsia="黑体"/>
          <w:bCs/>
          <w:sz w:val="18"/>
          <w:szCs w:val="18"/>
        </w:rPr>
        <w:t>进行修订，并提前2个工作日进行</w:t>
      </w:r>
      <w:r>
        <w:rPr>
          <w:rFonts w:hint="eastAsia" w:ascii="黑体" w:hAnsi="黑体" w:eastAsia="黑体"/>
          <w:bCs/>
          <w:sz w:val="18"/>
          <w:szCs w:val="18"/>
        </w:rPr>
        <w:t>公告</w:t>
      </w:r>
      <w:r>
        <w:rPr>
          <w:rFonts w:ascii="黑体" w:hAnsi="黑体" w:eastAsia="黑体"/>
          <w:bCs/>
          <w:sz w:val="18"/>
          <w:szCs w:val="18"/>
        </w:rPr>
        <w:t>。</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5）其他临时性公告</w:t>
      </w:r>
    </w:p>
    <w:p>
      <w:pPr>
        <w:spacing w:line="360" w:lineRule="auto"/>
        <w:ind w:firstLine="360" w:firstLineChars="200"/>
        <w:rPr>
          <w:rFonts w:ascii="宋体" w:hAnsi="宋体"/>
          <w:bCs/>
          <w:sz w:val="18"/>
          <w:szCs w:val="18"/>
        </w:rPr>
      </w:pPr>
      <w:r>
        <w:rPr>
          <w:rFonts w:hint="eastAsia" w:ascii="宋体" w:hAnsi="宋体"/>
          <w:bCs/>
          <w:sz w:val="18"/>
          <w:szCs w:val="18"/>
        </w:rPr>
        <w:t>除前述事项外，如出现其他突发事件，需在事件发生后及时进行披露。</w:t>
      </w:r>
    </w:p>
    <w:bookmarkEnd w:id="231"/>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在本产品存续期内，当管理人对理财产品进行相应变更（包括调整投资范围、投资资产种类、投资比例或收费项目、条件、标准和方式等）时，若构成对投资者利益产生实质性不利影响或涉及当事人权利义务的重大变更的，投资者有权不接受变更，在符合法律法规及监管政策的前提下，可由管理人决定投资者的提前退出方式，</w:t>
      </w:r>
      <w:r>
        <w:rPr>
          <w:rFonts w:ascii="黑体" w:hAnsi="黑体" w:eastAsia="黑体"/>
          <w:bCs/>
          <w:sz w:val="18"/>
          <w:szCs w:val="18"/>
        </w:rPr>
        <w:t>并提前2个工作日进行</w:t>
      </w:r>
      <w:r>
        <w:rPr>
          <w:rFonts w:hint="eastAsia" w:ascii="黑体" w:hAnsi="黑体" w:eastAsia="黑体"/>
          <w:bCs/>
          <w:sz w:val="18"/>
          <w:szCs w:val="18"/>
        </w:rPr>
        <w:t>公告。若投资者未选择退出本产品的，则视为已理解并接受管理人的相应变更。</w:t>
      </w:r>
    </w:p>
    <w:p>
      <w:pPr>
        <w:widowControl/>
        <w:spacing w:line="360" w:lineRule="auto"/>
        <w:jc w:val="left"/>
        <w:rPr>
          <w:bCs/>
          <w:sz w:val="24"/>
        </w:rPr>
      </w:pPr>
      <w:r>
        <w:rPr>
          <w:bCs/>
          <w:sz w:val="24"/>
        </w:rPr>
        <w:br w:type="page"/>
      </w:r>
    </w:p>
    <w:p>
      <w:pPr>
        <w:pStyle w:val="2"/>
        <w:spacing w:before="0" w:after="0" w:line="360" w:lineRule="auto"/>
        <w:jc w:val="center"/>
        <w:rPr>
          <w:rFonts w:ascii="Times New Roman"/>
          <w:b w:val="0"/>
          <w:sz w:val="30"/>
        </w:rPr>
      </w:pPr>
      <w:bookmarkStart w:id="232" w:name="_Toc79154675"/>
      <w:bookmarkStart w:id="233" w:name="_Toc176189289"/>
      <w:bookmarkStart w:id="234" w:name="_Toc20251"/>
      <w:r>
        <w:rPr>
          <w:rFonts w:hint="eastAsia" w:ascii="Times New Roman"/>
          <w:sz w:val="30"/>
        </w:rPr>
        <w:t>第十二条</w:t>
      </w:r>
      <w:r>
        <w:rPr>
          <w:rFonts w:ascii="Times New Roman"/>
          <w:sz w:val="30"/>
        </w:rPr>
        <w:t xml:space="preserve">  </w:t>
      </w:r>
      <w:r>
        <w:rPr>
          <w:rFonts w:hint="eastAsia" w:ascii="Times New Roman"/>
          <w:sz w:val="30"/>
        </w:rPr>
        <w:t>理财产品</w:t>
      </w:r>
      <w:r>
        <w:rPr>
          <w:rFonts w:ascii="Times New Roman"/>
          <w:sz w:val="30"/>
        </w:rPr>
        <w:t>的风险揭示</w:t>
      </w:r>
      <w:bookmarkEnd w:id="232"/>
      <w:bookmarkEnd w:id="233"/>
      <w:bookmarkEnd w:id="234"/>
    </w:p>
    <w:p>
      <w:pPr>
        <w:spacing w:line="360" w:lineRule="auto"/>
        <w:ind w:firstLine="361" w:firstLineChars="200"/>
        <w:rPr>
          <w:rFonts w:ascii="宋体" w:hAnsi="宋体"/>
          <w:b/>
          <w:sz w:val="18"/>
          <w:szCs w:val="18"/>
        </w:rPr>
      </w:pPr>
      <w:r>
        <w:rPr>
          <w:rFonts w:hint="eastAsia" w:ascii="宋体" w:hAnsi="宋体"/>
          <w:b/>
          <w:sz w:val="18"/>
          <w:szCs w:val="18"/>
        </w:rPr>
        <w:t>（一）投资者投资本产品可能面临的特定风险主要包括（但不限于）：</w:t>
      </w:r>
    </w:p>
    <w:p>
      <w:pPr>
        <w:spacing w:line="360" w:lineRule="auto"/>
        <w:ind w:firstLine="448" w:firstLineChars="249"/>
        <w:rPr>
          <w:rFonts w:cs="仿宋_GB2312" w:asciiTheme="minorEastAsia" w:hAnsiTheme="minorEastAsia"/>
          <w:kern w:val="0"/>
          <w:sz w:val="18"/>
          <w:szCs w:val="18"/>
        </w:rPr>
      </w:pPr>
      <w:r>
        <w:rPr>
          <w:rFonts w:hint="eastAsia" w:ascii="宋体" w:hAnsi="宋体"/>
          <w:sz w:val="18"/>
          <w:szCs w:val="18"/>
        </w:rPr>
        <w:t>【</w:t>
      </w:r>
      <w:r>
        <w:rPr>
          <w:rFonts w:hint="eastAsia" w:cs="仿宋_GB2312" w:asciiTheme="minorEastAsia" w:hAnsiTheme="minorEastAsia"/>
          <w:kern w:val="0"/>
          <w:sz w:val="18"/>
          <w:szCs w:val="18"/>
        </w:rPr>
        <w:t>1.拟投资市场和资产的风险：</w:t>
      </w:r>
    </w:p>
    <w:p>
      <w:pPr>
        <w:spacing w:line="360" w:lineRule="auto"/>
        <w:ind w:firstLine="448" w:firstLineChars="249"/>
        <w:rPr>
          <w:rFonts w:cs="仿宋_GB2312" w:asciiTheme="minorEastAsia" w:hAnsiTheme="minorEastAsia"/>
          <w:kern w:val="0"/>
          <w:sz w:val="18"/>
          <w:szCs w:val="18"/>
        </w:rPr>
      </w:pPr>
      <w:r>
        <w:rPr>
          <w:rFonts w:hint="eastAsia" w:cs="仿宋_GB2312" w:asciiTheme="minorEastAsia" w:hAnsiTheme="minorEastAsia"/>
          <w:kern w:val="0"/>
          <w:sz w:val="18"/>
          <w:szCs w:val="18"/>
        </w:rPr>
        <w:t>（1）投资固定收益类资产的风险</w:t>
      </w:r>
    </w:p>
    <w:p>
      <w:pPr>
        <w:spacing w:line="360" w:lineRule="auto"/>
        <w:ind w:firstLine="448" w:firstLineChars="249"/>
        <w:rPr>
          <w:rFonts w:cs="仿宋_GB2312" w:asciiTheme="minorEastAsia" w:hAnsiTheme="minorEastAsia"/>
          <w:kern w:val="0"/>
          <w:sz w:val="18"/>
          <w:szCs w:val="18"/>
        </w:rPr>
      </w:pPr>
      <w:r>
        <w:rPr>
          <w:rFonts w:hint="eastAsia" w:cs="仿宋_GB2312" w:asciiTheme="minorEastAsia" w:hAnsiTheme="minorEastAsia"/>
          <w:kern w:val="0"/>
          <w:sz w:val="18"/>
          <w:szCs w:val="18"/>
        </w:rPr>
        <w:t>1）投资标准化债权类资产的风险</w:t>
      </w:r>
    </w:p>
    <w:p>
      <w:pPr>
        <w:spacing w:line="360" w:lineRule="auto"/>
        <w:ind w:firstLine="448" w:firstLineChars="249"/>
        <w:rPr>
          <w:rFonts w:ascii="宋体" w:hAnsi="宋体"/>
          <w:sz w:val="18"/>
          <w:szCs w:val="18"/>
        </w:rPr>
      </w:pPr>
      <w:r>
        <w:rPr>
          <w:rFonts w:hint="eastAsia" w:cs="仿宋_GB2312" w:asciiTheme="minorEastAsia" w:hAnsiTheme="minorEastAsia"/>
          <w:kern w:val="0"/>
          <w:sz w:val="18"/>
          <w:szCs w:val="18"/>
        </w:rPr>
        <w:t>本产品投资债券、资产支持证券等固定收益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r>
        <w:rPr>
          <w:rFonts w:hint="eastAsia" w:ascii="宋体" w:hAnsi="宋体"/>
          <w:sz w:val="18"/>
          <w:szCs w:val="18"/>
        </w:rPr>
        <w:t>】</w:t>
      </w:r>
    </w:p>
    <w:p>
      <w:pPr>
        <w:pStyle w:val="14"/>
        <w:spacing w:line="360" w:lineRule="auto"/>
        <w:ind w:firstLine="361"/>
        <w:rPr>
          <w:rFonts w:ascii="宋体" w:hAnsi="宋体"/>
          <w:sz w:val="18"/>
          <w:szCs w:val="18"/>
        </w:rPr>
      </w:pPr>
      <w:r>
        <w:rPr>
          <w:rFonts w:hint="eastAsia" w:ascii="黑体" w:hAnsi="黑体" w:eastAsia="黑体" w:cs="仿宋_GB2312"/>
          <w:b/>
          <w:kern w:val="0"/>
          <w:sz w:val="18"/>
          <w:szCs w:val="18"/>
        </w:rPr>
        <w:t>★</w:t>
      </w:r>
      <w:r>
        <w:rPr>
          <w:rFonts w:hint="eastAsia" w:ascii="黑体" w:hAnsi="黑体" w:eastAsia="黑体"/>
          <w:sz w:val="18"/>
          <w:szCs w:val="18"/>
        </w:rPr>
        <w:t>注：以上特定风险仅为列举性质，未能详尽列明投资本产品可能面临的全部风险和可能导致投资者投资本金及收益损失的所有因素。</w:t>
      </w:r>
    </w:p>
    <w:p>
      <w:pPr>
        <w:spacing w:line="360" w:lineRule="auto"/>
        <w:ind w:firstLine="361" w:firstLineChars="200"/>
        <w:rPr>
          <w:rFonts w:ascii="宋体" w:hAnsi="宋体"/>
          <w:b/>
          <w:sz w:val="18"/>
          <w:szCs w:val="18"/>
        </w:rPr>
      </w:pPr>
      <w:r>
        <w:rPr>
          <w:rFonts w:hint="eastAsia" w:ascii="宋体" w:hAnsi="宋体"/>
          <w:b/>
          <w:sz w:val="18"/>
          <w:szCs w:val="18"/>
        </w:rPr>
        <w:t xml:space="preserve">（二）投资者投资本产品可能面临的一般风险主要包括（但不限于）： </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w:t>
      </w:r>
      <w:r>
        <w:rPr>
          <w:rFonts w:ascii="宋体" w:hAnsi="宋体"/>
          <w:sz w:val="18"/>
          <w:szCs w:val="18"/>
        </w:rPr>
        <w:t>信用风险</w:t>
      </w:r>
    </w:p>
    <w:p>
      <w:pPr>
        <w:spacing w:line="360" w:lineRule="auto"/>
        <w:ind w:firstLine="360" w:firstLineChars="200"/>
        <w:rPr>
          <w:rFonts w:ascii="宋体" w:hAnsi="宋体"/>
          <w:sz w:val="18"/>
          <w:szCs w:val="18"/>
        </w:rPr>
      </w:pPr>
      <w:r>
        <w:rPr>
          <w:rFonts w:hint="eastAsia" w:ascii="宋体" w:hAnsi="宋体"/>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w:t>
      </w:r>
      <w:r>
        <w:rPr>
          <w:rFonts w:ascii="宋体" w:hAnsi="宋体"/>
          <w:sz w:val="18"/>
          <w:szCs w:val="18"/>
        </w:rPr>
        <w:t>利率风险</w:t>
      </w:r>
    </w:p>
    <w:p>
      <w:pPr>
        <w:spacing w:line="360" w:lineRule="auto"/>
        <w:ind w:firstLine="360" w:firstLineChars="200"/>
        <w:rPr>
          <w:rFonts w:ascii="宋体" w:hAnsi="宋体"/>
          <w:sz w:val="18"/>
          <w:szCs w:val="18"/>
        </w:rPr>
      </w:pPr>
      <w:r>
        <w:rPr>
          <w:rFonts w:hint="eastAsia" w:ascii="宋体" w:hAnsi="宋体"/>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spacing w:line="360" w:lineRule="auto"/>
        <w:ind w:firstLine="360" w:firstLineChars="200"/>
        <w:rPr>
          <w:rFonts w:ascii="宋体" w:hAnsi="宋体"/>
          <w:sz w:val="18"/>
          <w:szCs w:val="18"/>
        </w:rPr>
      </w:pPr>
      <w:r>
        <w:rPr>
          <w:rFonts w:hint="eastAsia" w:ascii="宋体" w:hAnsi="宋体"/>
          <w:sz w:val="18"/>
          <w:szCs w:val="18"/>
        </w:rPr>
        <w:t>3.市场</w:t>
      </w:r>
      <w:r>
        <w:rPr>
          <w:rFonts w:ascii="宋体" w:hAnsi="宋体"/>
          <w:sz w:val="18"/>
          <w:szCs w:val="18"/>
        </w:rPr>
        <w:t>风险</w:t>
      </w:r>
    </w:p>
    <w:p>
      <w:pPr>
        <w:spacing w:line="360" w:lineRule="auto"/>
        <w:ind w:firstLine="360" w:firstLineChars="200"/>
        <w:rPr>
          <w:rFonts w:ascii="宋体" w:hAnsi="宋体"/>
          <w:sz w:val="18"/>
          <w:szCs w:val="18"/>
        </w:rPr>
      </w:pPr>
      <w:r>
        <w:rPr>
          <w:rFonts w:hint="eastAsia" w:ascii="宋体" w:hAnsi="宋体"/>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spacing w:line="360" w:lineRule="auto"/>
        <w:ind w:firstLine="360" w:firstLineChars="200"/>
        <w:rPr>
          <w:rFonts w:ascii="宋体" w:hAnsi="宋体"/>
          <w:sz w:val="18"/>
          <w:szCs w:val="18"/>
        </w:rPr>
      </w:pPr>
      <w:r>
        <w:rPr>
          <w:rFonts w:hint="eastAsia" w:ascii="宋体" w:hAnsi="宋体"/>
          <w:sz w:val="18"/>
          <w:szCs w:val="18"/>
        </w:rPr>
        <w:t>4.流动性风险</w:t>
      </w:r>
    </w:p>
    <w:p>
      <w:pPr>
        <w:spacing w:line="360" w:lineRule="auto"/>
        <w:ind w:firstLine="360" w:firstLineChars="200"/>
        <w:rPr>
          <w:rFonts w:ascii="宋体" w:hAnsi="宋体"/>
          <w:sz w:val="18"/>
          <w:szCs w:val="18"/>
        </w:rPr>
      </w:pPr>
      <w:r>
        <w:rPr>
          <w:rFonts w:hint="eastAsia" w:ascii="宋体" w:hAnsi="宋体"/>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spacing w:line="360" w:lineRule="auto"/>
        <w:ind w:firstLine="360" w:firstLineChars="200"/>
        <w:rPr>
          <w:rFonts w:ascii="宋体" w:hAnsi="宋体"/>
          <w:sz w:val="18"/>
          <w:szCs w:val="18"/>
        </w:rPr>
      </w:pPr>
      <w:r>
        <w:rPr>
          <w:rFonts w:hint="eastAsia" w:ascii="宋体" w:hAnsi="宋体"/>
          <w:sz w:val="18"/>
          <w:szCs w:val="18"/>
        </w:rPr>
        <w:t>5.</w:t>
      </w:r>
      <w:r>
        <w:rPr>
          <w:rFonts w:ascii="宋体" w:hAnsi="宋体"/>
          <w:sz w:val="18"/>
          <w:szCs w:val="18"/>
        </w:rPr>
        <w:t>法律与政策风险</w:t>
      </w:r>
    </w:p>
    <w:p>
      <w:pPr>
        <w:spacing w:line="360" w:lineRule="auto"/>
        <w:ind w:firstLine="360" w:firstLineChars="200"/>
        <w:rPr>
          <w:rFonts w:ascii="宋体" w:hAnsi="宋体"/>
          <w:sz w:val="18"/>
          <w:szCs w:val="18"/>
        </w:rPr>
      </w:pPr>
      <w:r>
        <w:rPr>
          <w:rFonts w:hint="eastAsia" w:ascii="宋体" w:hAnsi="宋体"/>
          <w:sz w:val="18"/>
          <w:szCs w:val="18"/>
        </w:rPr>
        <w:t>国家监管政策、货币政策、财政税收政策、产业政策、宏观政策及相关法律、法规的调整与变化将会影响本产品的设立、投资及管理等的正常运行，甚至导致本产品发生损失。</w:t>
      </w:r>
    </w:p>
    <w:p>
      <w:pPr>
        <w:spacing w:line="360" w:lineRule="auto"/>
        <w:ind w:firstLine="360" w:firstLineChars="200"/>
        <w:rPr>
          <w:rFonts w:ascii="宋体" w:hAnsi="宋体"/>
          <w:sz w:val="18"/>
          <w:szCs w:val="18"/>
        </w:rPr>
      </w:pPr>
      <w:r>
        <w:rPr>
          <w:rFonts w:hint="eastAsia" w:ascii="宋体" w:hAnsi="宋体"/>
          <w:sz w:val="18"/>
          <w:szCs w:val="18"/>
        </w:rPr>
        <w:t>6.</w:t>
      </w:r>
      <w:r>
        <w:rPr>
          <w:rFonts w:ascii="宋体" w:hAnsi="宋体"/>
          <w:sz w:val="18"/>
          <w:szCs w:val="18"/>
        </w:rPr>
        <w:t>延期</w:t>
      </w:r>
      <w:r>
        <w:rPr>
          <w:rFonts w:hint="eastAsia" w:ascii="宋体" w:hAnsi="宋体"/>
          <w:sz w:val="18"/>
          <w:szCs w:val="18"/>
        </w:rPr>
        <w:t>终止</w:t>
      </w:r>
      <w:r>
        <w:rPr>
          <w:rFonts w:ascii="宋体" w:hAnsi="宋体"/>
          <w:sz w:val="18"/>
          <w:szCs w:val="18"/>
        </w:rPr>
        <w:t>风险</w:t>
      </w:r>
    </w:p>
    <w:p>
      <w:pPr>
        <w:spacing w:line="360" w:lineRule="auto"/>
        <w:ind w:firstLine="360" w:firstLineChars="200"/>
        <w:rPr>
          <w:rFonts w:ascii="宋体" w:hAnsi="宋体"/>
          <w:sz w:val="18"/>
          <w:szCs w:val="18"/>
        </w:rPr>
      </w:pPr>
      <w:r>
        <w:rPr>
          <w:rFonts w:hint="eastAsia" w:ascii="宋体" w:hAnsi="宋体"/>
          <w:sz w:val="18"/>
          <w:szCs w:val="18"/>
        </w:rPr>
        <w:t>指因市场内部和外部的原因导致理财基础资产不能及时变现而造成理财产品不能按时分配，理财期限将相应延长，从而导致本产品部分资金的延期分配。</w:t>
      </w:r>
    </w:p>
    <w:p>
      <w:pPr>
        <w:spacing w:line="360" w:lineRule="auto"/>
        <w:ind w:firstLine="360" w:firstLineChars="200"/>
        <w:rPr>
          <w:rFonts w:ascii="宋体" w:hAnsi="宋体"/>
          <w:sz w:val="18"/>
          <w:szCs w:val="18"/>
        </w:rPr>
      </w:pPr>
      <w:r>
        <w:rPr>
          <w:rFonts w:hint="eastAsia" w:ascii="宋体" w:hAnsi="宋体"/>
          <w:sz w:val="18"/>
          <w:szCs w:val="18"/>
        </w:rPr>
        <w:t>7.</w:t>
      </w:r>
      <w:r>
        <w:rPr>
          <w:rFonts w:ascii="宋体" w:hAnsi="宋体"/>
          <w:sz w:val="18"/>
          <w:szCs w:val="18"/>
        </w:rPr>
        <w:t>提前终止风险</w:t>
      </w:r>
    </w:p>
    <w:p>
      <w:pPr>
        <w:spacing w:line="360" w:lineRule="auto"/>
        <w:ind w:firstLine="360" w:firstLineChars="200"/>
        <w:rPr>
          <w:rFonts w:ascii="宋体" w:hAnsi="宋体"/>
          <w:sz w:val="18"/>
          <w:szCs w:val="18"/>
        </w:rPr>
      </w:pPr>
      <w:r>
        <w:rPr>
          <w:rFonts w:hint="eastAsia" w:ascii="宋体" w:hAnsi="宋体"/>
          <w:sz w:val="18"/>
          <w:szCs w:val="18"/>
        </w:rPr>
        <w:t>如遇国家金融政策重大调整或法律法规、监管政策发生变化等影响产品正常运作时、本产品的投资资产等不能成立或者提前终止、或者司法机关等有权机关要求、或发生其他产品管理人认为需要提前终止本产品等情况，产品管理人有权部分或全部提前终止本产品，投资者将面临再投资机会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8</w:t>
      </w:r>
      <w:r>
        <w:rPr>
          <w:rFonts w:ascii="黑体" w:hAnsi="黑体" w:eastAsia="黑体"/>
          <w:sz w:val="18"/>
          <w:szCs w:val="18"/>
        </w:rPr>
        <w:t>.★信息传递风险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投资者需要通过约定的信息披露渠道了解产品相关信息公告。具体公告方式以理财产品</w:t>
      </w:r>
      <w:r>
        <w:rPr>
          <w:rFonts w:ascii="黑体" w:hAnsi="黑体" w:eastAsia="黑体"/>
          <w:sz w:val="18"/>
          <w:szCs w:val="18"/>
        </w:rPr>
        <w:t>销售文件</w:t>
      </w:r>
      <w:r>
        <w:rPr>
          <w:rFonts w:hint="eastAsia" w:ascii="黑体" w:hAnsi="黑体" w:eastAsia="黑体"/>
          <w:sz w:val="18"/>
          <w:szCs w:val="18"/>
        </w:rPr>
        <w:t>所载明的公告方式为准。投资者应根据本产品说明书所载明的公告方式及时查询本理财产品的相关信息。</w:t>
      </w:r>
      <w:r>
        <w:rPr>
          <w:rFonts w:ascii="黑体" w:hAnsi="黑体" w:eastAsia="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hint="eastAsia" w:ascii="黑体" w:hAnsi="黑体" w:eastAsia="黑体"/>
          <w:sz w:val="18"/>
          <w:szCs w:val="18"/>
        </w:rPr>
        <w:t>产品管理人</w:t>
      </w:r>
      <w:r>
        <w:rPr>
          <w:rFonts w:ascii="黑体" w:hAnsi="黑体" w:eastAsia="黑体"/>
          <w:sz w:val="18"/>
          <w:szCs w:val="18"/>
        </w:rPr>
        <w:t>的，致使在需要联系投资者时无法及时联系并可能会由此影响投资者的投资决策，由此而产生的责任和风险由投资者自行承担。</w:t>
      </w:r>
    </w:p>
    <w:p>
      <w:pPr>
        <w:spacing w:line="360" w:lineRule="auto"/>
        <w:ind w:firstLine="360" w:firstLineChars="200"/>
        <w:rPr>
          <w:rFonts w:ascii="宋体" w:hAnsi="宋体"/>
          <w:sz w:val="18"/>
          <w:szCs w:val="18"/>
        </w:rPr>
      </w:pPr>
      <w:r>
        <w:rPr>
          <w:rFonts w:hint="eastAsia" w:ascii="宋体" w:hAnsi="宋体"/>
          <w:sz w:val="18"/>
          <w:szCs w:val="18"/>
        </w:rPr>
        <w:t>9.</w:t>
      </w:r>
      <w:r>
        <w:rPr>
          <w:rFonts w:ascii="宋体" w:hAnsi="宋体"/>
          <w:sz w:val="18"/>
          <w:szCs w:val="18"/>
        </w:rPr>
        <w:t>不可抗力及意外事件风险</w:t>
      </w:r>
    </w:p>
    <w:p>
      <w:pPr>
        <w:spacing w:line="360" w:lineRule="auto"/>
        <w:ind w:firstLine="360" w:firstLineChars="200"/>
        <w:rPr>
          <w:rFonts w:ascii="宋体" w:hAnsi="宋体"/>
          <w:sz w:val="18"/>
          <w:szCs w:val="18"/>
        </w:rPr>
      </w:pPr>
      <w:r>
        <w:rPr>
          <w:rFonts w:hint="eastAsia" w:ascii="宋体" w:hAnsi="宋体"/>
          <w:sz w:val="18"/>
          <w:szCs w:val="18"/>
        </w:rPr>
        <w:t>因战争、自然灾害、重大政治事件等不可抗力以及其他不可预见的意外事件可能致使理财产品面临损失的风险。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管理人风险</w:t>
      </w:r>
    </w:p>
    <w:p>
      <w:pPr>
        <w:spacing w:line="360" w:lineRule="auto"/>
        <w:ind w:firstLine="360" w:firstLineChars="200"/>
        <w:rPr>
          <w:rFonts w:ascii="宋体" w:hAnsi="宋体"/>
          <w:bCs/>
          <w:sz w:val="18"/>
          <w:szCs w:val="18"/>
        </w:rPr>
      </w:pPr>
      <w:r>
        <w:rPr>
          <w:rFonts w:hint="eastAsia" w:ascii="宋体" w:hAnsi="宋体"/>
          <w:sz w:val="18"/>
          <w:szCs w:val="18"/>
        </w:rPr>
        <w:t>理财产品管理人或理财投资资产相关服务机构受经验、技能等因素的限制，或者上述主体处理事务不当等，可能导致投资者遭受损失。</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1.理财产品不成立风险</w:t>
      </w:r>
    </w:p>
    <w:p>
      <w:pPr>
        <w:spacing w:line="360" w:lineRule="auto"/>
        <w:ind w:firstLine="360" w:firstLineChars="200"/>
        <w:rPr>
          <w:rFonts w:ascii="宋体" w:hAnsi="宋体"/>
          <w:sz w:val="18"/>
          <w:szCs w:val="18"/>
        </w:rPr>
      </w:pPr>
      <w:r>
        <w:rPr>
          <w:rFonts w:hint="eastAsia" w:ascii="宋体" w:hAnsi="宋体"/>
          <w:sz w:val="18"/>
          <w:szCs w:val="18"/>
        </w:rPr>
        <w:t>如自本产品开始募集至认购期结束认购总金额未达到产品最小成立规模（如有约定），或</w:t>
      </w:r>
      <w:r>
        <w:rPr>
          <w:rFonts w:ascii="宋体" w:hAnsi="宋体"/>
          <w:sz w:val="18"/>
          <w:szCs w:val="18"/>
        </w:rPr>
        <w:t>融资人取消</w:t>
      </w:r>
      <w:r>
        <w:rPr>
          <w:rFonts w:hint="eastAsia" w:ascii="宋体" w:hAnsi="宋体"/>
          <w:sz w:val="18"/>
          <w:szCs w:val="18"/>
        </w:rPr>
        <w:t>融资</w:t>
      </w:r>
      <w:r>
        <w:rPr>
          <w:rFonts w:ascii="宋体" w:hAnsi="宋体"/>
          <w:sz w:val="18"/>
          <w:szCs w:val="18"/>
        </w:rPr>
        <w:t>计划，</w:t>
      </w:r>
      <w:r>
        <w:rPr>
          <w:rFonts w:hint="eastAsia" w:ascii="宋体" w:hAnsi="宋体"/>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hint="eastAsia" w:ascii="宋体" w:hAnsi="宋体"/>
          <w:sz w:val="18"/>
          <w:szCs w:val="18"/>
        </w:rPr>
        <w:t>，投资者将承担投资本产品不成立的风险。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2.</w:t>
      </w:r>
      <w:r>
        <w:rPr>
          <w:rFonts w:ascii="宋体" w:hAnsi="宋体"/>
          <w:sz w:val="18"/>
          <w:szCs w:val="18"/>
        </w:rPr>
        <w:t>操作风险</w:t>
      </w:r>
    </w:p>
    <w:p>
      <w:pPr>
        <w:spacing w:line="360" w:lineRule="auto"/>
        <w:ind w:firstLine="360" w:firstLineChars="200"/>
        <w:rPr>
          <w:rFonts w:ascii="宋体" w:hAnsi="宋体"/>
          <w:sz w:val="18"/>
          <w:szCs w:val="18"/>
        </w:rPr>
      </w:pPr>
      <w:r>
        <w:rPr>
          <w:rFonts w:hint="eastAsia" w:ascii="宋体" w:hAnsi="宋体"/>
          <w:sz w:val="18"/>
          <w:szCs w:val="18"/>
        </w:rPr>
        <w:t>由于产品管理人的</w:t>
      </w:r>
      <w:r>
        <w:rPr>
          <w:rFonts w:ascii="宋体" w:hAnsi="宋体"/>
          <w:sz w:val="18"/>
          <w:szCs w:val="18"/>
        </w:rPr>
        <w:t>不完善或有问题的内部程序、员工和信息科技系统，以及外部事件所造成损失的风险。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3</w:t>
      </w:r>
      <w:r>
        <w:rPr>
          <w:rFonts w:ascii="宋体" w:hAnsi="宋体"/>
          <w:sz w:val="18"/>
          <w:szCs w:val="18"/>
        </w:rPr>
        <w:t>.估值</w:t>
      </w:r>
      <w:r>
        <w:rPr>
          <w:rFonts w:hint="eastAsia" w:ascii="宋体" w:hAnsi="宋体"/>
          <w:sz w:val="18"/>
          <w:szCs w:val="18"/>
        </w:rPr>
        <w:t>波动</w:t>
      </w:r>
      <w:r>
        <w:rPr>
          <w:rFonts w:ascii="宋体" w:hAnsi="宋体"/>
          <w:sz w:val="18"/>
          <w:szCs w:val="18"/>
        </w:rPr>
        <w:t>风险</w:t>
      </w:r>
    </w:p>
    <w:p>
      <w:pPr>
        <w:spacing w:line="360" w:lineRule="auto"/>
        <w:ind w:firstLine="360" w:firstLineChars="200"/>
        <w:rPr>
          <w:rFonts w:ascii="宋体" w:hAnsi="宋体"/>
          <w:sz w:val="18"/>
          <w:szCs w:val="18"/>
        </w:rPr>
      </w:pPr>
      <w:r>
        <w:rPr>
          <w:rFonts w:hint="eastAsia" w:ascii="宋体" w:hAnsi="宋体"/>
          <w:sz w:val="18"/>
          <w:szCs w:val="18"/>
        </w:rPr>
        <w:t>本理财产品可能</w:t>
      </w:r>
      <w:r>
        <w:rPr>
          <w:rFonts w:ascii="宋体" w:hAnsi="宋体"/>
          <w:sz w:val="18"/>
          <w:szCs w:val="18"/>
        </w:rPr>
        <w:t>投资符合监管</w:t>
      </w:r>
      <w:r>
        <w:rPr>
          <w:rFonts w:hint="eastAsia" w:ascii="宋体" w:hAnsi="宋体"/>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hint="eastAsia" w:ascii="宋体" w:hAnsi="宋体"/>
          <w:sz w:val="18"/>
          <w:szCs w:val="18"/>
        </w:rPr>
        <w:t>当前述资产管理产品计提业绩报酬时，本理财产品的</w:t>
      </w:r>
      <w:r>
        <w:rPr>
          <w:rFonts w:hint="eastAsia" w:asciiTheme="minorEastAsia" w:hAnsiTheme="minorEastAsia" w:eastAsiaTheme="minorEastAsia"/>
          <w:sz w:val="18"/>
          <w:szCs w:val="18"/>
        </w:rPr>
        <w:t>每万份理财收益和</w:t>
      </w:r>
      <w:r>
        <w:rPr>
          <w:rFonts w:asciiTheme="minorEastAsia" w:hAnsiTheme="minorEastAsia" w:eastAsiaTheme="minorEastAsia"/>
          <w:sz w:val="18"/>
          <w:szCs w:val="18"/>
        </w:rPr>
        <w:t>7</w:t>
      </w:r>
      <w:r>
        <w:rPr>
          <w:rFonts w:hint="eastAsia" w:asciiTheme="minorEastAsia" w:hAnsiTheme="minorEastAsia" w:eastAsiaTheme="minorEastAsia"/>
          <w:sz w:val="18"/>
          <w:szCs w:val="18"/>
        </w:rPr>
        <w:t>日年化收益率</w:t>
      </w:r>
      <w:r>
        <w:rPr>
          <w:rFonts w:hint="eastAsia" w:ascii="宋体" w:hAnsi="宋体"/>
          <w:sz w:val="18"/>
          <w:szCs w:val="18"/>
        </w:rPr>
        <w:t>存在下跌的风险。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4.</w:t>
      </w:r>
      <w:r>
        <w:rPr>
          <w:rFonts w:ascii="宋体" w:hAnsi="宋体"/>
          <w:sz w:val="18"/>
          <w:szCs w:val="18"/>
        </w:rPr>
        <w:t>估值差错风险</w:t>
      </w:r>
    </w:p>
    <w:p>
      <w:pPr>
        <w:spacing w:line="360" w:lineRule="auto"/>
        <w:ind w:firstLine="360" w:firstLineChars="200"/>
        <w:rPr>
          <w:rFonts w:ascii="宋体" w:hAnsi="宋体"/>
          <w:sz w:val="18"/>
          <w:szCs w:val="18"/>
        </w:rPr>
      </w:pPr>
      <w:r>
        <w:rPr>
          <w:rFonts w:hint="eastAsia" w:ascii="宋体" w:hAnsi="宋体"/>
          <w:sz w:val="18"/>
          <w:szCs w:val="18"/>
        </w:rPr>
        <w:t>理财投资基础资产时涉及对资产估值不准确、及时的，理财产品管理人及产品托管人对理财产品费用计提出现错误，将导致本产品估值差错，可能影响理财产品</w:t>
      </w:r>
      <w:r>
        <w:rPr>
          <w:rFonts w:hint="eastAsia" w:asciiTheme="minorEastAsia" w:hAnsiTheme="minorEastAsia" w:eastAsiaTheme="minorEastAsia"/>
          <w:sz w:val="18"/>
          <w:szCs w:val="18"/>
        </w:rPr>
        <w:t>每万份理财收益和</w:t>
      </w:r>
      <w:r>
        <w:rPr>
          <w:rFonts w:asciiTheme="minorEastAsia" w:hAnsiTheme="minorEastAsia" w:eastAsiaTheme="minorEastAsia"/>
          <w:sz w:val="18"/>
          <w:szCs w:val="18"/>
        </w:rPr>
        <w:t>7</w:t>
      </w:r>
      <w:r>
        <w:rPr>
          <w:rFonts w:hint="eastAsia" w:asciiTheme="minorEastAsia" w:hAnsiTheme="minorEastAsia" w:eastAsiaTheme="minorEastAsia"/>
          <w:sz w:val="18"/>
          <w:szCs w:val="18"/>
        </w:rPr>
        <w:t>日年化收益率</w:t>
      </w:r>
      <w:r>
        <w:rPr>
          <w:rFonts w:hint="eastAsia" w:ascii="宋体" w:hAnsi="宋体"/>
          <w:sz w:val="18"/>
          <w:szCs w:val="18"/>
        </w:rPr>
        <w:t>。</w:t>
      </w:r>
    </w:p>
    <w:p>
      <w:pPr>
        <w:spacing w:line="360" w:lineRule="auto"/>
        <w:ind w:firstLine="360" w:firstLineChars="200"/>
        <w:rPr>
          <w:rFonts w:ascii="黑体" w:hAnsi="黑体" w:eastAsia="黑体" w:cs="黑体"/>
          <w:sz w:val="18"/>
          <w:szCs w:val="18"/>
        </w:rPr>
      </w:pPr>
      <w:r>
        <w:rPr>
          <w:rFonts w:hint="eastAsia" w:ascii="黑体" w:hAnsi="黑体" w:eastAsia="黑体" w:cs="黑体"/>
          <w:sz w:val="18"/>
          <w:szCs w:val="18"/>
        </w:rPr>
        <w:t>15.★代销风险</w:t>
      </w:r>
    </w:p>
    <w:p>
      <w:pPr>
        <w:spacing w:line="360" w:lineRule="auto"/>
        <w:ind w:firstLine="360" w:firstLineChars="200"/>
        <w:rPr>
          <w:rFonts w:ascii="黑体" w:hAnsi="黑体" w:eastAsia="黑体" w:cs="黑体"/>
          <w:sz w:val="18"/>
          <w:szCs w:val="18"/>
        </w:rPr>
      </w:pPr>
      <w:r>
        <w:rPr>
          <w:rFonts w:hint="eastAsia" w:ascii="黑体" w:hAnsi="黑体" w:eastAsia="黑体" w:cs="黑体"/>
          <w:sz w:val="18"/>
          <w:szCs w:val="18"/>
        </w:rPr>
        <w:t>本理财产品若通过非产品管理人自有渠道进行销售的属于代理销售，认购/申购时投资者购买理财产品的资金由代理销售机构从投资者指定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指定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pacing w:line="360" w:lineRule="auto"/>
        <w:ind w:firstLine="360" w:firstLineChars="200"/>
        <w:rPr>
          <w:rFonts w:ascii="黑体" w:hAnsi="黑体" w:eastAsia="黑体"/>
          <w:sz w:val="18"/>
          <w:szCs w:val="18"/>
        </w:rPr>
      </w:pPr>
      <w:r>
        <w:rPr>
          <w:rFonts w:ascii="黑体" w:hAnsi="黑体" w:eastAsia="黑体"/>
          <w:sz w:val="18"/>
          <w:szCs w:val="18"/>
        </w:rPr>
        <w:t>1</w:t>
      </w:r>
      <w:r>
        <w:rPr>
          <w:rFonts w:hint="eastAsia" w:ascii="黑体" w:hAnsi="黑体" w:eastAsia="黑体"/>
          <w:sz w:val="18"/>
          <w:szCs w:val="18"/>
        </w:rPr>
        <w:t>6</w:t>
      </w:r>
      <w:r>
        <w:rPr>
          <w:rFonts w:ascii="黑体" w:hAnsi="黑体" w:eastAsia="黑体"/>
          <w:sz w:val="18"/>
          <w:szCs w:val="18"/>
        </w:rPr>
        <w:t>.</w:t>
      </w:r>
      <w:r>
        <w:rPr>
          <w:rFonts w:hint="eastAsia" w:ascii="黑体" w:hAnsi="黑体" w:eastAsia="黑体"/>
          <w:sz w:val="18"/>
          <w:szCs w:val="18"/>
        </w:rPr>
        <w:t>★不同理财产品份额类别存在差异的风险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理财产品管理人可根据投资者购买理财产品的金额、销售</w:t>
      </w:r>
      <w:r>
        <w:rPr>
          <w:rFonts w:ascii="黑体" w:hAnsi="黑体" w:eastAsia="黑体"/>
          <w:sz w:val="18"/>
          <w:szCs w:val="18"/>
        </w:rPr>
        <w:t>渠道</w:t>
      </w:r>
      <w:r>
        <w:rPr>
          <w:rFonts w:hint="eastAsia" w:ascii="黑体" w:hAnsi="黑体" w:eastAsia="黑体"/>
          <w:sz w:val="18"/>
          <w:szCs w:val="18"/>
        </w:rPr>
        <w:t>等因素，对理财投资者所持有的理财产品设置不同理财产品份额类别。不同类别的理财产品份额可能在销售名称、收费方式、销售服务费、销售代码、销售对象、销售起点金额（认购、申购的</w:t>
      </w:r>
      <w:r>
        <w:rPr>
          <w:rFonts w:ascii="黑体" w:hAnsi="黑体" w:eastAsia="黑体"/>
          <w:sz w:val="18"/>
          <w:szCs w:val="18"/>
        </w:rPr>
        <w:t>起点金额</w:t>
      </w:r>
      <w:r>
        <w:rPr>
          <w:rFonts w:hint="eastAsia" w:ascii="黑体" w:hAnsi="黑体" w:eastAsia="黑体"/>
          <w:sz w:val="18"/>
          <w:szCs w:val="18"/>
        </w:rPr>
        <w:t>）、投资者认购申购和赎回的数量限制、投资者持有本产品的最高限额最低限额、计算和公告产品份额净值方面存在差异。</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7</w:t>
      </w:r>
      <w:r>
        <w:rPr>
          <w:rFonts w:ascii="宋体" w:hAnsi="宋体"/>
          <w:sz w:val="18"/>
          <w:szCs w:val="18"/>
        </w:rPr>
        <w:t>.</w:t>
      </w:r>
      <w:r>
        <w:rPr>
          <w:rFonts w:hint="eastAsia" w:ascii="宋体" w:hAnsi="宋体"/>
          <w:sz w:val="18"/>
          <w:szCs w:val="18"/>
        </w:rPr>
        <w:t>关联交易风险</w:t>
      </w:r>
    </w:p>
    <w:p>
      <w:pPr>
        <w:spacing w:line="360" w:lineRule="auto"/>
        <w:ind w:firstLine="360" w:firstLineChars="200"/>
        <w:rPr>
          <w:rFonts w:ascii="宋体" w:hAnsi="宋体"/>
          <w:sz w:val="18"/>
          <w:szCs w:val="18"/>
        </w:rPr>
      </w:pPr>
      <w:r>
        <w:rPr>
          <w:rFonts w:hint="eastAsia" w:ascii="宋体" w:hAnsi="宋体"/>
          <w:sz w:val="18"/>
          <w:szCs w:val="18"/>
        </w:rPr>
        <w:t>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hint="eastAsia" w:ascii="宋体" w:hAnsi="宋体"/>
          <w:sz w:val="18"/>
          <w:szCs w:val="18"/>
        </w:rPr>
        <w:t>仍可能产生</w:t>
      </w:r>
      <w:r>
        <w:rPr>
          <w:rFonts w:ascii="宋体" w:hAnsi="宋体"/>
          <w:sz w:val="18"/>
          <w:szCs w:val="18"/>
        </w:rPr>
        <w:t>不利影响和投资</w:t>
      </w:r>
      <w:r>
        <w:rPr>
          <w:rFonts w:hint="eastAsia" w:ascii="宋体" w:hAnsi="宋体"/>
          <w:sz w:val="18"/>
          <w:szCs w:val="18"/>
        </w:rPr>
        <w:t>风险，进而可能影响投资者的利益。</w:t>
      </w:r>
    </w:p>
    <w:p>
      <w:pPr>
        <w:spacing w:line="360" w:lineRule="auto"/>
        <w:ind w:firstLine="360" w:firstLineChars="200"/>
        <w:rPr>
          <w:rFonts w:hAnsi="宋体"/>
          <w:sz w:val="18"/>
          <w:szCs w:val="18"/>
        </w:rPr>
      </w:pPr>
      <w:r>
        <w:rPr>
          <w:rFonts w:hint="eastAsia" w:ascii="黑体" w:hAnsi="黑体" w:eastAsia="黑体"/>
          <w:sz w:val="18"/>
          <w:szCs w:val="18"/>
        </w:rPr>
        <w:t>（</w:t>
      </w:r>
      <w:r>
        <w:rPr>
          <w:rFonts w:ascii="黑体" w:hAnsi="黑体" w:eastAsia="黑体"/>
          <w:sz w:val="18"/>
          <w:szCs w:val="18"/>
        </w:rPr>
        <w:t>三</w:t>
      </w:r>
      <w:r>
        <w:rPr>
          <w:rFonts w:hint="eastAsia" w:ascii="黑体" w:hAnsi="黑体" w:eastAsia="黑体"/>
          <w:sz w:val="18"/>
          <w:szCs w:val="18"/>
        </w:rPr>
        <w:t>）★最不利投资情形下的投资结果示例：产品管理人对本产品的理财本金和收益不提供保证承诺，若理财产品运作期间，该理财产品投资标的出现风险，则投资者可能无法获得理财收益</w:t>
      </w:r>
      <w:r>
        <w:rPr>
          <w:rFonts w:ascii="黑体" w:hAnsi="黑体" w:eastAsia="黑体"/>
          <w:sz w:val="18"/>
          <w:szCs w:val="18"/>
        </w:rPr>
        <w:t>，甚至投资者的投资本金将遭受损失，在最不利的极端情况下，投资者可能损失全部本金。</w:t>
      </w:r>
    </w:p>
    <w:p>
      <w:pPr>
        <w:rPr>
          <w:rFonts w:ascii="宋体" w:hAnsi="宋体"/>
          <w:sz w:val="18"/>
          <w:szCs w:val="18"/>
        </w:rPr>
      </w:pPr>
      <w:r>
        <w:rPr>
          <w:rFonts w:ascii="宋体" w:hAnsi="宋体"/>
          <w:sz w:val="18"/>
          <w:szCs w:val="18"/>
        </w:rPr>
        <w:br w:type="page"/>
      </w:r>
    </w:p>
    <w:tbl>
      <w:tblPr>
        <w:tblStyle w:val="9"/>
        <w:tblW w:w="8222"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1"/>
        <w:gridCol w:w="73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6" w:hRule="exact"/>
        </w:trPr>
        <w:tc>
          <w:tcPr>
            <w:tcW w:w="8222" w:type="dxa"/>
            <w:gridSpan w:val="2"/>
          </w:tcPr>
          <w:p>
            <w:pPr>
              <w:spacing w:line="280" w:lineRule="atLeast"/>
              <w:ind w:firstLine="422"/>
              <w:jc w:val="center"/>
              <w:rPr>
                <w:rFonts w:ascii="宋体" w:hAnsi="宋体" w:cs="Arial"/>
                <w:b/>
                <w:szCs w:val="21"/>
              </w:rPr>
            </w:pPr>
            <w:r>
              <w:rPr>
                <w:rFonts w:hint="eastAsia" w:ascii="宋体" w:hAnsi="宋体" w:cs="Arial"/>
                <w:b/>
                <w:szCs w:val="21"/>
              </w:rPr>
              <w:t>投资者确认栏</w:t>
            </w:r>
          </w:p>
          <w:p>
            <w:pPr>
              <w:spacing w:line="360" w:lineRule="auto"/>
              <w:ind w:firstLine="361"/>
              <w:rPr>
                <w:b/>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2" w:hRule="exact"/>
        </w:trPr>
        <w:tc>
          <w:tcPr>
            <w:tcW w:w="851" w:type="dxa"/>
          </w:tcPr>
          <w:p>
            <w:pPr>
              <w:spacing w:line="360" w:lineRule="auto"/>
              <w:jc w:val="left"/>
              <w:rPr>
                <w:b/>
                <w:sz w:val="18"/>
                <w:szCs w:val="18"/>
              </w:rPr>
            </w:pPr>
            <w:r>
              <w:rPr>
                <w:rFonts w:hint="eastAsia"/>
                <w:b/>
                <w:sz w:val="18"/>
                <w:szCs w:val="18"/>
              </w:rPr>
              <w:t>个人投资者适用</w:t>
            </w:r>
          </w:p>
        </w:tc>
        <w:tc>
          <w:tcPr>
            <w:tcW w:w="7371" w:type="dxa"/>
          </w:tcPr>
          <w:p>
            <w:pPr>
              <w:spacing w:line="360" w:lineRule="auto"/>
              <w:ind w:firstLine="360"/>
              <w:jc w:val="left"/>
              <w:rPr>
                <w:sz w:val="18"/>
                <w:szCs w:val="18"/>
              </w:rPr>
            </w:pPr>
            <w:r>
              <w:rPr>
                <w:rFonts w:hint="eastAsia"/>
                <w:sz w:val="18"/>
                <w:szCs w:val="18"/>
              </w:rPr>
              <w:t>投资者（签名</w:t>
            </w:r>
            <w:r>
              <w:rPr>
                <w:sz w:val="18"/>
                <w:szCs w:val="18"/>
              </w:rPr>
              <w:t>/</w:t>
            </w:r>
            <w:r>
              <w:rPr>
                <w:rFonts w:hint="eastAsia"/>
                <w:sz w:val="18"/>
                <w:szCs w:val="18"/>
              </w:rPr>
              <w:t>线上确认）：</w:t>
            </w:r>
          </w:p>
          <w:p>
            <w:pPr>
              <w:spacing w:line="360" w:lineRule="auto"/>
              <w:ind w:firstLine="361"/>
              <w:jc w:val="left"/>
              <w:rPr>
                <w:b/>
                <w:sz w:val="18"/>
                <w:szCs w:val="18"/>
              </w:rPr>
            </w:pPr>
          </w:p>
          <w:p>
            <w:pPr>
              <w:spacing w:line="360" w:lineRule="auto"/>
              <w:ind w:firstLine="360"/>
              <w:jc w:val="left"/>
              <w:rPr>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54" w:hRule="atLeast"/>
        </w:trPr>
        <w:tc>
          <w:tcPr>
            <w:tcW w:w="851" w:type="dxa"/>
          </w:tcPr>
          <w:p>
            <w:pPr>
              <w:spacing w:line="360" w:lineRule="auto"/>
              <w:jc w:val="left"/>
              <w:rPr>
                <w:b/>
                <w:sz w:val="18"/>
                <w:szCs w:val="18"/>
              </w:rPr>
            </w:pPr>
            <w:r>
              <w:rPr>
                <w:rFonts w:hint="eastAsia"/>
                <w:b/>
                <w:sz w:val="18"/>
                <w:szCs w:val="18"/>
              </w:rPr>
              <w:t>机构投资者适用</w:t>
            </w:r>
          </w:p>
        </w:tc>
        <w:tc>
          <w:tcPr>
            <w:tcW w:w="7371" w:type="dxa"/>
          </w:tcPr>
          <w:p>
            <w:pPr>
              <w:spacing w:line="360" w:lineRule="auto"/>
              <w:ind w:firstLine="360"/>
              <w:jc w:val="left"/>
              <w:rPr>
                <w:rFonts w:cs="Arial"/>
                <w:sz w:val="18"/>
                <w:szCs w:val="18"/>
              </w:rPr>
            </w:pPr>
            <w:r>
              <w:rPr>
                <w:rFonts w:hint="eastAsia"/>
                <w:sz w:val="18"/>
                <w:szCs w:val="18"/>
              </w:rPr>
              <w:t>投资者</w:t>
            </w:r>
            <w:r>
              <w:rPr>
                <w:rFonts w:hint="eastAsia" w:cs="Arial"/>
                <w:sz w:val="18"/>
                <w:szCs w:val="18"/>
              </w:rPr>
              <w:t>（盖章</w:t>
            </w:r>
            <w:r>
              <w:rPr>
                <w:sz w:val="18"/>
                <w:szCs w:val="18"/>
              </w:rPr>
              <w:t>/</w:t>
            </w:r>
            <w:r>
              <w:rPr>
                <w:rFonts w:hint="eastAsia"/>
                <w:sz w:val="18"/>
                <w:szCs w:val="18"/>
              </w:rPr>
              <w:t>线上确认</w:t>
            </w:r>
            <w:r>
              <w:rPr>
                <w:rFonts w:hint="eastAsia" w:cs="Arial"/>
                <w:sz w:val="18"/>
                <w:szCs w:val="18"/>
              </w:rPr>
              <w:t>）：</w:t>
            </w:r>
          </w:p>
          <w:p>
            <w:pPr>
              <w:spacing w:line="360" w:lineRule="auto"/>
              <w:ind w:firstLine="360"/>
              <w:jc w:val="left"/>
              <w:rPr>
                <w:rFonts w:cs="Arial"/>
                <w:sz w:val="18"/>
                <w:szCs w:val="18"/>
              </w:rPr>
            </w:pPr>
          </w:p>
          <w:p>
            <w:pPr>
              <w:spacing w:line="360" w:lineRule="auto"/>
              <w:ind w:firstLine="360"/>
              <w:jc w:val="left"/>
              <w:rPr>
                <w:rFonts w:cs="Arial"/>
                <w:sz w:val="18"/>
                <w:szCs w:val="18"/>
              </w:rPr>
            </w:pPr>
            <w:r>
              <w:rPr>
                <w:rFonts w:hint="eastAsia" w:cs="Arial"/>
                <w:sz w:val="18"/>
                <w:szCs w:val="18"/>
              </w:rPr>
              <w:t>投资者法定代表人或授权代理人（签</w:t>
            </w:r>
            <w:r>
              <w:rPr>
                <w:rFonts w:hint="eastAsia"/>
                <w:sz w:val="18"/>
                <w:szCs w:val="18"/>
              </w:rPr>
              <w:t>名</w:t>
            </w:r>
            <w:r>
              <w:rPr>
                <w:sz w:val="18"/>
                <w:szCs w:val="18"/>
              </w:rPr>
              <w:t>/</w:t>
            </w:r>
            <w:r>
              <w:rPr>
                <w:rFonts w:hint="eastAsia" w:cs="Arial"/>
                <w:sz w:val="18"/>
                <w:szCs w:val="18"/>
              </w:rPr>
              <w:t>盖章</w:t>
            </w:r>
            <w:r>
              <w:rPr>
                <w:sz w:val="18"/>
                <w:szCs w:val="18"/>
              </w:rPr>
              <w:t>/</w:t>
            </w:r>
            <w:r>
              <w:rPr>
                <w:rFonts w:hint="eastAsia"/>
                <w:sz w:val="18"/>
                <w:szCs w:val="18"/>
              </w:rPr>
              <w:t>线上确认</w:t>
            </w:r>
            <w:r>
              <w:rPr>
                <w:rFonts w:hint="eastAsia" w:cs="Arial"/>
                <w:sz w:val="18"/>
                <w:szCs w:val="18"/>
              </w:rPr>
              <w:t>）：</w:t>
            </w:r>
          </w:p>
          <w:p>
            <w:pPr>
              <w:spacing w:line="360" w:lineRule="auto"/>
              <w:ind w:firstLine="360"/>
              <w:jc w:val="left"/>
              <w:rPr>
                <w:sz w:val="18"/>
                <w:szCs w:val="18"/>
              </w:rPr>
            </w:pPr>
            <w:r>
              <w:rPr>
                <w:rFonts w:hint="eastAsia"/>
                <w:sz w:val="18"/>
                <w:szCs w:val="18"/>
              </w:rPr>
              <w:t>日期：</w:t>
            </w:r>
          </w:p>
        </w:tc>
      </w:tr>
    </w:tbl>
    <w:p>
      <w:pPr>
        <w:spacing w:line="360" w:lineRule="auto"/>
        <w:jc w:val="left"/>
        <w:rPr>
          <w:bCs/>
        </w:rPr>
      </w:pPr>
      <w:r>
        <w:rPr>
          <w:rFonts w:hint="eastAsia" w:ascii="宋体" w:hAnsi="宋体"/>
          <w:b/>
          <w:sz w:val="18"/>
          <w:szCs w:val="18"/>
        </w:rPr>
        <w:t>（本《产品说明书》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p>
      <w:pPr>
        <w:pStyle w:val="16"/>
        <w:spacing w:line="360" w:lineRule="auto"/>
        <w:rPr>
          <w:rFonts w:hAnsi="宋体"/>
          <w:sz w:val="18"/>
          <w:szCs w:val="18"/>
        </w:rPr>
      </w:pPr>
    </w:p>
    <w:p/>
    <w:p>
      <w:pPr>
        <w:sectPr>
          <w:headerReference r:id="rId7" w:type="default"/>
          <w:footerReference r:id="rId8" w:type="default"/>
          <w:pgSz w:w="11906" w:h="16838"/>
          <w:pgMar w:top="1276" w:right="1800" w:bottom="1418" w:left="1800" w:header="567" w:footer="964" w:gutter="0"/>
          <w:pgNumType w:fmt="decimal"/>
          <w:cols w:space="425" w:num="1"/>
          <w:docGrid w:type="lines" w:linePitch="312" w:charSpace="0"/>
        </w:sectPr>
      </w:pPr>
    </w:p>
    <w:p>
      <w:pPr>
        <w:widowControl/>
        <w:spacing w:before="156"/>
        <w:jc w:val="center"/>
        <w:rPr>
          <w:rFonts w:ascii="黑体" w:hAnsi="黑体" w:eastAsia="黑体"/>
          <w:b/>
          <w:sz w:val="28"/>
          <w:szCs w:val="28"/>
        </w:rPr>
      </w:pPr>
      <w:r>
        <w:rPr>
          <w:rFonts w:hint="eastAsia" w:ascii="黑体" w:hAnsi="黑体" w:eastAsia="黑体"/>
          <w:b/>
          <w:sz w:val="28"/>
          <w:szCs w:val="28"/>
        </w:rPr>
        <w:t>兴银理财【</w:t>
      </w:r>
      <w:r>
        <w:rPr>
          <w:rFonts w:hint="eastAsia" w:ascii="黑体" w:hAnsi="黑体" w:eastAsia="黑体"/>
          <w:b/>
          <w:sz w:val="28"/>
          <w:szCs w:val="28"/>
          <w:lang w:val="en-US" w:eastAsia="zh-CN"/>
        </w:rPr>
        <w:t>添利</w:t>
      </w:r>
      <w:r>
        <w:rPr>
          <w:rFonts w:hint="eastAsia" w:ascii="黑体" w:hAnsi="黑体" w:eastAsia="黑体"/>
          <w:b/>
          <w:sz w:val="28"/>
          <w:szCs w:val="28"/>
        </w:rPr>
        <w:t>】理财产品</w:t>
      </w:r>
    </w:p>
    <w:p>
      <w:pPr>
        <w:widowControl/>
        <w:spacing w:before="156"/>
        <w:jc w:val="center"/>
        <w:rPr>
          <w:rFonts w:ascii="黑体" w:hAnsi="黑体" w:eastAsia="黑体"/>
          <w:b/>
          <w:sz w:val="28"/>
          <w:szCs w:val="28"/>
        </w:rPr>
      </w:pPr>
      <w:r>
        <w:rPr>
          <w:rFonts w:hint="eastAsia" w:ascii="黑体" w:hAnsi="黑体" w:eastAsia="黑体"/>
          <w:b/>
          <w:sz w:val="28"/>
          <w:szCs w:val="28"/>
        </w:rPr>
        <w:t>（代理）销售协议书</w:t>
      </w:r>
    </w:p>
    <w:p>
      <w:pPr>
        <w:autoSpaceDE w:val="0"/>
        <w:autoSpaceDN w:val="0"/>
        <w:adjustRightInd w:val="0"/>
        <w:snapToGrid w:val="0"/>
        <w:spacing w:before="156" w:beforeLines="50" w:line="320" w:lineRule="exact"/>
        <w:jc w:val="center"/>
        <w:rPr>
          <w:rFonts w:ascii="宋体" w:hAnsi="宋体"/>
          <w:b/>
          <w:sz w:val="32"/>
          <w:szCs w:val="32"/>
        </w:rPr>
      </w:pPr>
      <w:r>
        <w:rPr>
          <w:rFonts w:hint="eastAsia" w:ascii="宋体" w:hAnsi="宋体"/>
          <w:b/>
          <w:sz w:val="24"/>
        </w:rPr>
        <w:t>理财非存款、产品有风险、投资须谨慎</w:t>
      </w:r>
    </w:p>
    <w:p>
      <w:pPr>
        <w:tabs>
          <w:tab w:val="left" w:pos="8070"/>
          <w:tab w:val="right" w:pos="8306"/>
        </w:tabs>
        <w:autoSpaceDE w:val="0"/>
        <w:autoSpaceDN w:val="0"/>
        <w:adjustRightInd w:val="0"/>
        <w:snapToGrid w:val="0"/>
        <w:spacing w:before="156" w:beforeLines="50" w:line="320" w:lineRule="exact"/>
        <w:jc w:val="center"/>
        <w:rPr>
          <w:rFonts w:ascii="宋体" w:hAnsi="宋体"/>
          <w:b/>
          <w:szCs w:val="21"/>
          <w:u w:val="single"/>
        </w:rPr>
      </w:pPr>
      <w:r>
        <w:rPr>
          <w:rFonts w:hint="eastAsia" w:ascii="宋体" w:hAnsi="宋体"/>
          <w:b/>
          <w:szCs w:val="21"/>
        </w:rPr>
        <w:t>协议编号：</w:t>
      </w:r>
    </w:p>
    <w:p>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Style w:val="8"/>
        <w:tblW w:w="759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817"/>
        <w:gridCol w:w="635"/>
        <w:gridCol w:w="1085"/>
        <w:gridCol w:w="1384"/>
        <w:gridCol w:w="1234"/>
        <w:gridCol w:w="244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cantSplit/>
          <w:trHeight w:val="449" w:hRule="exact"/>
          <w:jc w:val="center"/>
        </w:trPr>
        <w:tc>
          <w:tcPr>
            <w:tcW w:w="7598" w:type="dxa"/>
            <w:gridSpan w:val="6"/>
            <w:tcBorders>
              <w:bottom w:val="single" w:color="auto" w:sz="12" w:space="0"/>
            </w:tcBorders>
            <w:shd w:val="pct10" w:color="FFFFFF" w:fill="D8D8D8" w:themeFill="background1" w:themeFillShade="D9"/>
            <w:vAlign w:val="center"/>
          </w:tcPr>
          <w:p>
            <w:pPr>
              <w:pBdr>
                <w:bottom w:val="single" w:color="auto" w:sz="6" w:space="1"/>
              </w:pBdr>
              <w:snapToGrid w:val="0"/>
              <w:spacing w:line="320" w:lineRule="exact"/>
              <w:jc w:val="center"/>
              <w:rPr>
                <w:rFonts w:ascii="宋体" w:hAnsi="宋体"/>
                <w:b/>
                <w:bCs/>
                <w:sz w:val="28"/>
                <w:szCs w:val="28"/>
              </w:rPr>
            </w:pPr>
            <w:r>
              <w:rPr>
                <w:rFonts w:hint="eastAsia" w:ascii="宋体" w:hAnsi="宋体"/>
                <w:b/>
                <w:bCs/>
                <w:sz w:val="28"/>
                <w:szCs w:val="28"/>
              </w:rPr>
              <w:t>信息栏</w:t>
            </w:r>
          </w:p>
          <w:p>
            <w:pPr>
              <w:pStyle w:val="4"/>
              <w:spacing w:line="320" w:lineRule="exact"/>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70" w:hRule="exact"/>
          <w:jc w:val="center"/>
        </w:trPr>
        <w:tc>
          <w:tcPr>
            <w:tcW w:w="7598" w:type="dxa"/>
            <w:gridSpan w:val="6"/>
            <w:shd w:val="pct10" w:color="A5A5A5" w:themeColor="background1" w:themeShade="A6" w:fill="A5A5A5" w:themeFill="background1" w:themeFillShade="A6"/>
            <w:vAlign w:val="center"/>
          </w:tcPr>
          <w:p>
            <w:pPr>
              <w:pStyle w:val="4"/>
              <w:spacing w:line="320" w:lineRule="exact"/>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restart"/>
            <w:shd w:val="solid" w:color="FFFFFF" w:fill="FFFFFF"/>
            <w:vAlign w:val="center"/>
          </w:tcPr>
          <w:p>
            <w:pPr>
              <w:spacing w:line="320" w:lineRule="exact"/>
              <w:jc w:val="left"/>
              <w:rPr>
                <w:rFonts w:ascii="宋体" w:hAnsi="宋体"/>
                <w:b/>
                <w:bCs/>
                <w:sz w:val="18"/>
                <w:szCs w:val="18"/>
              </w:rPr>
            </w:pPr>
            <w:r>
              <w:rPr>
                <w:rFonts w:hint="eastAsia" w:ascii="宋体" w:hAnsi="宋体"/>
                <w:b/>
                <w:bCs/>
                <w:sz w:val="18"/>
                <w:szCs w:val="18"/>
              </w:rPr>
              <w:t>投资者信息</w:t>
            </w:r>
          </w:p>
        </w:tc>
        <w:tc>
          <w:tcPr>
            <w:tcW w:w="635" w:type="dxa"/>
            <w:vMerge w:val="restart"/>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个人投资者适用</w:t>
            </w:r>
          </w:p>
        </w:tc>
        <w:tc>
          <w:tcPr>
            <w:tcW w:w="1085"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姓名</w:t>
            </w:r>
          </w:p>
        </w:tc>
        <w:tc>
          <w:tcPr>
            <w:tcW w:w="5061" w:type="dxa"/>
            <w:gridSpan w:val="3"/>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shd w:val="solid" w:color="FFFFFF" w:fill="FFFFFF"/>
            <w:vAlign w:val="center"/>
          </w:tcPr>
          <w:p>
            <w:pPr>
              <w:spacing w:line="320" w:lineRule="exact"/>
              <w:jc w:val="left"/>
              <w:rPr>
                <w:rFonts w:ascii="宋体" w:hAnsi="宋体"/>
                <w:bCs/>
                <w:sz w:val="18"/>
                <w:szCs w:val="18"/>
              </w:rPr>
            </w:pPr>
          </w:p>
        </w:tc>
        <w:tc>
          <w:tcPr>
            <w:tcW w:w="1085"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证件类型</w:t>
            </w:r>
          </w:p>
        </w:tc>
        <w:tc>
          <w:tcPr>
            <w:tcW w:w="1384" w:type="dxa"/>
            <w:shd w:val="solid" w:color="FFFFFF" w:fill="FFFFFF"/>
            <w:vAlign w:val="center"/>
          </w:tcPr>
          <w:p>
            <w:pPr>
              <w:spacing w:line="320" w:lineRule="exact"/>
              <w:jc w:val="left"/>
              <w:rPr>
                <w:rFonts w:ascii="宋体" w:hAnsi="宋体"/>
                <w:bCs/>
                <w:sz w:val="18"/>
                <w:szCs w:val="18"/>
              </w:rPr>
            </w:pPr>
          </w:p>
        </w:tc>
        <w:tc>
          <w:tcPr>
            <w:tcW w:w="1234"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证件号码</w:t>
            </w:r>
          </w:p>
        </w:tc>
        <w:tc>
          <w:tcPr>
            <w:tcW w:w="2443" w:type="dxa"/>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shd w:val="solid" w:color="FFFFFF" w:fill="FFFFFF"/>
            <w:vAlign w:val="center"/>
          </w:tcPr>
          <w:p>
            <w:pPr>
              <w:spacing w:line="320" w:lineRule="exact"/>
              <w:jc w:val="left"/>
              <w:rPr>
                <w:rFonts w:ascii="宋体" w:hAnsi="宋体"/>
                <w:bCs/>
                <w:sz w:val="18"/>
                <w:szCs w:val="18"/>
              </w:rPr>
            </w:pPr>
          </w:p>
        </w:tc>
        <w:tc>
          <w:tcPr>
            <w:tcW w:w="1085"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联系电话</w:t>
            </w:r>
          </w:p>
        </w:tc>
        <w:tc>
          <w:tcPr>
            <w:tcW w:w="1384" w:type="dxa"/>
            <w:shd w:val="solid" w:color="FFFFFF" w:fill="FFFFFF"/>
            <w:vAlign w:val="center"/>
          </w:tcPr>
          <w:p>
            <w:pPr>
              <w:spacing w:line="320" w:lineRule="exact"/>
              <w:jc w:val="left"/>
              <w:rPr>
                <w:rFonts w:ascii="宋体" w:hAnsi="宋体"/>
                <w:bCs/>
                <w:sz w:val="18"/>
                <w:szCs w:val="18"/>
              </w:rPr>
            </w:pPr>
          </w:p>
        </w:tc>
        <w:tc>
          <w:tcPr>
            <w:tcW w:w="1234"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电子邮箱</w:t>
            </w:r>
          </w:p>
        </w:tc>
        <w:tc>
          <w:tcPr>
            <w:tcW w:w="2443" w:type="dxa"/>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shd w:val="solid" w:color="FFFFFF" w:fill="FFFFFF"/>
            <w:vAlign w:val="center"/>
          </w:tcPr>
          <w:p>
            <w:pPr>
              <w:spacing w:line="320" w:lineRule="exact"/>
              <w:jc w:val="left"/>
              <w:rPr>
                <w:rFonts w:ascii="宋体" w:hAnsi="宋体"/>
                <w:bCs/>
                <w:sz w:val="18"/>
                <w:szCs w:val="18"/>
              </w:rPr>
            </w:pPr>
          </w:p>
        </w:tc>
        <w:tc>
          <w:tcPr>
            <w:tcW w:w="1085"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联系地址</w:t>
            </w:r>
          </w:p>
        </w:tc>
        <w:tc>
          <w:tcPr>
            <w:tcW w:w="5061" w:type="dxa"/>
            <w:gridSpan w:val="3"/>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shd w:val="solid" w:color="FFFFFF" w:fill="FFFFFF"/>
            <w:vAlign w:val="center"/>
          </w:tcPr>
          <w:p>
            <w:pPr>
              <w:spacing w:line="320" w:lineRule="exact"/>
              <w:jc w:val="left"/>
              <w:rPr>
                <w:rFonts w:ascii="宋体" w:hAnsi="宋体"/>
                <w:bCs/>
                <w:sz w:val="18"/>
                <w:szCs w:val="18"/>
              </w:rPr>
            </w:pPr>
          </w:p>
        </w:tc>
        <w:tc>
          <w:tcPr>
            <w:tcW w:w="1085" w:type="dxa"/>
            <w:tcBorders>
              <w:bottom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邮政编码</w:t>
            </w:r>
          </w:p>
        </w:tc>
        <w:tc>
          <w:tcPr>
            <w:tcW w:w="5061" w:type="dxa"/>
            <w:gridSpan w:val="3"/>
            <w:tcBorders>
              <w:bottom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restart"/>
            <w:tcBorders>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机构投资者适用</w:t>
            </w: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机构</w:t>
            </w:r>
            <w:r>
              <w:rPr>
                <w:rFonts w:ascii="宋体" w:hAnsi="宋体"/>
                <w:bCs/>
                <w:sz w:val="18"/>
                <w:szCs w:val="18"/>
              </w:rPr>
              <w:t>名称</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证件类型</w:t>
            </w:r>
          </w:p>
        </w:tc>
        <w:tc>
          <w:tcPr>
            <w:tcW w:w="138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c>
          <w:tcPr>
            <w:tcW w:w="123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证件号码</w:t>
            </w:r>
          </w:p>
        </w:tc>
        <w:tc>
          <w:tcPr>
            <w:tcW w:w="2443"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法定代表人或授权代表</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联系电话</w:t>
            </w:r>
          </w:p>
        </w:tc>
        <w:tc>
          <w:tcPr>
            <w:tcW w:w="138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c>
          <w:tcPr>
            <w:tcW w:w="123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280" w:lineRule="exact"/>
              <w:jc w:val="left"/>
              <w:rPr>
                <w:rFonts w:ascii="宋体" w:hAnsi="宋体"/>
                <w:bCs/>
                <w:sz w:val="18"/>
                <w:szCs w:val="18"/>
              </w:rPr>
            </w:pPr>
            <w:r>
              <w:rPr>
                <w:rFonts w:hint="eastAsia" w:ascii="宋体" w:hAnsi="宋体"/>
                <w:bCs/>
                <w:sz w:val="18"/>
                <w:szCs w:val="18"/>
              </w:rPr>
              <w:t>电子邮箱</w:t>
            </w:r>
          </w:p>
        </w:tc>
        <w:tc>
          <w:tcPr>
            <w:tcW w:w="2443"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联系地址</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tcBorders>
              <w:bottom w:val="single" w:color="auto" w:sz="12" w:space="0"/>
            </w:tcBorders>
            <w:shd w:val="solid" w:color="FFFFFF" w:fill="FFFFFF"/>
            <w:vAlign w:val="center"/>
          </w:tcPr>
          <w:p>
            <w:pPr>
              <w:spacing w:line="320" w:lineRule="exact"/>
              <w:jc w:val="left"/>
              <w:rPr>
                <w:rFonts w:ascii="宋体" w:hAnsi="宋体"/>
                <w:b/>
                <w:bCs/>
                <w:sz w:val="18"/>
                <w:szCs w:val="18"/>
              </w:rPr>
            </w:pPr>
          </w:p>
        </w:tc>
        <w:tc>
          <w:tcPr>
            <w:tcW w:w="635" w:type="dxa"/>
            <w:vMerge w:val="continue"/>
            <w:tcBorders>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邮政编码</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7598" w:type="dxa"/>
            <w:gridSpan w:val="6"/>
            <w:shd w:val="pct10" w:color="FFFFFF" w:fill="A5A5A5" w:themeFill="background1" w:themeFillShade="A6"/>
            <w:vAlign w:val="center"/>
          </w:tcPr>
          <w:p>
            <w:pPr>
              <w:pStyle w:val="4"/>
              <w:pBdr>
                <w:bottom w:val="none" w:color="auto" w:sz="0" w:space="0"/>
              </w:pBdr>
              <w:spacing w:line="320" w:lineRule="exact"/>
              <w:rPr>
                <w:rFonts w:ascii="宋体" w:hAnsi="宋体"/>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trHeight w:val="402" w:hRule="atLeast"/>
          <w:jc w:val="center"/>
        </w:trPr>
        <w:tc>
          <w:tcPr>
            <w:tcW w:w="817" w:type="dxa"/>
            <w:vMerge w:val="restart"/>
            <w:shd w:val="solid" w:color="FFFFFF" w:fill="FFFFFF"/>
            <w:vAlign w:val="center"/>
          </w:tcPr>
          <w:p>
            <w:pPr>
              <w:spacing w:line="320" w:lineRule="exact"/>
              <w:jc w:val="left"/>
              <w:rPr>
                <w:rFonts w:ascii="宋体" w:hAnsi="宋体"/>
                <w:b/>
                <w:bCs/>
                <w:sz w:val="18"/>
                <w:szCs w:val="18"/>
              </w:rPr>
            </w:pPr>
            <w:r>
              <w:rPr>
                <w:rFonts w:hint="eastAsia" w:ascii="宋体" w:hAnsi="宋体"/>
                <w:b/>
                <w:bCs/>
                <w:sz w:val="18"/>
                <w:szCs w:val="18"/>
              </w:rPr>
              <w:t>销售</w:t>
            </w:r>
            <w:r>
              <w:rPr>
                <w:rFonts w:ascii="宋体" w:hAnsi="宋体"/>
                <w:b/>
                <w:bCs/>
                <w:sz w:val="18"/>
                <w:szCs w:val="18"/>
              </w:rPr>
              <w:t>机构信息</w:t>
            </w:r>
          </w:p>
        </w:tc>
        <w:tc>
          <w:tcPr>
            <w:tcW w:w="1720" w:type="dxa"/>
            <w:gridSpan w:val="2"/>
            <w:shd w:val="solid" w:color="FFFFFF" w:fill="FFFFFF"/>
            <w:vAlign w:val="center"/>
          </w:tcPr>
          <w:p>
            <w:pPr>
              <w:spacing w:line="320" w:lineRule="exact"/>
              <w:jc w:val="left"/>
              <w:rPr>
                <w:rFonts w:ascii="宋体" w:hAnsi="宋体"/>
                <w:bCs/>
                <w:sz w:val="18"/>
                <w:szCs w:val="18"/>
              </w:rPr>
            </w:pPr>
            <w:r>
              <w:rPr>
                <w:rFonts w:hint="eastAsia" w:hAnsi="宋体"/>
                <w:sz w:val="18"/>
                <w:szCs w:val="18"/>
              </w:rPr>
              <w:t>★</w:t>
            </w:r>
            <w:r>
              <w:rPr>
                <w:rFonts w:hint="eastAsia" w:ascii="宋体" w:hAnsi="宋体"/>
                <w:bCs/>
                <w:sz w:val="18"/>
                <w:szCs w:val="18"/>
              </w:rPr>
              <w:t>销售性质</w:t>
            </w:r>
          </w:p>
        </w:tc>
        <w:tc>
          <w:tcPr>
            <w:tcW w:w="5061" w:type="dxa"/>
            <w:gridSpan w:val="3"/>
            <w:shd w:val="solid" w:color="FFFFFF" w:fill="FFFFFF"/>
            <w:vAlign w:val="center"/>
          </w:tcPr>
          <w:p>
            <w:pPr>
              <w:spacing w:line="320" w:lineRule="exact"/>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 直销：产品管理人销售</w:t>
            </w:r>
          </w:p>
          <w:p>
            <w:pPr>
              <w:spacing w:line="320" w:lineRule="exact"/>
              <w:jc w:val="left"/>
              <w:rPr>
                <w:rFonts w:ascii="宋体" w:hAnsi="宋体"/>
                <w:bCs/>
                <w:sz w:val="18"/>
                <w:szCs w:val="18"/>
              </w:rPr>
            </w:pPr>
            <w:r>
              <w:rPr>
                <w:rFonts w:hint="eastAsia" w:asciiTheme="majorEastAsia" w:hAnsiTheme="majorEastAsia" w:eastAsiaTheme="majorEastAsia"/>
                <w:bCs/>
                <w:sz w:val="18"/>
                <w:szCs w:val="18"/>
              </w:rPr>
              <w:t>■ 代销：代理</w:t>
            </w:r>
            <w:r>
              <w:rPr>
                <w:rFonts w:asciiTheme="majorEastAsia" w:hAnsiTheme="majorEastAsia" w:eastAsiaTheme="majorEastAsia"/>
                <w:bCs/>
                <w:sz w:val="18"/>
                <w:szCs w:val="18"/>
              </w:rPr>
              <w:t>销售机构</w:t>
            </w:r>
            <w:r>
              <w:rPr>
                <w:rFonts w:hint="eastAsia" w:asciiTheme="majorEastAsia" w:hAnsiTheme="majorEastAsia" w:eastAsiaTheme="majorEastAsia"/>
                <w:bCs/>
                <w:sz w:val="18"/>
                <w:szCs w:val="18"/>
              </w:rPr>
              <w:t>销售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2" w:hRule="atLeas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1720" w:type="dxa"/>
            <w:gridSpan w:val="2"/>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机构名称</w:t>
            </w:r>
          </w:p>
        </w:tc>
        <w:tc>
          <w:tcPr>
            <w:tcW w:w="5061" w:type="dxa"/>
            <w:gridSpan w:val="3"/>
            <w:shd w:val="solid" w:color="FFFFFF" w:fill="FFFFFF"/>
            <w:vAlign w:val="center"/>
          </w:tcPr>
          <w:p>
            <w:pPr>
              <w:spacing w:line="320" w:lineRule="exact"/>
              <w:jc w:val="left"/>
              <w:rPr>
                <w:rFonts w:hint="eastAsia" w:ascii="宋体" w:hAnsi="宋体" w:eastAsia="宋体"/>
                <w:bCs/>
                <w:sz w:val="18"/>
                <w:szCs w:val="18"/>
                <w:lang w:eastAsia="zh-CN"/>
              </w:rPr>
            </w:pPr>
            <w:r>
              <w:rPr>
                <w:rFonts w:hint="eastAsia" w:ascii="宋体" w:hAnsi="宋体"/>
                <w:bCs/>
                <w:sz w:val="18"/>
                <w:szCs w:val="18"/>
                <w:lang w:eastAsia="zh-CN"/>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75" w:hRule="atLeast"/>
          <w:jc w:val="center"/>
        </w:trPr>
        <w:tc>
          <w:tcPr>
            <w:tcW w:w="817" w:type="dxa"/>
            <w:vMerge w:val="continue"/>
            <w:tcBorders>
              <w:bottom w:val="single" w:color="auto" w:sz="12" w:space="0"/>
            </w:tcBorders>
            <w:shd w:val="solid" w:color="FFFFFF" w:fill="FFFFFF"/>
            <w:vAlign w:val="center"/>
          </w:tcPr>
          <w:p>
            <w:pPr>
              <w:spacing w:line="320" w:lineRule="exact"/>
              <w:jc w:val="left"/>
              <w:rPr>
                <w:rFonts w:ascii="宋体" w:hAnsi="宋体"/>
                <w:b/>
                <w:bCs/>
                <w:sz w:val="18"/>
                <w:szCs w:val="18"/>
              </w:rPr>
            </w:pPr>
          </w:p>
        </w:tc>
        <w:tc>
          <w:tcPr>
            <w:tcW w:w="1720" w:type="dxa"/>
            <w:gridSpan w:val="2"/>
            <w:tcBorders>
              <w:bottom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机构简介</w:t>
            </w:r>
          </w:p>
        </w:tc>
        <w:tc>
          <w:tcPr>
            <w:tcW w:w="5061" w:type="dxa"/>
            <w:gridSpan w:val="3"/>
            <w:tcBorders>
              <w:bottom w:val="single" w:color="auto" w:sz="12" w:space="0"/>
            </w:tcBorders>
            <w:shd w:val="solid" w:color="FFFFFF" w:fill="FFFFFF"/>
            <w:vAlign w:val="center"/>
          </w:tcPr>
          <w:p>
            <w:pPr>
              <w:pStyle w:val="16"/>
              <w:jc w:val="both"/>
              <w:rPr>
                <w:rFonts w:hint="eastAsia" w:eastAsia="宋体"/>
                <w:lang w:eastAsia="zh-CN"/>
              </w:rPr>
            </w:pPr>
            <w:r>
              <w:rPr>
                <w:rFonts w:hint="eastAsia" w:asciiTheme="majorEastAsia" w:hAnsiTheme="majorEastAsia" w:eastAsiaTheme="majorEastAsia"/>
                <w:bCs/>
                <w:sz w:val="18"/>
                <w:szCs w:val="18"/>
                <w:lang w:eastAsia="zh-CN"/>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7598" w:type="dxa"/>
            <w:gridSpan w:val="6"/>
            <w:shd w:val="pct10" w:color="FFFFFF" w:fill="A5A5A5" w:themeFill="background1" w:themeFillShade="A6"/>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PrEx>
        <w:trPr>
          <w:trHeight w:val="402" w:hRule="atLeast"/>
          <w:jc w:val="center"/>
        </w:trPr>
        <w:tc>
          <w:tcPr>
            <w:tcW w:w="817" w:type="dxa"/>
            <w:shd w:val="solid" w:color="FFFFFF" w:fill="FFFFFF"/>
            <w:vAlign w:val="center"/>
          </w:tcPr>
          <w:p>
            <w:pPr>
              <w:pStyle w:val="4"/>
              <w:pBdr>
                <w:bottom w:val="none" w:color="auto" w:sz="0" w:space="0"/>
              </w:pBdr>
              <w:tabs>
                <w:tab w:val="clear" w:pos="4153"/>
                <w:tab w:val="clear" w:pos="8306"/>
              </w:tabs>
              <w:snapToGrid/>
              <w:spacing w:line="320" w:lineRule="exact"/>
              <w:rPr>
                <w:rFonts w:ascii="宋体" w:hAnsi="宋体"/>
                <w:b/>
              </w:rPr>
            </w:pPr>
            <w:r>
              <w:rPr>
                <w:rFonts w:hint="eastAsia" w:ascii="宋体" w:hAnsi="宋体"/>
                <w:b/>
              </w:rPr>
              <w:t>理财产品指定账户信息</w:t>
            </w:r>
          </w:p>
        </w:tc>
        <w:tc>
          <w:tcPr>
            <w:tcW w:w="6781" w:type="dxa"/>
            <w:gridSpan w:val="5"/>
            <w:shd w:val="solid" w:color="FFFFFF" w:fill="FFFFFF"/>
            <w:vAlign w:val="center"/>
          </w:tcPr>
          <w:p>
            <w:pPr>
              <w:pStyle w:val="4"/>
              <w:pBdr>
                <w:bottom w:val="none" w:color="auto" w:sz="0" w:space="0"/>
              </w:pBdr>
              <w:tabs>
                <w:tab w:val="clear" w:pos="4153"/>
                <w:tab w:val="clear" w:pos="8306"/>
              </w:tabs>
              <w:snapToGrid/>
              <w:spacing w:line="320" w:lineRule="exact"/>
              <w:jc w:val="left"/>
              <w:rPr>
                <w:rFonts w:ascii="宋体" w:hAnsi="宋体"/>
                <w:b/>
              </w:rPr>
            </w:pPr>
            <w:r>
              <w:rPr>
                <w:rFonts w:hint="eastAsia" w:ascii="宋体" w:hAnsi="宋体"/>
              </w:rPr>
              <w:t>投资者</w:t>
            </w:r>
            <w:r>
              <w:rPr>
                <w:rFonts w:ascii="宋体" w:hAnsi="宋体"/>
              </w:rPr>
              <w:t>在销售机构开立</w:t>
            </w:r>
            <w:r>
              <w:rPr>
                <w:rFonts w:hint="eastAsia" w:ascii="宋体" w:hAnsi="宋体"/>
              </w:rPr>
              <w:t>理财卡结算账户</w:t>
            </w:r>
            <w:r>
              <w:rPr>
                <w:rFonts w:hint="eastAsia" w:ascii="宋体" w:hAnsi="宋体"/>
                <w:spacing w:val="-6"/>
              </w:rPr>
              <w:t>或存折结算账户（</w:t>
            </w:r>
            <w:r>
              <w:rPr>
                <w:rFonts w:hint="eastAsia" w:ascii="宋体" w:hAnsi="宋体"/>
              </w:rPr>
              <w:t>以下简称“指定账户”），</w:t>
            </w:r>
            <w:r>
              <w:rPr>
                <w:rFonts w:ascii="宋体" w:hAnsi="宋体"/>
              </w:rPr>
              <w:t>用于</w:t>
            </w:r>
            <w:r>
              <w:rPr>
                <w:rFonts w:hint="eastAsia" w:ascii="宋体" w:hAnsi="宋体"/>
              </w:rPr>
              <w:t>本产品的</w:t>
            </w:r>
            <w:r>
              <w:rPr>
                <w:rFonts w:ascii="宋体" w:hAnsi="宋体"/>
              </w:rPr>
              <w:t>资金划转及</w:t>
            </w:r>
            <w:r>
              <w:rPr>
                <w:rFonts w:hint="eastAsia" w:ascii="宋体" w:hAnsi="宋体"/>
              </w:rPr>
              <w:t>产品分配，账号：</w:t>
            </w:r>
            <w:r>
              <w:rPr>
                <w:rFonts w:ascii="宋体" w:hAnsi="宋体"/>
                <w:u w:val="single"/>
              </w:rPr>
              <w:t xml:space="preserve">　                     </w:t>
            </w:r>
            <w:r>
              <w:rPr>
                <w:rFonts w:hint="eastAsia" w:ascii="宋体" w:hAnsi="宋体"/>
              </w:rPr>
              <w:t>。</w:t>
            </w:r>
          </w:p>
        </w:tc>
      </w:tr>
    </w:tbl>
    <w:p>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hint="eastAsia" w:ascii="宋体" w:hAnsi="宋体" w:cs="仿宋_GB2312"/>
          <w:b/>
          <w:kern w:val="0"/>
          <w:sz w:val="18"/>
          <w:szCs w:val="18"/>
        </w:rPr>
        <w:t>尊敬的投资者：</w:t>
      </w:r>
    </w:p>
    <w:p>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甲方(即“投资者”)自愿从乙方</w:t>
      </w:r>
      <w:r>
        <w:rPr>
          <w:rFonts w:ascii="宋体" w:hAnsi="宋体" w:cs="仿宋_GB2312"/>
          <w:kern w:val="0"/>
          <w:sz w:val="18"/>
          <w:szCs w:val="18"/>
        </w:rPr>
        <w:t>（</w:t>
      </w:r>
      <w:r>
        <w:rPr>
          <w:rFonts w:hint="eastAsia" w:ascii="宋体" w:hAnsi="宋体" w:cs="仿宋_GB2312"/>
          <w:kern w:val="0"/>
          <w:sz w:val="18"/>
          <w:szCs w:val="18"/>
        </w:rPr>
        <w:t>即“</w:t>
      </w:r>
      <w:r>
        <w:rPr>
          <w:rFonts w:ascii="宋体" w:hAnsi="宋体" w:cs="仿宋_GB2312"/>
          <w:kern w:val="0"/>
          <w:sz w:val="18"/>
          <w:szCs w:val="18"/>
        </w:rPr>
        <w:t>销售机构</w:t>
      </w:r>
      <w:r>
        <w:rPr>
          <w:rFonts w:hint="eastAsia" w:ascii="宋体" w:hAnsi="宋体" w:cs="仿宋_GB2312"/>
          <w:kern w:val="0"/>
          <w:sz w:val="18"/>
          <w:szCs w:val="18"/>
        </w:rPr>
        <w:t>”</w:t>
      </w:r>
      <w:r>
        <w:rPr>
          <w:rFonts w:ascii="宋体" w:hAnsi="宋体" w:cs="仿宋_GB2312"/>
          <w:kern w:val="0"/>
          <w:sz w:val="18"/>
          <w:szCs w:val="18"/>
        </w:rPr>
        <w:t>）</w:t>
      </w:r>
      <w:r>
        <w:rPr>
          <w:rFonts w:hint="eastAsia" w:ascii="宋体" w:hAnsi="宋体" w:cs="仿宋_GB2312"/>
          <w:kern w:val="0"/>
          <w:sz w:val="18"/>
          <w:szCs w:val="18"/>
        </w:rPr>
        <w:t>购买兴银理财</w:t>
      </w:r>
      <w:r>
        <w:rPr>
          <w:rFonts w:ascii="宋体" w:hAnsi="宋体" w:cs="仿宋_GB2312"/>
          <w:kern w:val="0"/>
          <w:sz w:val="18"/>
          <w:szCs w:val="18"/>
        </w:rPr>
        <w:t>有限责任公司</w:t>
      </w:r>
      <w:r>
        <w:rPr>
          <w:rFonts w:hint="eastAsia" w:ascii="宋体" w:hAnsi="宋体" w:cs="仿宋_GB2312"/>
          <w:kern w:val="0"/>
          <w:sz w:val="18"/>
          <w:szCs w:val="18"/>
        </w:rPr>
        <w:t>（即</w:t>
      </w:r>
      <w:r>
        <w:rPr>
          <w:rFonts w:ascii="宋体" w:hAnsi="宋体" w:cs="仿宋_GB2312"/>
          <w:kern w:val="0"/>
          <w:sz w:val="18"/>
          <w:szCs w:val="18"/>
        </w:rPr>
        <w:t>“</w:t>
      </w:r>
      <w:r>
        <w:rPr>
          <w:rFonts w:hint="eastAsia" w:ascii="宋体" w:hAnsi="宋体" w:cs="仿宋_GB2312"/>
          <w:kern w:val="0"/>
          <w:sz w:val="18"/>
          <w:szCs w:val="18"/>
        </w:rPr>
        <w:t>产品</w:t>
      </w:r>
      <w:r>
        <w:rPr>
          <w:rFonts w:ascii="宋体" w:hAnsi="宋体" w:cs="仿宋_GB2312"/>
          <w:kern w:val="0"/>
          <w:sz w:val="18"/>
          <w:szCs w:val="18"/>
        </w:rPr>
        <w:t>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sz w:val="18"/>
          <w:szCs w:val="18"/>
        </w:rPr>
        <w:t>甲乙双方经友好协商，本着平等自愿、诚实信用的原则，达成协议如下：</w:t>
      </w:r>
    </w:p>
    <w:p>
      <w:pPr>
        <w:tabs>
          <w:tab w:val="left" w:pos="8070"/>
          <w:tab w:val="right" w:pos="8306"/>
        </w:tabs>
        <w:autoSpaceDE w:val="0"/>
        <w:autoSpaceDN w:val="0"/>
        <w:adjustRightInd w:val="0"/>
        <w:snapToGrid w:val="0"/>
        <w:spacing w:line="360" w:lineRule="auto"/>
        <w:ind w:firstLine="361" w:firstLineChars="200"/>
        <w:rPr>
          <w:rFonts w:ascii="宋体" w:hAnsi="宋体" w:cs="仿宋_GB2312"/>
          <w:b/>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第一条 重要提示</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乙方销售性质</w:t>
      </w:r>
    </w:p>
    <w:p>
      <w:pPr>
        <w:widowControl/>
        <w:spacing w:line="360" w:lineRule="auto"/>
        <w:jc w:val="left"/>
        <w:rPr>
          <w:rFonts w:ascii="黑体" w:hAnsi="黑体" w:eastAsia="黑体" w:cs="仿宋_GB2312"/>
          <w:kern w:val="0"/>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cs="仿宋_GB2312"/>
          <w:kern w:val="0"/>
          <w:sz w:val="18"/>
          <w:szCs w:val="18"/>
        </w:rPr>
        <w:t>直销适用</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本理财产品为乙方所发行的理财产品，乙方既作为理财产品的销售机构，又是理财产品管理人，对理财产品的业绩不承担任何保证和其他经济责任。乙方受理的销售理财产品业务申请，以产品管理人的最终确认结果为准。</w:t>
      </w:r>
    </w:p>
    <w:p>
      <w:pPr>
        <w:widowControl/>
        <w:spacing w:line="360" w:lineRule="auto"/>
        <w:jc w:val="left"/>
        <w:rPr>
          <w:rFonts w:ascii="黑体" w:hAnsi="黑体" w:eastAsia="黑体" w:cs="仿宋_GB2312"/>
          <w:kern w:val="0"/>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cs="仿宋_GB2312"/>
          <w:kern w:val="0"/>
          <w:sz w:val="18"/>
          <w:szCs w:val="18"/>
        </w:rPr>
        <w:t>代销适用</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hint="eastAsia" w:ascii="宋体" w:hAnsi="宋体" w:cs="仿宋_GB2312"/>
          <w:kern w:val="0"/>
          <w:sz w:val="18"/>
          <w:szCs w:val="18"/>
        </w:rPr>
        <w:t>》《产品说明书》《（代理）销售</w:t>
      </w:r>
      <w:r>
        <w:rPr>
          <w:rFonts w:ascii="宋体" w:hAnsi="宋体" w:cs="仿宋_GB2312"/>
          <w:kern w:val="0"/>
          <w:sz w:val="18"/>
          <w:szCs w:val="18"/>
        </w:rPr>
        <w:t>协议书</w:t>
      </w:r>
      <w:r>
        <w:rPr>
          <w:rFonts w:hint="eastAsia" w:ascii="宋体" w:hAnsi="宋体" w:cs="仿宋_GB2312"/>
          <w:kern w:val="0"/>
          <w:sz w:val="18"/>
          <w:szCs w:val="18"/>
        </w:rPr>
        <w:t>》《风险揭示书》《投资者权益须知》等完整</w:t>
      </w:r>
      <w:r>
        <w:rPr>
          <w:rFonts w:ascii="宋体" w:hAnsi="宋体" w:cs="仿宋_GB2312"/>
          <w:kern w:val="0"/>
          <w:sz w:val="18"/>
          <w:szCs w:val="18"/>
        </w:rPr>
        <w:t>的</w:t>
      </w:r>
      <w:r>
        <w:rPr>
          <w:rFonts w:hint="eastAsia" w:ascii="宋体" w:hAnsi="宋体" w:cs="仿宋_GB2312"/>
          <w:kern w:val="0"/>
          <w:sz w:val="18"/>
          <w:szCs w:val="18"/>
        </w:rPr>
        <w:t>理财产品销售文件，并充分了解投资者的全部权利与义务以及理财产品的全部风险。</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3.根据理财产品投资范围、风险收益特点、流动性等不同因素，乙方作为</w:t>
      </w:r>
      <w:r>
        <w:rPr>
          <w:rFonts w:ascii="宋体" w:hAnsi="宋体" w:cs="仿宋_GB2312"/>
          <w:kern w:val="0"/>
          <w:sz w:val="18"/>
          <w:szCs w:val="18"/>
        </w:rPr>
        <w:t>销售机构</w:t>
      </w:r>
      <w:r>
        <w:rPr>
          <w:rFonts w:hint="eastAsia" w:ascii="宋体" w:hAnsi="宋体" w:cs="仿宋_GB2312"/>
          <w:kern w:val="0"/>
          <w:sz w:val="18"/>
          <w:szCs w:val="18"/>
        </w:rPr>
        <w:t>将理财产品分为【】个风险等级</w:t>
      </w:r>
      <w:r>
        <w:rPr>
          <w:rFonts w:ascii="宋体" w:hAnsi="宋体" w:cs="仿宋_GB2312"/>
          <w:kern w:val="0"/>
          <w:sz w:val="18"/>
          <w:szCs w:val="18"/>
        </w:rPr>
        <w:t>：</w:t>
      </w:r>
      <w:r>
        <w:rPr>
          <w:rFonts w:hint="eastAsia" w:ascii="宋体" w:hAnsi="宋体" w:cs="仿宋_GB2312"/>
          <w:kern w:val="0"/>
          <w:sz w:val="18"/>
          <w:szCs w:val="18"/>
        </w:rPr>
        <w:t>【】；根据投资者在乙方评估的风险承受能力，</w:t>
      </w:r>
      <w:r>
        <w:rPr>
          <w:rFonts w:ascii="宋体" w:hAnsi="宋体" w:cs="仿宋_GB2312"/>
          <w:kern w:val="0"/>
          <w:sz w:val="18"/>
          <w:szCs w:val="18"/>
        </w:rPr>
        <w:t>乙方将投资者风险承受能力分为若干</w:t>
      </w:r>
      <w:r>
        <w:rPr>
          <w:rFonts w:hint="eastAsia" w:ascii="宋体" w:hAnsi="宋体" w:cs="仿宋_GB2312"/>
          <w:kern w:val="0"/>
          <w:sz w:val="18"/>
          <w:szCs w:val="18"/>
        </w:rPr>
        <w:t>等级。</w:t>
      </w:r>
    </w:p>
    <w:p>
      <w:pPr>
        <w:widowControl/>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hAnsiTheme="majorEastAsia" w:eastAsiaTheme="majorEastAsia"/>
          <w:bCs/>
          <w:sz w:val="18"/>
          <w:szCs w:val="18"/>
        </w:rPr>
        <w:t>销售机构</w:t>
      </w:r>
      <w:r>
        <w:rPr>
          <w:rFonts w:hint="eastAsia" w:asciiTheme="majorEastAsia" w:hAnsiTheme="majorEastAsia" w:eastAsiaTheme="majorEastAsia"/>
          <w:bCs/>
          <w:sz w:val="18"/>
          <w:szCs w:val="18"/>
        </w:rPr>
        <w:t>应采用对应较高风险的评级结果。</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（2）投资者风险承受能力等级为销售机构对投资者的风险承受能力进行评价的结果。</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1）销售机构在销售本产品时，其对投资者风险承受能力等级的划分与表述可能与产品管理人存在差异，即采用销售机构设置的标准。</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2）销售机构应以书面的方式向投资者明示其对投资者风险承受能力等级的划分与“适合投资者类型”的表述。</w:t>
      </w:r>
    </w:p>
    <w:p>
      <w:pPr>
        <w:pStyle w:val="16"/>
        <w:spacing w:line="360" w:lineRule="auto"/>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（3）</w:t>
      </w:r>
      <w:r>
        <w:rPr>
          <w:rFonts w:hint="eastAsia" w:hAnsi="宋体" w:cs="仿宋_GB2312"/>
          <w:sz w:val="18"/>
          <w:szCs w:val="18"/>
        </w:rPr>
        <w:t>甲方应根据风险承受能力选择与其风险承受能力相匹配的风险等级的理财产品，不得购买高于甲方风险承受能力的理财产品。</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4.投资者的风险承受能力评估要求</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（1）甲方为非机构投资者时，甲方购买乙方</w:t>
      </w:r>
      <w:r>
        <w:rPr>
          <w:rFonts w:ascii="宋体" w:hAnsi="宋体" w:cs="仿宋_GB2312"/>
          <w:kern w:val="0"/>
          <w:sz w:val="18"/>
          <w:szCs w:val="18"/>
        </w:rPr>
        <w:t>销售</w:t>
      </w:r>
      <w:r>
        <w:rPr>
          <w:rFonts w:hint="eastAsia" w:ascii="宋体" w:hAnsi="宋体" w:cs="仿宋_GB2312"/>
          <w:kern w:val="0"/>
          <w:sz w:val="18"/>
          <w:szCs w:val="18"/>
        </w:rPr>
        <w:t>的理财产品前，需通过乙方的线下</w:t>
      </w:r>
      <w:r>
        <w:rPr>
          <w:rFonts w:ascii="宋体" w:hAnsi="宋体" w:cs="仿宋_GB2312"/>
          <w:kern w:val="0"/>
          <w:sz w:val="18"/>
          <w:szCs w:val="18"/>
        </w:rPr>
        <w:t>渠道或线上渠道</w:t>
      </w:r>
      <w:r>
        <w:rPr>
          <w:rFonts w:hint="eastAsia" w:ascii="宋体" w:hAnsi="宋体" w:cs="仿宋_GB2312"/>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（2）其他类型投资者的风险承受能力评估按销售机构的以下销售政策执行：</w:t>
      </w:r>
    </w:p>
    <w:p>
      <w:pPr>
        <w:widowControl/>
        <w:spacing w:line="360" w:lineRule="auto"/>
        <w:jc w:val="left"/>
        <w:rPr>
          <w:rFonts w:asciiTheme="majorEastAsia" w:hAnsiTheme="majorEastAsia" w:eastAsiaTheme="majorEastAsia"/>
          <w:sz w:val="18"/>
          <w:szCs w:val="18"/>
        </w:rPr>
      </w:pPr>
      <w:r>
        <w:rPr>
          <w:rFonts w:hint="eastAsia" w:asciiTheme="majorEastAsia" w:hAnsiTheme="majorEastAsia" w:eastAsiaTheme="majorEastAsia"/>
          <w:sz w:val="18"/>
          <w:szCs w:val="18"/>
        </w:rPr>
        <w:sym w:font="Wingdings 2" w:char="00A3"/>
      </w:r>
      <w:r>
        <w:rPr>
          <w:rFonts w:hint="eastAsia" w:asciiTheme="majorEastAsia" w:hAnsiTheme="majorEastAsia" w:eastAsiaTheme="majorEastAsia"/>
          <w:sz w:val="18"/>
          <w:szCs w:val="18"/>
        </w:rPr>
        <w:t xml:space="preserve"> 参照本条第（1）款非机构投资者要求执行；</w:t>
      </w:r>
    </w:p>
    <w:p>
      <w:pPr>
        <w:widowControl/>
        <w:spacing w:line="360" w:lineRule="auto"/>
        <w:jc w:val="left"/>
        <w:rPr>
          <w:rFonts w:asciiTheme="majorEastAsia" w:hAnsiTheme="majorEastAsia" w:eastAsiaTheme="majorEastAsia"/>
          <w:sz w:val="18"/>
          <w:szCs w:val="18"/>
        </w:rPr>
      </w:pPr>
      <w:r>
        <w:rPr>
          <w:rFonts w:hint="eastAsia" w:asciiTheme="majorEastAsia" w:hAnsiTheme="majorEastAsia" w:eastAsiaTheme="majorEastAsia"/>
          <w:sz w:val="18"/>
          <w:szCs w:val="18"/>
        </w:rPr>
        <w:sym w:font="Wingdings 2" w:char="00A3"/>
      </w:r>
      <w:r>
        <w:rPr>
          <w:rFonts w:hint="eastAsia" w:asciiTheme="majorEastAsia" w:hAnsiTheme="majorEastAsia" w:eastAsiaTheme="majorEastAsia"/>
          <w:sz w:val="18"/>
          <w:szCs w:val="18"/>
        </w:rPr>
        <w:t xml:space="preserve"> 其他：</w:t>
      </w:r>
      <w:r>
        <w:rPr>
          <w:rFonts w:hint="eastAsia" w:asciiTheme="majorEastAsia" w:hAnsiTheme="majorEastAsia" w:eastAsiaTheme="majorEastAsia"/>
          <w:sz w:val="18"/>
          <w:szCs w:val="18"/>
          <w:u w:val="single"/>
        </w:rPr>
        <w:t xml:space="preserve">                               。</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5.甲方保证投资资金来源合法且为本人</w:t>
      </w:r>
      <w:r>
        <w:rPr>
          <w:rFonts w:hint="eastAsia" w:ascii="宋体" w:hAnsi="宋体"/>
          <w:sz w:val="18"/>
          <w:szCs w:val="18"/>
        </w:rPr>
        <w:t>有权处分的合法资金</w:t>
      </w:r>
      <w:r>
        <w:rPr>
          <w:rFonts w:hint="eastAsia" w:ascii="宋体" w:hAnsi="宋体" w:cs="仿宋_GB2312"/>
          <w:kern w:val="0"/>
          <w:sz w:val="18"/>
          <w:szCs w:val="18"/>
        </w:rPr>
        <w:t>，不存在使用贷款、发行债券等筹集的非自有资金投资的情况，投资行为符合法律法规及相关监管部门的规定。</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7.在产品认购/申购期内，如因甲方原因导致投资本金不能从其账户足额划转的，甲方对相关理财产品的购买不成功，乙方对此不承担责任。</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8.甲方对理财产品</w:t>
      </w:r>
      <w:r>
        <w:rPr>
          <w:rFonts w:ascii="宋体" w:hAnsi="宋体" w:cs="仿宋_GB2312"/>
          <w:kern w:val="0"/>
          <w:sz w:val="18"/>
          <w:szCs w:val="18"/>
        </w:rPr>
        <w:t>销售业务资料</w:t>
      </w:r>
      <w:r>
        <w:rPr>
          <w:rFonts w:hint="eastAsia" w:ascii="宋体" w:hAnsi="宋体" w:cs="仿宋_GB2312"/>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hint="eastAsia" w:ascii="宋体" w:hAnsi="宋体" w:cs="仿宋_GB2312"/>
          <w:kern w:val="0"/>
          <w:sz w:val="18"/>
          <w:szCs w:val="18"/>
        </w:rPr>
        <w:t>有关的业务资料及信息，但本协议</w:t>
      </w:r>
      <w:r>
        <w:rPr>
          <w:rFonts w:ascii="宋体" w:hAnsi="宋体" w:cs="仿宋_GB2312"/>
          <w:kern w:val="0"/>
          <w:sz w:val="18"/>
          <w:szCs w:val="18"/>
        </w:rPr>
        <w:t>及</w:t>
      </w:r>
      <w:r>
        <w:rPr>
          <w:rFonts w:hint="eastAsia" w:ascii="宋体" w:hAnsi="宋体" w:cs="仿宋_GB2312"/>
          <w:kern w:val="0"/>
          <w:sz w:val="18"/>
          <w:szCs w:val="18"/>
        </w:rPr>
        <w:t>法律法规另有规定的除外。</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9</w:t>
      </w:r>
      <w:r>
        <w:rPr>
          <w:rFonts w:hint="eastAsia" w:ascii="黑体" w:hAnsi="黑体" w:eastAsia="黑体" w:cs="仿宋_GB2312"/>
          <w:kern w:val="0"/>
          <w:sz w:val="18"/>
          <w:szCs w:val="18"/>
        </w:rPr>
        <w:t>.</w:t>
      </w:r>
      <w:r>
        <w:rPr>
          <w:rFonts w:ascii="黑体" w:hAnsi="黑体" w:eastAsia="黑体" w:cs="仿宋_GB2312"/>
          <w:kern w:val="0"/>
          <w:sz w:val="18"/>
          <w:szCs w:val="18"/>
        </w:rPr>
        <w:t>甲方在此同意并授权乙方有权根据甲方</w:t>
      </w:r>
      <w:r>
        <w:rPr>
          <w:rFonts w:hint="eastAsia" w:ascii="黑体" w:hAnsi="黑体" w:eastAsia="黑体" w:cs="仿宋_GB2312"/>
          <w:kern w:val="0"/>
          <w:sz w:val="18"/>
          <w:szCs w:val="18"/>
        </w:rPr>
        <w:t>所勾选的业务申请类型对甲方相关资金账户进行资金划扣等相关操作。</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10</w:t>
      </w:r>
      <w:r>
        <w:rPr>
          <w:rFonts w:hint="eastAsia" w:ascii="黑体" w:hAnsi="黑体" w:eastAsia="黑体" w:cs="仿宋_GB2312"/>
          <w:kern w:val="0"/>
          <w:sz w:val="18"/>
          <w:szCs w:val="18"/>
        </w:rPr>
        <w:t>.</w:t>
      </w:r>
      <w:r>
        <w:rPr>
          <w:rFonts w:ascii="黑体" w:hAnsi="黑体" w:eastAsia="黑体" w:cs="仿宋_GB2312"/>
          <w:kern w:val="0"/>
          <w:sz w:val="18"/>
          <w:szCs w:val="18"/>
        </w:rPr>
        <w:t>对于甲方通过乙方的网上银行、手机银行、可视柜台等线</w:t>
      </w:r>
      <w:r>
        <w:rPr>
          <w:rFonts w:hint="eastAsia" w:ascii="黑体" w:hAnsi="黑体" w:eastAsia="黑体" w:cs="仿宋_GB2312"/>
          <w:kern w:val="0"/>
          <w:sz w:val="18"/>
          <w:szCs w:val="18"/>
        </w:rPr>
        <w:t>上渠道购买的理财产品（不受限于本理财产品），甲方确认通过乙方线上渠道点击确认同意本协议，即表明甲方已自主阅读并清楚知悉本协议全部内容，同意受本协议约束。</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11.甲方在此确认乙方业务申请和办理</w:t>
      </w:r>
      <w:r>
        <w:rPr>
          <w:rFonts w:hint="eastAsia" w:ascii="黑体" w:hAnsi="黑体" w:eastAsia="黑体" w:cs="仿宋_GB2312"/>
          <w:kern w:val="0"/>
          <w:sz w:val="18"/>
          <w:szCs w:val="18"/>
        </w:rPr>
        <w:t>的系统记录以及录音、录像等</w:t>
      </w:r>
      <w:r>
        <w:rPr>
          <w:rFonts w:ascii="黑体" w:hAnsi="黑体" w:eastAsia="黑体" w:cs="仿宋_GB2312"/>
          <w:kern w:val="0"/>
          <w:sz w:val="18"/>
          <w:szCs w:val="18"/>
        </w:rPr>
        <w:t>信息</w:t>
      </w:r>
      <w:r>
        <w:rPr>
          <w:rFonts w:hint="eastAsia" w:ascii="黑体" w:hAnsi="黑体" w:eastAsia="黑体" w:cs="仿宋_GB2312"/>
          <w:kern w:val="0"/>
          <w:sz w:val="18"/>
          <w:szCs w:val="18"/>
        </w:rPr>
        <w:t>构成对甲方操作行为（包括但不限于认购</w:t>
      </w:r>
      <w:r>
        <w:rPr>
          <w:rFonts w:ascii="黑体" w:hAnsi="黑体" w:eastAsia="黑体" w:cs="仿宋_GB2312"/>
          <w:kern w:val="0"/>
          <w:sz w:val="18"/>
          <w:szCs w:val="18"/>
        </w:rPr>
        <w:t>、申购</w:t>
      </w:r>
      <w:r>
        <w:rPr>
          <w:rFonts w:hint="eastAsia" w:ascii="黑体" w:hAnsi="黑体" w:eastAsia="黑体" w:cs="仿宋_GB2312"/>
          <w:kern w:val="0"/>
          <w:sz w:val="18"/>
          <w:szCs w:val="18"/>
        </w:rPr>
        <w:t>、赎回）的终局证据，甲方同意乙方上述记录行为，并且在甲方和乙方或产品</w:t>
      </w:r>
      <w:r>
        <w:rPr>
          <w:rFonts w:ascii="黑体" w:hAnsi="黑体" w:eastAsia="黑体" w:cs="仿宋_GB2312"/>
          <w:kern w:val="0"/>
          <w:sz w:val="18"/>
          <w:szCs w:val="18"/>
        </w:rPr>
        <w:t>管理人</w:t>
      </w:r>
      <w:r>
        <w:rPr>
          <w:rFonts w:hint="eastAsia" w:ascii="黑体" w:hAnsi="黑体" w:eastAsia="黑体" w:cs="仿宋_GB2312"/>
          <w:kern w:val="0"/>
          <w:sz w:val="18"/>
          <w:szCs w:val="18"/>
        </w:rPr>
        <w:t>发生争议时可以作为合法有效的证据使用。甲方同意并授权乙方采取有效措施和技术手段记录营销推介、产品风险和关键信息提示、投资者确认和反馈等重点销售环节。</w:t>
      </w:r>
    </w:p>
    <w:p>
      <w:pPr>
        <w:widowControl/>
        <w:spacing w:line="360" w:lineRule="auto"/>
        <w:jc w:val="left"/>
        <w:rPr>
          <w:rFonts w:ascii="宋体" w:hAnsi="宋体" w:cs="仿宋_GB2312"/>
          <w:kern w:val="0"/>
          <w:sz w:val="18"/>
          <w:szCs w:val="18"/>
        </w:rPr>
      </w:pPr>
      <w:r>
        <w:rPr>
          <w:rFonts w:ascii="宋体" w:hAnsi="宋体" w:cs="仿宋_GB2312"/>
          <w:kern w:val="0"/>
          <w:sz w:val="18"/>
          <w:szCs w:val="18"/>
        </w:rPr>
        <w:t>12</w:t>
      </w:r>
      <w:r>
        <w:rPr>
          <w:rFonts w:hint="eastAsia" w:ascii="宋体" w:hAnsi="宋体" w:cs="仿宋_GB2312"/>
          <w:kern w:val="0"/>
          <w:sz w:val="18"/>
          <w:szCs w:val="18"/>
        </w:rPr>
        <w:t>.甲方同意并授权乙方有权根据甲方所勾选的业务申请类型，并根据业务办理需要、反洗钱工作、非居民金融账户涉税信息尽职调查、IPO或并购重组涉及的股东穿透核查或根据其他有权机关或监管要求等需要，收集调取投资者开户留存的有效身份证件或者其他身份证明文件信息、交易记录、数据信息、金融账户和其他资料，同时可向产品管理人、产品托管人、监管机构、有权机关、自律组织、理财登记备案机构、投资合作机构、投资交易相关方、中介服务机构、理财快速赎回服务提供方提供、留存前述信息。</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甲方签署本理财产品销售文件即视为已经同意乙方在前述范围内向相关方提供投资者信息。</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3</w:t>
      </w:r>
      <w:r>
        <w:rPr>
          <w:rFonts w:hint="eastAsia" w:ascii="宋体" w:hAnsi="宋体" w:cs="仿宋_GB2312"/>
          <w:kern w:val="0"/>
          <w:sz w:val="18"/>
          <w:szCs w:val="18"/>
        </w:rPr>
        <w:t>.乙方对理财产品代理</w:t>
      </w:r>
      <w:r>
        <w:rPr>
          <w:rFonts w:ascii="宋体" w:hAnsi="宋体" w:cs="仿宋_GB2312"/>
          <w:kern w:val="0"/>
          <w:sz w:val="18"/>
          <w:szCs w:val="18"/>
        </w:rPr>
        <w:t>销售业务资料</w:t>
      </w:r>
      <w:r>
        <w:rPr>
          <w:rFonts w:hint="eastAsia" w:ascii="宋体" w:hAnsi="宋体" w:cs="仿宋_GB2312"/>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hint="eastAsia" w:ascii="宋体" w:hAnsi="宋体" w:cs="仿宋_GB2312"/>
          <w:kern w:val="0"/>
          <w:sz w:val="18"/>
          <w:szCs w:val="18"/>
        </w:rPr>
        <w:t>法律法规另有规定的除外。</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4</w:t>
      </w:r>
      <w:r>
        <w:rPr>
          <w:rFonts w:hint="eastAsia" w:ascii="宋体" w:hAnsi="宋体" w:cs="仿宋_GB2312"/>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第二条 免责条款</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由于国家有关法律、法规、规章、政策的改变、紧急措施的出台而导致甲方蒙受损失或协议终止的，乙方不承担责任。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2</w:t>
      </w:r>
      <w:r>
        <w:rPr>
          <w:rFonts w:hint="eastAsia" w:ascii="黑体" w:hAnsi="黑体" w:eastAsia="黑体" w:cs="仿宋_GB2312"/>
          <w:kern w:val="0"/>
          <w:sz w:val="18"/>
          <w:szCs w:val="18"/>
        </w:rPr>
        <w:t>.</w:t>
      </w:r>
      <w:r>
        <w:rPr>
          <w:rFonts w:ascii="黑体" w:hAnsi="黑体" w:eastAsia="黑体" w:cs="仿宋_GB2312"/>
          <w:kern w:val="0"/>
          <w:sz w:val="18"/>
          <w:szCs w:val="18"/>
        </w:rPr>
        <w:t>由于不可抗力或乙方无过错且无法防止的外因而导致的交易中断、延误等风险及损失，乙方不承担责任。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kern w:val="0"/>
          <w:sz w:val="18"/>
          <w:szCs w:val="18"/>
        </w:rPr>
        <w:t>.</w:t>
      </w:r>
      <w:r>
        <w:rPr>
          <w:rFonts w:ascii="黑体" w:hAnsi="黑体" w:eastAsia="黑体" w:cs="仿宋_GB2312"/>
          <w:kern w:val="0"/>
          <w:sz w:val="18"/>
          <w:szCs w:val="18"/>
        </w:rPr>
        <w:t>非因乙方原因（包括但不限于甲方遗失本协议、协议被盗用、交易账户被司法机关等有权部门冻结、扣划等原因）造成的损失，乙方不承担责任。</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发生前述情形时，乙方将在条件允许的情况下采取必要合理的补救措施，尽力保护甲方利益，以减少甲方损失。</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第三条 争议处理</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本协议在履行过程中发生的争议，由甲乙双方协商解决，协商不成的，任何一方可向乙方住所地</w:t>
      </w:r>
      <w:r>
        <w:rPr>
          <w:rFonts w:hint="eastAsia" w:ascii="黑体" w:hAnsi="黑体" w:eastAsia="黑体" w:cs="仿宋_GB2312"/>
          <w:kern w:val="0"/>
          <w:sz w:val="18"/>
          <w:szCs w:val="18"/>
        </w:rPr>
        <w:t>人民法院起诉。</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2.在诉讼期间，本协议不涉及争议部分的条款仍须履行。</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第四条 协议的生效和终止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1.协议生效</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甲方通过乙方线下渠道购买理财产品的，本协议经甲方签名或盖章且乙方盖柜面业务章后生效（为避免歧义，乙方相关业务人员在本协议的签字仅为乙方内部风险控制要求，并不作为协议成立的条件，下同）。</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甲方通过乙方线上</w:t>
      </w:r>
      <w:r>
        <w:rPr>
          <w:rFonts w:ascii="宋体" w:hAnsi="宋体" w:cs="仿宋_GB2312"/>
          <w:kern w:val="0"/>
          <w:sz w:val="18"/>
          <w:szCs w:val="18"/>
        </w:rPr>
        <w:t>渠道</w:t>
      </w:r>
      <w:r>
        <w:rPr>
          <w:rFonts w:hint="eastAsia" w:ascii="宋体" w:hAnsi="宋体" w:cs="仿宋_GB2312"/>
          <w:kern w:val="0"/>
          <w:sz w:val="18"/>
          <w:szCs w:val="18"/>
        </w:rPr>
        <w:t>（网上银行、手机银行、可视柜台等）购买理财产品的，甲方点击确认同意本协议后生效。</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2.协议终止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本协议及《投资</w:t>
      </w:r>
      <w:r>
        <w:rPr>
          <w:rFonts w:ascii="宋体" w:hAnsi="宋体" w:cs="仿宋_GB2312"/>
          <w:kern w:val="0"/>
          <w:sz w:val="18"/>
          <w:szCs w:val="18"/>
        </w:rPr>
        <w:t>协议书</w:t>
      </w:r>
      <w:r>
        <w:rPr>
          <w:rFonts w:hint="eastAsia" w:ascii="宋体" w:hAnsi="宋体" w:cs="仿宋_GB2312"/>
          <w:kern w:val="0"/>
          <w:sz w:val="18"/>
          <w:szCs w:val="18"/>
        </w:rPr>
        <w:t>》《产品说明书》《风险揭示书》《投资者权益须知》项下各方权利义务履行完毕之日，本协议自动终止。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3</w:t>
      </w:r>
      <w:r>
        <w:rPr>
          <w:rFonts w:ascii="宋体" w:hAnsi="宋体" w:cs="仿宋_GB2312"/>
          <w:kern w:val="0"/>
          <w:sz w:val="18"/>
          <w:szCs w:val="18"/>
        </w:rPr>
        <w:t>.</w:t>
      </w:r>
      <w:r>
        <w:rPr>
          <w:rFonts w:hint="eastAsia" w:ascii="宋体" w:hAnsi="宋体" w:cs="仿宋_GB2312"/>
          <w:kern w:val="0"/>
          <w:sz w:val="18"/>
          <w:szCs w:val="18"/>
        </w:rPr>
        <w:t>其他</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甲方通过乙方的线下渠道购买本产品时，本协议一式叁份，销售机构、投资者及产品管理人各执一份，且具有同等法律效力。</w:t>
      </w:r>
    </w:p>
    <w:p>
      <w:pPr>
        <w:widowControl/>
        <w:spacing w:line="360" w:lineRule="auto"/>
        <w:jc w:val="left"/>
        <w:rPr>
          <w:rFonts w:ascii="宋体" w:hAnsi="宋体" w:cs="仿宋_GB2312"/>
          <w:b/>
          <w:kern w:val="0"/>
          <w:sz w:val="18"/>
          <w:szCs w:val="18"/>
        </w:rPr>
      </w:pP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甲方声明：</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w:t>
      </w:r>
      <w:r>
        <w:rPr>
          <w:rFonts w:ascii="黑体" w:hAnsi="黑体" w:eastAsia="黑体" w:cs="仿宋_GB2312"/>
          <w:kern w:val="0"/>
          <w:sz w:val="18"/>
          <w:szCs w:val="18"/>
        </w:rPr>
        <w:t>1)甲方已经收到所购买乙方销售的理财产品的《投资协议书</w:t>
      </w:r>
      <w:r>
        <w:rPr>
          <w:rFonts w:hint="eastAsia" w:ascii="黑体" w:hAnsi="黑体" w:eastAsia="黑体" w:cs="仿宋_GB2312"/>
          <w:kern w:val="0"/>
          <w:sz w:val="18"/>
          <w:szCs w:val="18"/>
        </w:rPr>
        <w:t>》</w:t>
      </w:r>
      <w:r>
        <w:rPr>
          <w:rFonts w:ascii="黑体" w:hAnsi="黑体" w:eastAsia="黑体" w:cs="仿宋_GB2312"/>
          <w:kern w:val="0"/>
          <w:sz w:val="18"/>
          <w:szCs w:val="18"/>
        </w:rPr>
        <w:t>《</w:t>
      </w:r>
      <w:r>
        <w:rPr>
          <w:rFonts w:hint="eastAsia" w:ascii="黑体" w:hAnsi="黑体" w:eastAsia="黑体" w:cs="仿宋_GB2312"/>
          <w:kern w:val="0"/>
          <w:sz w:val="18"/>
          <w:szCs w:val="18"/>
        </w:rPr>
        <w:t>产品说明书</w:t>
      </w:r>
      <w:r>
        <w:rPr>
          <w:rFonts w:ascii="黑体" w:hAnsi="黑体" w:eastAsia="黑体" w:cs="仿宋_GB2312"/>
          <w:kern w:val="0"/>
          <w:sz w:val="18"/>
          <w:szCs w:val="18"/>
        </w:rPr>
        <w:t>》《</w:t>
      </w:r>
      <w:r>
        <w:rPr>
          <w:rFonts w:hint="eastAsia" w:ascii="黑体" w:hAnsi="黑体" w:eastAsia="黑体" w:cs="仿宋_GB2312"/>
          <w:kern w:val="0"/>
          <w:sz w:val="18"/>
          <w:szCs w:val="18"/>
        </w:rPr>
        <w:t>（代理）销售协议书</w:t>
      </w:r>
      <w:r>
        <w:rPr>
          <w:rFonts w:ascii="黑体" w:hAnsi="黑体" w:eastAsia="黑体" w:cs="仿宋_GB2312"/>
          <w:kern w:val="0"/>
          <w:sz w:val="18"/>
          <w:szCs w:val="18"/>
        </w:rPr>
        <w:t>》</w:t>
      </w:r>
      <w:r>
        <w:rPr>
          <w:rFonts w:hint="eastAsia" w:ascii="黑体" w:hAnsi="黑体" w:eastAsia="黑体" w:cs="仿宋_GB2312"/>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黑体" w:hAnsi="黑体" w:eastAsia="黑体" w:cs="仿宋_GB2312"/>
          <w:kern w:val="0"/>
          <w:sz w:val="18"/>
          <w:szCs w:val="18"/>
        </w:rPr>
        <w:t>、申购</w:t>
      </w:r>
      <w:r>
        <w:rPr>
          <w:rFonts w:hint="eastAsia" w:ascii="黑体" w:hAnsi="黑体" w:eastAsia="黑体" w:cs="仿宋_GB2312"/>
          <w:kern w:val="0"/>
          <w:sz w:val="18"/>
          <w:szCs w:val="18"/>
        </w:rPr>
        <w:t>、赎回理财产品所产生的相关风险和不利后果。</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w:t>
      </w:r>
      <w:r>
        <w:rPr>
          <w:rFonts w:ascii="黑体" w:hAnsi="黑体" w:eastAsia="黑体" w:cs="仿宋_GB2312"/>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w:t>
      </w:r>
      <w:r>
        <w:rPr>
          <w:rFonts w:ascii="黑体" w:hAnsi="黑体" w:eastAsia="黑体" w:cs="仿宋_GB2312"/>
          <w:kern w:val="0"/>
          <w:sz w:val="18"/>
          <w:szCs w:val="18"/>
        </w:rPr>
        <w:t>3</w:t>
      </w:r>
      <w:r>
        <w:rPr>
          <w:rFonts w:hint="eastAsia" w:ascii="黑体" w:hAnsi="黑体" w:eastAsia="黑体" w:cs="仿宋_GB2312"/>
          <w:kern w:val="0"/>
          <w:sz w:val="18"/>
          <w:szCs w:val="18"/>
        </w:rPr>
        <w:t>）甲方确认乙方相关业务人员不存在代替甲方签署销售业务相关文件，或代替甲方进行风险承受能力评估、理财产品购买等操作，不存在代替甲方持有或安排他人代替甲方持有理财产品的情况。</w:t>
      </w:r>
    </w:p>
    <w:p>
      <w:pPr>
        <w:widowControl/>
        <w:jc w:val="left"/>
        <w:rPr>
          <w:rFonts w:ascii="宋体" w:hAnsi="宋体" w:cs="仿宋_GB2312"/>
          <w:b/>
          <w:kern w:val="0"/>
          <w:sz w:val="18"/>
          <w:szCs w:val="18"/>
        </w:rPr>
      </w:pPr>
      <w:r>
        <w:rPr>
          <w:rFonts w:ascii="宋体" w:hAnsi="宋体" w:cs="仿宋_GB2312"/>
          <w:b/>
          <w:kern w:val="0"/>
          <w:sz w:val="18"/>
          <w:szCs w:val="18"/>
        </w:rPr>
        <w:br w:type="page"/>
      </w:r>
    </w:p>
    <w:p>
      <w:pPr>
        <w:autoSpaceDE w:val="0"/>
        <w:autoSpaceDN w:val="0"/>
        <w:adjustRightInd w:val="0"/>
        <w:snapToGrid w:val="0"/>
        <w:spacing w:line="280" w:lineRule="atLeast"/>
        <w:ind w:firstLine="360" w:firstLineChars="200"/>
        <w:rPr>
          <w:rFonts w:ascii="黑体" w:hAnsi="黑体" w:eastAsia="黑体" w:cs="仿宋_GB2312"/>
          <w:kern w:val="0"/>
          <w:sz w:val="18"/>
          <w:szCs w:val="18"/>
        </w:rPr>
      </w:pPr>
    </w:p>
    <w:tbl>
      <w:tblPr>
        <w:tblStyle w:val="9"/>
        <w:tblW w:w="852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675"/>
        <w:gridCol w:w="851"/>
        <w:gridCol w:w="699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9" w:hRule="atLeast"/>
        </w:trPr>
        <w:tc>
          <w:tcPr>
            <w:tcW w:w="8524" w:type="dxa"/>
            <w:gridSpan w:val="3"/>
            <w:vAlign w:val="center"/>
          </w:tcPr>
          <w:p>
            <w:pPr>
              <w:autoSpaceDE w:val="0"/>
              <w:autoSpaceDN w:val="0"/>
              <w:adjustRightInd w:val="0"/>
              <w:snapToGrid w:val="0"/>
              <w:spacing w:line="360" w:lineRule="auto"/>
              <w:jc w:val="center"/>
              <w:rPr>
                <w:rFonts w:ascii="宋体" w:hAnsi="宋体"/>
                <w:b/>
                <w:kern w:val="0"/>
                <w:sz w:val="18"/>
                <w:szCs w:val="18"/>
              </w:rPr>
            </w:pPr>
            <w:r>
              <w:rPr>
                <w:rFonts w:hint="eastAsia" w:ascii="宋体" w:hAnsi="宋体"/>
                <w:b/>
                <w:kern w:val="0"/>
                <w:sz w:val="18"/>
                <w:szCs w:val="18"/>
              </w:rPr>
              <w:t>签署栏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Align w:val="center"/>
          </w:tcPr>
          <w:p>
            <w:pPr>
              <w:tabs>
                <w:tab w:val="left" w:pos="8070"/>
                <w:tab w:val="right" w:pos="8306"/>
              </w:tabs>
              <w:autoSpaceDE w:val="0"/>
              <w:autoSpaceDN w:val="0"/>
              <w:adjustRightInd w:val="0"/>
              <w:snapToGrid w:val="0"/>
              <w:spacing w:line="360" w:lineRule="auto"/>
              <w:jc w:val="center"/>
              <w:rPr>
                <w:rFonts w:ascii="黑体" w:hAnsi="黑体" w:eastAsia="黑体"/>
                <w:kern w:val="0"/>
                <w:sz w:val="18"/>
                <w:szCs w:val="18"/>
              </w:rPr>
            </w:pPr>
            <w:r>
              <w:rPr>
                <w:rFonts w:hint="eastAsia" w:ascii="黑体" w:hAnsi="黑体" w:eastAsia="黑体"/>
                <w:kern w:val="0"/>
                <w:sz w:val="18"/>
                <w:szCs w:val="18"/>
              </w:rPr>
              <w:t>★</w:t>
            </w:r>
          </w:p>
          <w:p>
            <w:pPr>
              <w:tabs>
                <w:tab w:val="left" w:pos="8070"/>
                <w:tab w:val="right" w:pos="8306"/>
              </w:tabs>
              <w:autoSpaceDE w:val="0"/>
              <w:autoSpaceDN w:val="0"/>
              <w:adjustRightInd w:val="0"/>
              <w:snapToGrid w:val="0"/>
              <w:spacing w:line="360" w:lineRule="auto"/>
              <w:jc w:val="center"/>
              <w:rPr>
                <w:rFonts w:ascii="宋体" w:hAnsi="宋体"/>
                <w:b/>
                <w:kern w:val="0"/>
                <w:sz w:val="18"/>
                <w:szCs w:val="18"/>
              </w:rPr>
            </w:pPr>
            <w:r>
              <w:rPr>
                <w:rFonts w:hint="eastAsia" w:ascii="宋体" w:hAnsi="宋体"/>
                <w:b/>
                <w:kern w:val="0"/>
                <w:sz w:val="18"/>
                <w:szCs w:val="18"/>
              </w:rPr>
              <w:t>签署声明</w:t>
            </w:r>
          </w:p>
        </w:tc>
        <w:tc>
          <w:tcPr>
            <w:tcW w:w="7849" w:type="dxa"/>
            <w:gridSpan w:val="2"/>
          </w:tcPr>
          <w:p>
            <w:pPr>
              <w:tabs>
                <w:tab w:val="left" w:pos="0"/>
                <w:tab w:val="left" w:pos="3600"/>
              </w:tabs>
              <w:spacing w:line="360" w:lineRule="auto"/>
              <w:jc w:val="left"/>
              <w:rPr>
                <w:rFonts w:ascii="黑体" w:hAnsi="黑体" w:eastAsia="黑体"/>
                <w:kern w:val="0"/>
                <w:sz w:val="18"/>
                <w:szCs w:val="18"/>
              </w:rPr>
            </w:pPr>
            <w:r>
              <w:rPr>
                <w:rFonts w:ascii="黑体" w:hAnsi="黑体" w:eastAsia="黑体"/>
                <w:kern w:val="0"/>
                <w:sz w:val="18"/>
                <w:szCs w:val="18"/>
              </w:rPr>
              <w:t>1</w:t>
            </w:r>
            <w:r>
              <w:rPr>
                <w:rFonts w:hint="eastAsia" w:ascii="黑体" w:hAnsi="黑体" w:eastAsia="黑体"/>
                <w:kern w:val="0"/>
                <w:sz w:val="18"/>
                <w:szCs w:val="18"/>
              </w:rPr>
              <w:t>.</w:t>
            </w:r>
            <w:r>
              <w:rPr>
                <w:rFonts w:ascii="黑体" w:hAnsi="黑体" w:eastAsia="黑体"/>
                <w:kern w:val="0"/>
                <w:sz w:val="18"/>
                <w:szCs w:val="18"/>
              </w:rPr>
              <w:t>在签署本《</w:t>
            </w:r>
            <w:r>
              <w:rPr>
                <w:rFonts w:hint="eastAsia" w:ascii="黑体" w:hAnsi="黑体" w:eastAsia="黑体"/>
                <w:kern w:val="0"/>
                <w:sz w:val="18"/>
                <w:szCs w:val="18"/>
              </w:rPr>
              <w:t>（代理）</w:t>
            </w:r>
            <w:r>
              <w:rPr>
                <w:rFonts w:ascii="黑体" w:hAnsi="黑体" w:eastAsia="黑体"/>
                <w:kern w:val="0"/>
                <w:sz w:val="18"/>
                <w:szCs w:val="18"/>
              </w:rPr>
              <w:t>销售协议书》以前，甲方已认真阅读理财产品销售文件（包括但不限于《</w:t>
            </w:r>
            <w:r>
              <w:rPr>
                <w:rFonts w:hint="eastAsia" w:ascii="黑体" w:hAnsi="黑体" w:eastAsia="黑体"/>
                <w:kern w:val="0"/>
                <w:sz w:val="18"/>
                <w:szCs w:val="18"/>
              </w:rPr>
              <w:t>投资</w:t>
            </w:r>
            <w:r>
              <w:rPr>
                <w:rFonts w:ascii="黑体" w:hAnsi="黑体" w:eastAsia="黑体"/>
                <w:kern w:val="0"/>
                <w:sz w:val="18"/>
                <w:szCs w:val="18"/>
              </w:rPr>
              <w:t>协议书》《产品说明书》</w:t>
            </w:r>
            <w:r>
              <w:rPr>
                <w:rFonts w:hint="eastAsia" w:ascii="黑体" w:hAnsi="黑体" w:eastAsia="黑体"/>
                <w:kern w:val="0"/>
                <w:sz w:val="18"/>
                <w:szCs w:val="18"/>
              </w:rPr>
              <w:t>《（代理）销售</w:t>
            </w:r>
            <w:r>
              <w:rPr>
                <w:rFonts w:ascii="黑体" w:hAnsi="黑体" w:eastAsia="黑体"/>
                <w:kern w:val="0"/>
                <w:sz w:val="18"/>
                <w:szCs w:val="18"/>
              </w:rPr>
              <w:t>协议书</w:t>
            </w:r>
            <w:r>
              <w:rPr>
                <w:rFonts w:hint="eastAsia" w:ascii="黑体" w:hAnsi="黑体" w:eastAsia="黑体"/>
                <w:kern w:val="0"/>
                <w:sz w:val="18"/>
                <w:szCs w:val="18"/>
              </w:rPr>
              <w:t>》</w:t>
            </w:r>
            <w:r>
              <w:rPr>
                <w:rFonts w:ascii="黑体" w:hAnsi="黑体" w:eastAsia="黑体"/>
                <w:kern w:val="0"/>
                <w:sz w:val="18"/>
                <w:szCs w:val="18"/>
              </w:rPr>
              <w:t>《风险揭示书》《投资者权益须知》等文件）的全部内容，</w:t>
            </w:r>
            <w:r>
              <w:rPr>
                <w:rFonts w:hint="eastAsia" w:ascii="黑体" w:hAnsi="黑体" w:eastAsia="黑体"/>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pPr>
              <w:tabs>
                <w:tab w:val="left" w:pos="0"/>
                <w:tab w:val="left" w:pos="3600"/>
              </w:tabs>
              <w:spacing w:line="360" w:lineRule="auto"/>
              <w:jc w:val="left"/>
              <w:rPr>
                <w:rFonts w:ascii="黑体" w:hAnsi="黑体" w:eastAsia="黑体"/>
                <w:kern w:val="0"/>
                <w:sz w:val="18"/>
                <w:szCs w:val="18"/>
              </w:rPr>
            </w:pPr>
            <w:r>
              <w:rPr>
                <w:rFonts w:ascii="黑体" w:hAnsi="黑体" w:eastAsia="黑体"/>
                <w:kern w:val="0"/>
                <w:sz w:val="18"/>
                <w:szCs w:val="18"/>
              </w:rPr>
              <w:t>2</w:t>
            </w:r>
            <w:r>
              <w:rPr>
                <w:rFonts w:hint="eastAsia" w:ascii="黑体" w:hAnsi="黑体" w:eastAsia="黑体"/>
                <w:kern w:val="0"/>
                <w:sz w:val="18"/>
                <w:szCs w:val="18"/>
              </w:rPr>
              <w:t>.甲方</w:t>
            </w:r>
            <w:r>
              <w:rPr>
                <w:rFonts w:ascii="黑体" w:hAnsi="黑体" w:eastAsia="黑体"/>
                <w:kern w:val="0"/>
                <w:sz w:val="18"/>
                <w:szCs w:val="18"/>
              </w:rPr>
              <w:t>已认真阅读并充分理解包括但不限于《</w:t>
            </w:r>
            <w:r>
              <w:rPr>
                <w:rFonts w:hint="eastAsia" w:ascii="黑体" w:hAnsi="黑体" w:eastAsia="黑体"/>
                <w:kern w:val="0"/>
                <w:sz w:val="18"/>
                <w:szCs w:val="18"/>
              </w:rPr>
              <w:t>（代理）</w:t>
            </w:r>
            <w:r>
              <w:rPr>
                <w:rFonts w:ascii="黑体" w:hAnsi="黑体" w:eastAsia="黑体"/>
                <w:kern w:val="0"/>
                <w:sz w:val="18"/>
                <w:szCs w:val="18"/>
              </w:rPr>
              <w:t>销售协议书》</w:t>
            </w:r>
            <w:r>
              <w:rPr>
                <w:rFonts w:hint="eastAsia" w:ascii="黑体" w:hAnsi="黑体" w:eastAsia="黑体"/>
                <w:kern w:val="0"/>
                <w:sz w:val="18"/>
                <w:szCs w:val="18"/>
              </w:rPr>
              <w:t>等全套理财产品销售文件</w:t>
            </w:r>
            <w:r>
              <w:rPr>
                <w:rFonts w:ascii="黑体" w:hAnsi="黑体" w:eastAsia="黑体"/>
                <w:kern w:val="0"/>
                <w:sz w:val="18"/>
                <w:szCs w:val="18"/>
              </w:rPr>
              <w:t>关于投资理财产品及其全部风险的有关内容，同意本次</w:t>
            </w:r>
            <w:r>
              <w:rPr>
                <w:rFonts w:hint="eastAsia" w:ascii="黑体" w:hAnsi="黑体" w:eastAsia="黑体"/>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1014" w:hRule="exact"/>
        </w:trPr>
        <w:tc>
          <w:tcPr>
            <w:tcW w:w="675" w:type="dxa"/>
            <w:vMerge w:val="restart"/>
            <w:vAlign w:val="center"/>
          </w:tcPr>
          <w:p>
            <w:pPr>
              <w:spacing w:line="360" w:lineRule="auto"/>
              <w:jc w:val="center"/>
              <w:rPr>
                <w:b/>
                <w:kern w:val="0"/>
                <w:sz w:val="18"/>
                <w:szCs w:val="18"/>
              </w:rPr>
            </w:pPr>
            <w:r>
              <w:rPr>
                <w:rFonts w:hint="eastAsia"/>
                <w:b/>
                <w:kern w:val="0"/>
                <w:sz w:val="18"/>
                <w:szCs w:val="18"/>
              </w:rPr>
              <w:t>甲方签署栏</w:t>
            </w:r>
          </w:p>
        </w:tc>
        <w:tc>
          <w:tcPr>
            <w:tcW w:w="851" w:type="dxa"/>
          </w:tcPr>
          <w:p>
            <w:pPr>
              <w:spacing w:line="360" w:lineRule="auto"/>
              <w:rPr>
                <w:kern w:val="0"/>
                <w:sz w:val="18"/>
                <w:szCs w:val="18"/>
              </w:rPr>
            </w:pPr>
            <w:r>
              <w:rPr>
                <w:rFonts w:hint="eastAsia"/>
                <w:kern w:val="0"/>
                <w:sz w:val="18"/>
                <w:szCs w:val="18"/>
              </w:rPr>
              <w:t>个人投资者适用</w:t>
            </w:r>
          </w:p>
        </w:tc>
        <w:tc>
          <w:tcPr>
            <w:tcW w:w="6998" w:type="dxa"/>
          </w:tcPr>
          <w:p>
            <w:pPr>
              <w:spacing w:line="360" w:lineRule="auto"/>
              <w:rPr>
                <w:kern w:val="0"/>
                <w:sz w:val="18"/>
                <w:szCs w:val="18"/>
              </w:rPr>
            </w:pPr>
            <w:r>
              <w:rPr>
                <w:rFonts w:hint="eastAsia"/>
                <w:kern w:val="0"/>
                <w:sz w:val="18"/>
                <w:szCs w:val="18"/>
              </w:rPr>
              <w:t>甲方（签名</w:t>
            </w:r>
            <w:r>
              <w:rPr>
                <w:kern w:val="0"/>
                <w:sz w:val="18"/>
                <w:szCs w:val="18"/>
              </w:rPr>
              <w:t>/</w:t>
            </w:r>
            <w:r>
              <w:rPr>
                <w:rFonts w:hint="eastAsia"/>
                <w:kern w:val="0"/>
                <w:sz w:val="18"/>
                <w:szCs w:val="18"/>
              </w:rPr>
              <w:t>线上确认）：</w:t>
            </w:r>
          </w:p>
          <w:p>
            <w:pPr>
              <w:spacing w:line="360" w:lineRule="auto"/>
              <w:rPr>
                <w:b/>
                <w:kern w:val="0"/>
                <w:sz w:val="18"/>
                <w:szCs w:val="18"/>
              </w:rPr>
            </w:pPr>
          </w:p>
          <w:p>
            <w:pPr>
              <w:spacing w:line="360" w:lineRule="auto"/>
              <w:rPr>
                <w:b/>
                <w:kern w:val="0"/>
                <w:sz w:val="18"/>
                <w:szCs w:val="18"/>
              </w:rPr>
            </w:pPr>
            <w:r>
              <w:rPr>
                <w:rFonts w:hint="eastAsia"/>
                <w:kern w:val="0"/>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Merge w:val="continue"/>
          </w:tcPr>
          <w:p>
            <w:pPr>
              <w:spacing w:line="360" w:lineRule="auto"/>
              <w:rPr>
                <w:b/>
                <w:kern w:val="0"/>
                <w:sz w:val="18"/>
                <w:szCs w:val="18"/>
              </w:rPr>
            </w:pPr>
          </w:p>
        </w:tc>
        <w:tc>
          <w:tcPr>
            <w:tcW w:w="851" w:type="dxa"/>
          </w:tcPr>
          <w:p>
            <w:pPr>
              <w:spacing w:line="360" w:lineRule="auto"/>
              <w:rPr>
                <w:kern w:val="0"/>
                <w:sz w:val="18"/>
                <w:szCs w:val="18"/>
              </w:rPr>
            </w:pPr>
            <w:r>
              <w:rPr>
                <w:rFonts w:hint="eastAsia"/>
                <w:kern w:val="0"/>
                <w:sz w:val="18"/>
                <w:szCs w:val="18"/>
              </w:rPr>
              <w:t>机构投资者适用</w:t>
            </w:r>
          </w:p>
        </w:tc>
        <w:tc>
          <w:tcPr>
            <w:tcW w:w="6998" w:type="dxa"/>
          </w:tcPr>
          <w:p>
            <w:pPr>
              <w:spacing w:line="360" w:lineRule="auto"/>
              <w:rPr>
                <w:rFonts w:cs="Arial"/>
                <w:kern w:val="0"/>
                <w:sz w:val="18"/>
                <w:szCs w:val="18"/>
              </w:rPr>
            </w:pPr>
            <w:r>
              <w:rPr>
                <w:rFonts w:hint="eastAsia"/>
                <w:kern w:val="0"/>
                <w:sz w:val="18"/>
                <w:szCs w:val="18"/>
              </w:rPr>
              <w:t>甲方</w:t>
            </w:r>
            <w:r>
              <w:rPr>
                <w:rFonts w:hint="eastAsia" w:cs="Arial"/>
                <w:kern w:val="0"/>
                <w:sz w:val="18"/>
                <w:szCs w:val="18"/>
              </w:rPr>
              <w:t>（盖章</w:t>
            </w:r>
            <w:r>
              <w:rPr>
                <w:kern w:val="0"/>
                <w:sz w:val="18"/>
                <w:szCs w:val="18"/>
              </w:rPr>
              <w:t>/</w:t>
            </w:r>
            <w:r>
              <w:rPr>
                <w:rFonts w:hint="eastAsia"/>
                <w:kern w:val="0"/>
                <w:sz w:val="18"/>
                <w:szCs w:val="18"/>
              </w:rPr>
              <w:t>线上确认</w:t>
            </w:r>
            <w:r>
              <w:rPr>
                <w:rFonts w:hint="eastAsia" w:cs="Arial"/>
                <w:kern w:val="0"/>
                <w:sz w:val="18"/>
                <w:szCs w:val="18"/>
              </w:rPr>
              <w:t>）：</w:t>
            </w:r>
          </w:p>
          <w:p>
            <w:pPr>
              <w:spacing w:line="360" w:lineRule="auto"/>
              <w:rPr>
                <w:rFonts w:cs="Arial"/>
                <w:kern w:val="0"/>
                <w:sz w:val="18"/>
                <w:szCs w:val="18"/>
              </w:rPr>
            </w:pPr>
          </w:p>
          <w:p>
            <w:pPr>
              <w:spacing w:line="360" w:lineRule="auto"/>
              <w:rPr>
                <w:b/>
                <w:kern w:val="0"/>
                <w:sz w:val="18"/>
                <w:szCs w:val="18"/>
              </w:rPr>
            </w:pPr>
            <w:r>
              <w:rPr>
                <w:rFonts w:hint="eastAsia" w:cs="Arial"/>
                <w:kern w:val="0"/>
                <w:sz w:val="18"/>
                <w:szCs w:val="18"/>
              </w:rPr>
              <w:t>甲方法定代表人或授权代理人（签名</w:t>
            </w:r>
            <w:r>
              <w:rPr>
                <w:kern w:val="0"/>
                <w:sz w:val="18"/>
                <w:szCs w:val="18"/>
              </w:rPr>
              <w:t>/</w:t>
            </w:r>
            <w:r>
              <w:rPr>
                <w:rFonts w:hint="eastAsia" w:cs="Arial"/>
                <w:kern w:val="0"/>
                <w:sz w:val="18"/>
                <w:szCs w:val="18"/>
              </w:rPr>
              <w:t>盖章</w:t>
            </w:r>
            <w:r>
              <w:rPr>
                <w:kern w:val="0"/>
                <w:sz w:val="18"/>
                <w:szCs w:val="18"/>
              </w:rPr>
              <w:t>/</w:t>
            </w:r>
            <w:r>
              <w:rPr>
                <w:rFonts w:hint="eastAsia"/>
                <w:kern w:val="0"/>
                <w:sz w:val="18"/>
                <w:szCs w:val="18"/>
              </w:rPr>
              <w:t>线上确认</w:t>
            </w:r>
            <w:r>
              <w:rPr>
                <w:rFonts w:hint="eastAsia" w:cs="Arial"/>
                <w:kern w:val="0"/>
                <w:sz w:val="18"/>
                <w:szCs w:val="18"/>
              </w:rPr>
              <w:t>）：</w:t>
            </w:r>
          </w:p>
          <w:p>
            <w:pPr>
              <w:spacing w:line="360" w:lineRule="auto"/>
              <w:rPr>
                <w:kern w:val="0"/>
                <w:sz w:val="18"/>
                <w:szCs w:val="18"/>
              </w:rPr>
            </w:pPr>
            <w:r>
              <w:rPr>
                <w:rFonts w:hint="eastAsia"/>
                <w:kern w:val="0"/>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tcPr>
          <w:p>
            <w:pPr>
              <w:spacing w:line="360" w:lineRule="auto"/>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pPr>
              <w:spacing w:line="360" w:lineRule="auto"/>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pPr>
              <w:spacing w:line="360" w:lineRule="auto"/>
              <w:rPr>
                <w:b/>
                <w:kern w:val="0"/>
                <w:sz w:val="18"/>
                <w:szCs w:val="18"/>
              </w:rPr>
            </w:pPr>
          </w:p>
          <w:p>
            <w:pPr>
              <w:spacing w:line="360" w:lineRule="auto"/>
              <w:rPr>
                <w:kern w:val="0"/>
                <w:sz w:val="18"/>
                <w:szCs w:val="18"/>
              </w:rPr>
            </w:pPr>
            <w:r>
              <w:rPr>
                <w:rFonts w:hint="eastAsia"/>
                <w:kern w:val="0"/>
                <w:sz w:val="18"/>
                <w:szCs w:val="18"/>
              </w:rPr>
              <w:t>日期：</w:t>
            </w:r>
          </w:p>
        </w:tc>
      </w:tr>
    </w:tbl>
    <w:p>
      <w:pPr>
        <w:spacing w:line="360" w:lineRule="auto"/>
        <w:jc w:val="left"/>
        <w:rPr>
          <w:rFonts w:ascii="宋体" w:hAnsi="宋体"/>
          <w:b/>
          <w:sz w:val="18"/>
          <w:szCs w:val="18"/>
        </w:rPr>
      </w:pPr>
      <w:r>
        <w:rPr>
          <w:rFonts w:hint="eastAsia" w:ascii="宋体" w:hAnsi="宋体"/>
          <w:b/>
          <w:sz w:val="18"/>
          <w:szCs w:val="18"/>
        </w:rPr>
        <w:t>（本《（代理）销售协议书》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p/>
    <w:p/>
    <w:p>
      <w:pPr>
        <w:sectPr>
          <w:headerReference r:id="rId9" w:type="default"/>
          <w:footerReference r:id="rId10" w:type="default"/>
          <w:pgSz w:w="11906" w:h="16838"/>
          <w:pgMar w:top="1440" w:right="1800" w:bottom="1440" w:left="1800" w:header="567" w:footer="964" w:gutter="0"/>
          <w:pgNumType w:fmt="decimal"/>
          <w:cols w:space="425" w:num="1"/>
          <w:docGrid w:type="lines" w:linePitch="312" w:charSpace="0"/>
        </w:sectPr>
      </w:pPr>
    </w:p>
    <w:p>
      <w:pPr>
        <w:adjustRightInd w:val="0"/>
        <w:spacing w:line="276" w:lineRule="auto"/>
        <w:ind w:firstLine="422"/>
        <w:jc w:val="center"/>
        <w:rPr>
          <w:rFonts w:ascii="黑体" w:hAnsi="黑体" w:eastAsia="黑体"/>
          <w:b/>
          <w:bCs/>
          <w:sz w:val="28"/>
          <w:szCs w:val="28"/>
        </w:rPr>
      </w:pPr>
      <w:r>
        <w:rPr>
          <w:rFonts w:hint="eastAsia" w:ascii="黑体" w:hAnsi="黑体" w:eastAsia="黑体"/>
          <w:b/>
          <w:bCs/>
          <w:sz w:val="28"/>
          <w:szCs w:val="28"/>
        </w:rPr>
        <w:t>兴银理财【添利】</w:t>
      </w:r>
      <w:r>
        <w:rPr>
          <w:rFonts w:ascii="黑体" w:hAnsi="黑体" w:eastAsia="黑体"/>
          <w:b/>
          <w:bCs/>
          <w:sz w:val="28"/>
          <w:szCs w:val="28"/>
        </w:rPr>
        <w:t>理财产品</w:t>
      </w:r>
    </w:p>
    <w:p>
      <w:pPr>
        <w:adjustRightInd w:val="0"/>
        <w:spacing w:line="276" w:lineRule="auto"/>
        <w:ind w:firstLine="422"/>
        <w:jc w:val="center"/>
        <w:rPr>
          <w:rFonts w:ascii="黑体" w:hAnsi="黑体" w:eastAsia="黑体"/>
          <w:b/>
          <w:bCs/>
          <w:sz w:val="28"/>
          <w:szCs w:val="28"/>
        </w:rPr>
      </w:pPr>
      <w:r>
        <w:rPr>
          <w:rFonts w:ascii="黑体" w:hAnsi="黑体" w:eastAsia="黑体"/>
          <w:b/>
          <w:bCs/>
          <w:sz w:val="28"/>
          <w:szCs w:val="28"/>
        </w:rPr>
        <w:t>风险揭示书</w:t>
      </w:r>
    </w:p>
    <w:p>
      <w:pPr>
        <w:autoSpaceDE w:val="0"/>
        <w:autoSpaceDN w:val="0"/>
        <w:adjustRightInd w:val="0"/>
        <w:snapToGrid w:val="0"/>
        <w:spacing w:before="156" w:beforeLines="50" w:line="320" w:lineRule="exact"/>
        <w:jc w:val="center"/>
        <w:rPr>
          <w:rFonts w:ascii="宋体" w:hAnsi="宋体"/>
          <w:b/>
          <w:sz w:val="24"/>
        </w:rPr>
      </w:pPr>
      <w:r>
        <w:rPr>
          <w:rFonts w:hint="eastAsia" w:ascii="宋体" w:hAnsi="宋体"/>
          <w:b/>
          <w:sz w:val="24"/>
        </w:rPr>
        <w:t>理财非存款、产品有风险、投资须谨慎</w:t>
      </w:r>
    </w:p>
    <w:p>
      <w:pPr>
        <w:rPr>
          <w:rFonts w:ascii="宋体" w:hAnsi="宋体" w:cs="仿宋_GB2312"/>
          <w:b/>
          <w:kern w:val="0"/>
          <w:sz w:val="18"/>
          <w:szCs w:val="18"/>
        </w:rPr>
      </w:pPr>
      <w:r>
        <w:rPr>
          <w:rFonts w:hint="eastAsia" w:ascii="宋体" w:hAnsi="宋体" w:cs="仿宋_GB2312"/>
          <w:b/>
          <w:kern w:val="0"/>
          <w:sz w:val="18"/>
          <w:szCs w:val="18"/>
        </w:rPr>
        <w:t>尊敬的投资者：</w:t>
      </w:r>
    </w:p>
    <w:p>
      <w:pPr>
        <w:ind w:firstLine="448" w:firstLineChars="249"/>
        <w:rPr>
          <w:rFonts w:ascii="宋体" w:hAnsi="宋体" w:cs="仿宋_GB2312"/>
          <w:kern w:val="0"/>
          <w:sz w:val="18"/>
          <w:szCs w:val="18"/>
        </w:rPr>
      </w:pPr>
      <w:r>
        <w:rPr>
          <w:rFonts w:hint="eastAsia" w:ascii="宋体" w:hAnsi="宋体" w:cs="仿宋_GB2312"/>
          <w:kern w:val="0"/>
          <w:sz w:val="18"/>
          <w:szCs w:val="18"/>
        </w:rPr>
        <w:t>本理财产品不保证理财本金的安全及理财收益。在您选择购买本产品前，请仔细阅读以下内容：</w:t>
      </w:r>
    </w:p>
    <w:p>
      <w:pPr>
        <w:autoSpaceDE w:val="0"/>
        <w:autoSpaceDN w:val="0"/>
        <w:adjustRightInd w:val="0"/>
        <w:ind w:firstLine="420"/>
        <w:jc w:val="left"/>
        <w:rPr>
          <w:rFonts w:ascii="宋体" w:hAnsi="宋体"/>
          <w:sz w:val="18"/>
          <w:szCs w:val="18"/>
        </w:rPr>
      </w:pPr>
      <w:r>
        <w:rPr>
          <w:rFonts w:hint="eastAsia" w:ascii="宋体" w:hAnsi="宋体"/>
          <w:b/>
          <w:sz w:val="18"/>
          <w:szCs w:val="18"/>
        </w:rPr>
        <w:t>一</w:t>
      </w:r>
      <w:r>
        <w:rPr>
          <w:rFonts w:hint="eastAsia" w:ascii="宋体" w:hAnsi="宋体"/>
          <w:sz w:val="18"/>
          <w:szCs w:val="18"/>
        </w:rPr>
        <w:t>、</w:t>
      </w:r>
      <w:r>
        <w:rPr>
          <w:rFonts w:hint="eastAsia" w:ascii="黑体" w:hAnsi="黑体" w:eastAsia="黑体" w:cs="仿宋_GB2312"/>
          <w:bCs/>
          <w:kern w:val="0"/>
          <w:sz w:val="18"/>
          <w:szCs w:val="18"/>
        </w:rPr>
        <w:t>★</w:t>
      </w:r>
      <w:r>
        <w:rPr>
          <w:rFonts w:hint="eastAsia" w:ascii="黑体" w:hAnsi="黑体" w:eastAsia="黑体"/>
          <w:sz w:val="18"/>
          <w:szCs w:val="18"/>
        </w:rPr>
        <w:t>《投资协议书》《产品说明书》《（代理）销售协议书》</w:t>
      </w:r>
      <w:r>
        <w:rPr>
          <w:rFonts w:hint="eastAsia" w:ascii="黑体" w:hAnsi="黑体" w:eastAsia="黑体"/>
          <w:sz w:val="18"/>
        </w:rPr>
        <w:t>《风险揭示书》《投资者权益须知》</w:t>
      </w:r>
      <w:r>
        <w:rPr>
          <w:rFonts w:hint="eastAsia" w:ascii="黑体" w:hAnsi="黑体" w:eastAsia="黑体"/>
          <w:sz w:val="18"/>
          <w:szCs w:val="18"/>
        </w:rPr>
        <w:t>等有关文件共同构成一份完整且</w:t>
      </w:r>
      <w:r>
        <w:rPr>
          <w:rFonts w:hint="eastAsia" w:ascii="黑体" w:hAnsi="黑体" w:eastAsia="黑体"/>
          <w:sz w:val="18"/>
        </w:rPr>
        <w:t>不可分割的</w:t>
      </w:r>
      <w:r>
        <w:rPr>
          <w:rFonts w:hint="eastAsia" w:ascii="黑体" w:hAnsi="黑体" w:eastAsia="黑体"/>
          <w:sz w:val="18"/>
          <w:szCs w:val="18"/>
        </w:rPr>
        <w:t>理财产品销售文件</w:t>
      </w:r>
      <w:r>
        <w:rPr>
          <w:rFonts w:hint="eastAsia" w:ascii="宋体" w:hAnsi="宋体"/>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pPr>
        <w:ind w:firstLine="448" w:firstLineChars="249"/>
        <w:rPr>
          <w:rFonts w:ascii="宋体" w:hAnsi="宋体" w:cs="仿宋_GB2312"/>
          <w:kern w:val="0"/>
          <w:sz w:val="18"/>
          <w:szCs w:val="18"/>
        </w:rPr>
      </w:pPr>
      <w:r>
        <w:rPr>
          <w:rFonts w:hint="eastAsia" w:ascii="黑体" w:hAnsi="黑体" w:eastAsia="黑体" w:cs="仿宋_GB2312"/>
          <w:kern w:val="0"/>
          <w:sz w:val="18"/>
          <w:szCs w:val="18"/>
        </w:rPr>
        <w:t>二、</w:t>
      </w:r>
      <w:r>
        <w:rPr>
          <w:rFonts w:hint="eastAsia" w:ascii="黑体" w:hAnsi="黑体" w:eastAsia="黑体" w:cs="仿宋_GB2312"/>
          <w:bCs/>
          <w:kern w:val="0"/>
          <w:sz w:val="18"/>
          <w:szCs w:val="18"/>
        </w:rPr>
        <w:t>★</w:t>
      </w:r>
      <w:r>
        <w:rPr>
          <w:rFonts w:hint="eastAsia" w:ascii="宋体" w:hAnsi="宋体" w:cs="仿宋_GB2312"/>
          <w:kern w:val="0"/>
          <w:sz w:val="18"/>
          <w:szCs w:val="18"/>
        </w:rPr>
        <w:t>本产品基本信息</w:t>
      </w:r>
    </w:p>
    <w:p>
      <w:pPr>
        <w:ind w:firstLine="448" w:firstLineChars="249"/>
        <w:rPr>
          <w:rFonts w:ascii="宋体" w:hAnsi="宋体" w:cs="仿宋_GB2312"/>
          <w:kern w:val="0"/>
          <w:sz w:val="18"/>
          <w:szCs w:val="18"/>
        </w:rPr>
      </w:pPr>
      <w:r>
        <w:rPr>
          <w:rFonts w:hint="eastAsia" w:ascii="宋体" w:hAnsi="宋体" w:cs="仿宋_GB2312"/>
          <w:kern w:val="0"/>
          <w:sz w:val="18"/>
          <w:szCs w:val="18"/>
        </w:rPr>
        <w:t>（一）产品名称、</w:t>
      </w:r>
      <w:r>
        <w:rPr>
          <w:rFonts w:ascii="宋体" w:hAnsi="宋体" w:cs="仿宋_GB2312"/>
          <w:kern w:val="0"/>
          <w:sz w:val="18"/>
          <w:szCs w:val="18"/>
        </w:rPr>
        <w:t>销售名称及产品登记编码</w:t>
      </w:r>
    </w:p>
    <w:p>
      <w:pPr>
        <w:ind w:firstLine="448" w:firstLineChars="249"/>
        <w:rPr>
          <w:rFonts w:ascii="宋体" w:hAnsi="宋体" w:cs="仿宋_GB2312"/>
          <w:kern w:val="0"/>
          <w:sz w:val="18"/>
          <w:szCs w:val="18"/>
        </w:rPr>
      </w:pPr>
      <w:r>
        <w:rPr>
          <w:rFonts w:hint="eastAsia" w:ascii="宋体" w:hAnsi="宋体" w:cs="仿宋_GB2312"/>
          <w:kern w:val="0"/>
          <w:sz w:val="18"/>
          <w:szCs w:val="18"/>
        </w:rPr>
        <w:t>产品名称</w:t>
      </w:r>
      <w:r>
        <w:rPr>
          <w:rFonts w:ascii="宋体" w:hAnsi="宋体" w:cs="仿宋_GB2312"/>
          <w:kern w:val="0"/>
          <w:sz w:val="18"/>
          <w:szCs w:val="18"/>
        </w:rPr>
        <w:t>：</w:t>
      </w:r>
      <w:r>
        <w:rPr>
          <w:rFonts w:hint="eastAsia" w:ascii="宋体" w:hAnsi="宋体" w:cs="仿宋_GB2312"/>
          <w:kern w:val="0"/>
          <w:sz w:val="18"/>
          <w:szCs w:val="18"/>
        </w:rPr>
        <w:t>【</w:t>
      </w:r>
      <w:r>
        <w:rPr>
          <w:rFonts w:hint="eastAsia" w:asciiTheme="minorEastAsia" w:hAnsiTheme="minorEastAsia"/>
          <w:sz w:val="18"/>
          <w:szCs w:val="18"/>
        </w:rPr>
        <w:t>兴银理财添利天天利</w:t>
      </w:r>
      <w:r>
        <w:rPr>
          <w:rFonts w:hint="eastAsia" w:asciiTheme="minorEastAsia" w:hAnsiTheme="minorEastAsia"/>
          <w:sz w:val="18"/>
          <w:szCs w:val="18"/>
          <w:lang w:val="en-US" w:eastAsia="zh-CN"/>
        </w:rPr>
        <w:t>51</w:t>
      </w:r>
      <w:r>
        <w:rPr>
          <w:rFonts w:hint="eastAsia" w:asciiTheme="minorEastAsia" w:hAnsiTheme="minorEastAsia"/>
          <w:sz w:val="18"/>
          <w:szCs w:val="18"/>
        </w:rPr>
        <w:t>号现金管理型理财产品</w:t>
      </w:r>
      <w:r>
        <w:rPr>
          <w:rFonts w:hint="eastAsia" w:ascii="宋体" w:hAnsi="宋体" w:cs="仿宋_GB2312"/>
          <w:kern w:val="0"/>
          <w:sz w:val="18"/>
          <w:szCs w:val="18"/>
        </w:rPr>
        <w:t>】</w:t>
      </w:r>
    </w:p>
    <w:p>
      <w:pPr>
        <w:ind w:firstLine="448" w:firstLineChars="249"/>
        <w:rPr>
          <w:rFonts w:ascii="宋体" w:hAnsi="宋体" w:cs="仿宋_GB2312"/>
          <w:kern w:val="0"/>
          <w:sz w:val="18"/>
          <w:szCs w:val="18"/>
        </w:rPr>
      </w:pPr>
      <w:r>
        <w:rPr>
          <w:rFonts w:hint="eastAsia" w:ascii="宋体" w:hAnsi="宋体" w:cs="仿宋_GB2312"/>
          <w:kern w:val="0"/>
          <w:sz w:val="18"/>
          <w:szCs w:val="18"/>
        </w:rPr>
        <w:t>销售</w:t>
      </w:r>
      <w:r>
        <w:rPr>
          <w:rFonts w:ascii="宋体" w:hAnsi="宋体" w:cs="仿宋_GB2312"/>
          <w:kern w:val="0"/>
          <w:sz w:val="18"/>
          <w:szCs w:val="18"/>
        </w:rPr>
        <w:t>名称：</w:t>
      </w:r>
      <w:r>
        <w:rPr>
          <w:rFonts w:hint="eastAsia" w:asciiTheme="majorEastAsia" w:hAnsiTheme="majorEastAsia" w:eastAsiaTheme="majorEastAsia"/>
          <w:bCs/>
          <w:kern w:val="0"/>
          <w:sz w:val="18"/>
          <w:szCs w:val="18"/>
        </w:rPr>
        <w:t>【</w:t>
      </w:r>
      <w:r>
        <w:rPr>
          <w:rFonts w:hint="eastAsia" w:asciiTheme="minorEastAsia" w:hAnsiTheme="minorEastAsia"/>
          <w:sz w:val="18"/>
          <w:szCs w:val="18"/>
        </w:rPr>
        <w:t>兴银添利天天利51号</w:t>
      </w:r>
      <w:r>
        <w:rPr>
          <w:rFonts w:hint="eastAsia" w:asciiTheme="minorEastAsia" w:hAnsiTheme="minorEastAsia"/>
          <w:sz w:val="18"/>
          <w:szCs w:val="18"/>
          <w:lang w:val="en-US" w:eastAsia="zh-CN"/>
        </w:rPr>
        <w:t>C</w:t>
      </w:r>
      <w:r>
        <w:rPr>
          <w:rFonts w:hint="eastAsia" w:asciiTheme="majorEastAsia" w:hAnsiTheme="majorEastAsia" w:eastAsiaTheme="majorEastAsia"/>
          <w:bCs/>
          <w:kern w:val="0"/>
          <w:sz w:val="18"/>
          <w:szCs w:val="18"/>
        </w:rPr>
        <w:t>】</w:t>
      </w:r>
      <w:r>
        <w:rPr>
          <w:rFonts w:hint="eastAsia" w:ascii="宋体" w:hAnsi="宋体" w:cs="仿宋_GB2312"/>
          <w:kern w:val="0"/>
          <w:sz w:val="18"/>
          <w:szCs w:val="18"/>
        </w:rPr>
        <w:t>（适用【</w:t>
      </w:r>
      <w:r>
        <w:rPr>
          <w:rFonts w:hint="eastAsia" w:ascii="宋体" w:hAnsi="宋体" w:cs="仿宋_GB2312"/>
          <w:kern w:val="0"/>
          <w:sz w:val="18"/>
          <w:szCs w:val="18"/>
          <w:lang w:val="en-US" w:eastAsia="zh-CN"/>
        </w:rPr>
        <w:t>C</w:t>
      </w:r>
      <w:r>
        <w:rPr>
          <w:rFonts w:hint="eastAsia" w:ascii="宋体" w:hAnsi="宋体" w:cs="仿宋_GB2312"/>
          <w:kern w:val="0"/>
          <w:sz w:val="18"/>
          <w:szCs w:val="18"/>
        </w:rPr>
        <w:t>】类份额）</w:t>
      </w:r>
    </w:p>
    <w:p>
      <w:pPr>
        <w:ind w:firstLine="448" w:firstLineChars="249"/>
        <w:rPr>
          <w:rFonts w:ascii="宋体" w:hAnsi="宋体" w:cs="仿宋_GB2312"/>
          <w:kern w:val="0"/>
          <w:sz w:val="18"/>
          <w:szCs w:val="18"/>
        </w:rPr>
      </w:pPr>
      <w:r>
        <w:rPr>
          <w:rFonts w:ascii="宋体" w:hAnsi="宋体" w:cs="仿宋_GB2312"/>
          <w:kern w:val="0"/>
          <w:sz w:val="18"/>
          <w:szCs w:val="18"/>
        </w:rPr>
        <w:t>产品登记编码</w:t>
      </w:r>
      <w:r>
        <w:rPr>
          <w:rFonts w:hint="eastAsia" w:ascii="宋体" w:hAnsi="宋体" w:cs="仿宋_GB2312"/>
          <w:kern w:val="0"/>
          <w:sz w:val="18"/>
          <w:szCs w:val="18"/>
        </w:rPr>
        <w:t>：【</w:t>
      </w:r>
      <w:r>
        <w:rPr>
          <w:rFonts w:hint="eastAsia" w:ascii="宋体" w:hAnsi="宋体"/>
          <w:bCs/>
          <w:sz w:val="18"/>
          <w:szCs w:val="18"/>
        </w:rPr>
        <w:t>Z7002025000121</w:t>
      </w:r>
      <w:r>
        <w:rPr>
          <w:rFonts w:hint="eastAsia" w:ascii="宋体" w:hAnsi="宋体" w:cs="仿宋_GB2312"/>
          <w:kern w:val="0"/>
          <w:sz w:val="18"/>
          <w:szCs w:val="18"/>
        </w:rPr>
        <w:t>】</w:t>
      </w:r>
    </w:p>
    <w:p>
      <w:pPr>
        <w:ind w:firstLine="448" w:firstLineChars="249"/>
        <w:rPr>
          <w:rFonts w:ascii="宋体" w:hAnsi="宋体" w:cs="仿宋_GB2312"/>
          <w:kern w:val="0"/>
          <w:sz w:val="18"/>
          <w:szCs w:val="18"/>
        </w:rPr>
      </w:pPr>
      <w:r>
        <w:rPr>
          <w:rFonts w:hint="eastAsia" w:ascii="宋体" w:hAnsi="宋体" w:cs="仿宋_GB2312"/>
          <w:kern w:val="0"/>
          <w:sz w:val="18"/>
          <w:szCs w:val="18"/>
        </w:rPr>
        <w:t>（二）产品</w:t>
      </w:r>
      <w:r>
        <w:rPr>
          <w:rFonts w:ascii="宋体" w:hAnsi="宋体" w:cs="仿宋_GB2312"/>
          <w:kern w:val="0"/>
          <w:sz w:val="18"/>
          <w:szCs w:val="18"/>
        </w:rPr>
        <w:t>类型</w:t>
      </w:r>
    </w:p>
    <w:p>
      <w:pPr>
        <w:ind w:firstLine="448" w:firstLineChars="249"/>
        <w:rPr>
          <w:rFonts w:ascii="宋体" w:hAnsi="宋体" w:cs="仿宋_GB2312"/>
          <w:kern w:val="0"/>
          <w:sz w:val="18"/>
          <w:szCs w:val="18"/>
        </w:rPr>
      </w:pPr>
      <w:r>
        <w:rPr>
          <w:rFonts w:hint="eastAsia" w:ascii="宋体" w:hAnsi="宋体" w:cs="仿宋_GB2312"/>
          <w:kern w:val="0"/>
          <w:sz w:val="18"/>
          <w:szCs w:val="18"/>
        </w:rPr>
        <w:t>【公募、开放式、固定收益</w:t>
      </w:r>
      <w:r>
        <w:rPr>
          <w:rFonts w:ascii="宋体" w:hAnsi="宋体" w:cs="仿宋_GB2312"/>
          <w:kern w:val="0"/>
          <w:sz w:val="18"/>
          <w:szCs w:val="18"/>
        </w:rPr>
        <w:t>类</w:t>
      </w:r>
      <w:r>
        <w:rPr>
          <w:rFonts w:hint="eastAsia" w:ascii="宋体" w:hAnsi="宋体" w:cs="仿宋_GB2312"/>
          <w:kern w:val="0"/>
          <w:sz w:val="18"/>
          <w:szCs w:val="18"/>
        </w:rPr>
        <w:t>、非保本浮动</w:t>
      </w:r>
      <w:r>
        <w:rPr>
          <w:rFonts w:ascii="宋体" w:hAnsi="宋体" w:cs="仿宋_GB2312"/>
          <w:kern w:val="0"/>
          <w:sz w:val="18"/>
          <w:szCs w:val="18"/>
        </w:rPr>
        <w:t>收益</w:t>
      </w:r>
      <w:r>
        <w:rPr>
          <w:rFonts w:hint="eastAsia" w:ascii="宋体" w:hAnsi="宋体" w:cs="仿宋_GB2312"/>
          <w:kern w:val="0"/>
          <w:sz w:val="18"/>
          <w:szCs w:val="18"/>
        </w:rPr>
        <w:t>、净值型】理财产品。</w:t>
      </w:r>
    </w:p>
    <w:p>
      <w:pPr>
        <w:ind w:firstLine="448" w:firstLineChars="249"/>
        <w:rPr>
          <w:rFonts w:ascii="宋体" w:hAnsi="宋体" w:cs="仿宋_GB2312"/>
          <w:kern w:val="0"/>
          <w:sz w:val="18"/>
          <w:szCs w:val="18"/>
        </w:rPr>
      </w:pPr>
      <w:r>
        <w:rPr>
          <w:rFonts w:hint="eastAsia" w:ascii="宋体" w:hAnsi="宋体" w:cs="仿宋_GB2312"/>
          <w:kern w:val="0"/>
          <w:sz w:val="18"/>
          <w:szCs w:val="18"/>
        </w:rPr>
        <w:t>（三）产品</w:t>
      </w:r>
      <w:r>
        <w:rPr>
          <w:rFonts w:ascii="宋体" w:hAnsi="宋体" w:cs="仿宋_GB2312"/>
          <w:kern w:val="0"/>
          <w:sz w:val="18"/>
          <w:szCs w:val="18"/>
        </w:rPr>
        <w:t>期限</w:t>
      </w:r>
    </w:p>
    <w:p>
      <w:pPr>
        <w:ind w:firstLine="448" w:firstLineChars="249"/>
        <w:rPr>
          <w:rFonts w:ascii="宋体" w:hAnsi="宋体" w:cs="仿宋_GB2312"/>
          <w:kern w:val="0"/>
          <w:sz w:val="18"/>
          <w:szCs w:val="18"/>
        </w:rPr>
      </w:pPr>
      <w:r>
        <w:rPr>
          <w:rFonts w:hint="eastAsia" w:ascii="宋体" w:hAnsi="宋体" w:cs="仿宋_GB2312"/>
          <w:kern w:val="0"/>
          <w:sz w:val="18"/>
          <w:szCs w:val="18"/>
        </w:rPr>
        <w:t>【无固定</w:t>
      </w:r>
      <w:r>
        <w:rPr>
          <w:rFonts w:ascii="宋体" w:hAnsi="宋体" w:cs="仿宋_GB2312"/>
          <w:kern w:val="0"/>
          <w:sz w:val="18"/>
          <w:szCs w:val="18"/>
        </w:rPr>
        <w:t>期限</w:t>
      </w:r>
      <w:r>
        <w:rPr>
          <w:rFonts w:hint="eastAsia" w:ascii="宋体" w:hAnsi="宋体" w:cs="仿宋_GB2312"/>
          <w:kern w:val="0"/>
          <w:sz w:val="18"/>
          <w:szCs w:val="18"/>
        </w:rPr>
        <w:t>】</w:t>
      </w:r>
      <w:r>
        <w:rPr>
          <w:rFonts w:ascii="宋体" w:hAnsi="宋体" w:cs="仿宋_GB2312"/>
          <w:kern w:val="0"/>
          <w:sz w:val="18"/>
          <w:szCs w:val="18"/>
        </w:rPr>
        <w:t>。</w:t>
      </w:r>
    </w:p>
    <w:p>
      <w:pPr>
        <w:ind w:firstLine="498" w:firstLineChars="249"/>
        <w:rPr>
          <w:rFonts w:ascii="宋体" w:hAnsi="宋体" w:cs="仿宋_GB2312"/>
          <w:kern w:val="0"/>
          <w:sz w:val="18"/>
          <w:szCs w:val="18"/>
        </w:rPr>
      </w:pPr>
      <w:r>
        <w:rPr>
          <w:rFonts w:hint="eastAsia" w:ascii="宋体" w:hAnsiTheme="minorHAnsi"/>
          <w:color w:val="000000"/>
          <w:kern w:val="0"/>
          <w:sz w:val="20"/>
          <w:szCs w:val="20"/>
        </w:rPr>
        <w:t>本产品其他信息详见《产品说明书》。</w:t>
      </w:r>
    </w:p>
    <w:p>
      <w:pPr>
        <w:ind w:firstLine="448" w:firstLineChars="249"/>
        <w:rPr>
          <w:rFonts w:ascii="黑体" w:hAnsi="黑体" w:eastAsia="黑体"/>
          <w:sz w:val="18"/>
          <w:szCs w:val="18"/>
        </w:rPr>
      </w:pPr>
      <w:r>
        <w:rPr>
          <w:rFonts w:hint="eastAsia" w:ascii="黑体" w:hAnsi="黑体" w:eastAsia="黑体"/>
          <w:sz w:val="18"/>
          <w:szCs w:val="18"/>
        </w:rPr>
        <w:t>产品管理人对本产品的理财本金和收益不提供保证承诺</w:t>
      </w:r>
      <w:r>
        <w:rPr>
          <w:rFonts w:hint="eastAsia" w:ascii="黑体" w:hAnsi="黑体" w:eastAsia="黑体"/>
          <w:bCs/>
          <w:sz w:val="18"/>
          <w:szCs w:val="18"/>
        </w:rPr>
        <w:t>，</w:t>
      </w:r>
      <w:r>
        <w:rPr>
          <w:rFonts w:hint="eastAsia" w:ascii="黑体" w:hAnsi="黑体" w:eastAsia="黑体"/>
          <w:sz w:val="18"/>
          <w:szCs w:val="18"/>
        </w:rPr>
        <w:t>在发生最不利的情况下（可能但不一定发生），投资者可能无法取得理财收益，并可能面临损失理财本金的风险。</w:t>
      </w:r>
    </w:p>
    <w:p>
      <w:pPr>
        <w:ind w:firstLine="448" w:firstLineChars="249"/>
        <w:rPr>
          <w:rFonts w:ascii="宋体" w:hAnsi="宋体" w:cs="仿宋_GB2312"/>
          <w:kern w:val="0"/>
          <w:sz w:val="18"/>
          <w:szCs w:val="18"/>
        </w:rPr>
      </w:pPr>
      <w:r>
        <w:rPr>
          <w:rFonts w:hint="eastAsia" w:ascii="黑体" w:hAnsi="黑体" w:eastAsia="黑体" w:cs="仿宋_GB2312"/>
          <w:bCs/>
          <w:kern w:val="0"/>
          <w:sz w:val="18"/>
          <w:szCs w:val="18"/>
        </w:rPr>
        <w:t>三、</w:t>
      </w:r>
      <w:r>
        <w:rPr>
          <w:rFonts w:hint="eastAsia" w:ascii="宋体" w:hAnsi="宋体" w:cs="仿宋_GB2312"/>
          <w:kern w:val="0"/>
          <w:sz w:val="18"/>
          <w:szCs w:val="18"/>
        </w:rPr>
        <w:t>本产品的风险评级及适合投资者风险承受能力</w:t>
      </w:r>
    </w:p>
    <w:p>
      <w:pPr>
        <w:ind w:firstLine="448" w:firstLineChars="249"/>
        <w:rPr>
          <w:rFonts w:ascii="宋体" w:hAnsi="宋体" w:cs="仿宋_GB2312"/>
          <w:kern w:val="0"/>
          <w:sz w:val="18"/>
          <w:szCs w:val="18"/>
        </w:rPr>
      </w:pPr>
      <w:r>
        <w:rPr>
          <w:rFonts w:hint="eastAsia" w:ascii="宋体" w:hAnsi="宋体" w:cs="仿宋_GB2312"/>
          <w:kern w:val="0"/>
          <w:sz w:val="18"/>
          <w:szCs w:val="18"/>
        </w:rPr>
        <w:t>（一）产品风险评级</w:t>
      </w:r>
    </w:p>
    <w:p>
      <w:pPr>
        <w:ind w:firstLine="448" w:firstLineChars="249"/>
        <w:rPr>
          <w:rFonts w:ascii="宋体" w:hAnsi="宋体" w:cs="仿宋_GB2312"/>
          <w:kern w:val="0"/>
          <w:sz w:val="18"/>
          <w:szCs w:val="18"/>
        </w:rPr>
      </w:pPr>
      <w:r>
        <w:rPr>
          <w:rFonts w:hint="eastAsia" w:ascii="宋体" w:hAnsi="宋体" w:cs="仿宋_GB2312"/>
          <w:kern w:val="0"/>
          <w:sz w:val="18"/>
          <w:szCs w:val="18"/>
        </w:rPr>
        <w:t>本理财产品风险评级最终定义为【R1</w:t>
      </w:r>
      <w:r>
        <w:rPr>
          <w:rFonts w:ascii="宋体" w:hAnsi="宋体" w:cs="仿宋_GB2312"/>
          <w:kern w:val="0"/>
          <w:sz w:val="18"/>
          <w:szCs w:val="18"/>
        </w:rPr>
        <w:t>】</w:t>
      </w:r>
      <w:r>
        <w:rPr>
          <w:rFonts w:hint="eastAsia" w:ascii="宋体" w:hAnsi="宋体" w:cs="仿宋_GB2312"/>
          <w:kern w:val="0"/>
          <w:sz w:val="18"/>
          <w:szCs w:val="18"/>
        </w:rPr>
        <w:t>（产品管理人定义的产品风险评级为【</w:t>
      </w:r>
      <w:r>
        <w:rPr>
          <w:rFonts w:hint="eastAsia" w:ascii="宋体" w:hAnsi="宋体" w:cs="仿宋_GB2312"/>
          <w:kern w:val="0"/>
          <w:sz w:val="18"/>
          <w:szCs w:val="18"/>
          <w:lang w:val="en-US" w:eastAsia="zh-CN"/>
        </w:rPr>
        <w:t>R1</w:t>
      </w:r>
      <w:r>
        <w:rPr>
          <w:rFonts w:hint="eastAsia" w:ascii="宋体" w:hAnsi="宋体" w:cs="仿宋_GB2312"/>
          <w:kern w:val="0"/>
          <w:sz w:val="18"/>
          <w:szCs w:val="18"/>
        </w:rPr>
        <w:t>】；代理销售机构定义的产品风险评级为【</w:t>
      </w:r>
      <w:r>
        <w:rPr>
          <w:rFonts w:hint="eastAsia" w:ascii="宋体" w:hAnsi="宋体" w:cs="仿宋_GB2312"/>
          <w:kern w:val="0"/>
          <w:sz w:val="18"/>
          <w:szCs w:val="18"/>
          <w:lang w:val="en-US" w:eastAsia="zh-CN"/>
        </w:rPr>
        <w:t>R1</w:t>
      </w:r>
      <w:r>
        <w:rPr>
          <w:rFonts w:hint="eastAsia" w:ascii="宋体" w:hAnsi="宋体" w:cs="仿宋_GB2312"/>
          <w:kern w:val="0"/>
          <w:sz w:val="18"/>
          <w:szCs w:val="18"/>
        </w:rPr>
        <w:t>】）。</w:t>
      </w:r>
      <w:r>
        <w:rPr>
          <w:rFonts w:hint="eastAsia" w:asciiTheme="majorEastAsia" w:hAnsiTheme="majorEastAsia" w:eastAsiaTheme="major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pPr>
        <w:ind w:firstLine="448" w:firstLineChars="249"/>
        <w:rPr>
          <w:rFonts w:ascii="宋体" w:hAnsi="宋体" w:cs="仿宋_GB2312"/>
          <w:kern w:val="0"/>
          <w:sz w:val="18"/>
          <w:szCs w:val="18"/>
        </w:rPr>
      </w:pPr>
      <w:r>
        <w:rPr>
          <w:rFonts w:hint="eastAsia" w:ascii="宋体" w:hAnsi="宋体" w:cs="仿宋_GB2312"/>
          <w:kern w:val="0"/>
          <w:sz w:val="18"/>
          <w:szCs w:val="18"/>
        </w:rPr>
        <w:t>（二）适合投资者类型</w:t>
      </w:r>
    </w:p>
    <w:p>
      <w:pPr>
        <w:ind w:firstLine="360" w:firstLineChars="200"/>
        <w:rPr>
          <w:rFonts w:asciiTheme="majorEastAsia" w:hAnsiTheme="majorEastAsia" w:eastAsiaTheme="majorEastAsia"/>
          <w:bCs/>
          <w:color w:val="000000" w:themeColor="text1"/>
          <w:sz w:val="18"/>
          <w:szCs w:val="18"/>
          <w14:textFill>
            <w14:solidFill>
              <w14:schemeClr w14:val="tx1"/>
            </w14:solidFill>
          </w14:textFill>
        </w:rPr>
      </w:pPr>
      <w:r>
        <w:rPr>
          <w:rFonts w:hint="eastAsia" w:ascii="宋体" w:hAnsi="宋体" w:cs="仿宋_GB2312"/>
          <w:kern w:val="0"/>
          <w:sz w:val="18"/>
          <w:szCs w:val="18"/>
        </w:rPr>
        <w:t>1.</w:t>
      </w:r>
      <w:r>
        <w:rPr>
          <w:rFonts w:hint="eastAsia" w:asciiTheme="majorEastAsia" w:hAnsiTheme="majorEastAsia" w:eastAsiaTheme="majorEastAsia"/>
          <w:bCs/>
          <w:color w:val="000000" w:themeColor="text1"/>
          <w:sz w:val="18"/>
          <w:szCs w:val="18"/>
          <w14:textFill>
            <w14:solidFill>
              <w14:schemeClr w14:val="tx1"/>
            </w14:solidFill>
          </w14:textFill>
        </w:rPr>
        <w:t>销售机构认为本产品适合以下投资者类型：</w:t>
      </w:r>
    </w:p>
    <w:p>
      <w:pPr>
        <w:ind w:firstLine="360" w:firstLineChars="200"/>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color w:val="000000" w:themeColor="text1"/>
          <w:sz w:val="18"/>
          <w:szCs w:val="18"/>
          <w14:textFill>
            <w14:solidFill>
              <w14:schemeClr w14:val="tx1"/>
            </w14:solidFill>
          </w14:textFill>
        </w:rPr>
        <w:t>■个人投资者</w:t>
      </w:r>
      <w:r>
        <w:rPr>
          <w:rFonts w:asciiTheme="majorEastAsia" w:hAnsiTheme="majorEastAsia" w:eastAsiaTheme="majorEastAsia"/>
          <w:bCs/>
          <w:color w:val="000000" w:themeColor="text1"/>
          <w:sz w:val="18"/>
          <w:szCs w:val="18"/>
          <w14:textFill>
            <w14:solidFill>
              <w14:schemeClr w14:val="tx1"/>
            </w14:solidFill>
          </w14:textFill>
        </w:rPr>
        <w:t>：</w:t>
      </w:r>
      <w:r>
        <w:rPr>
          <w:rFonts w:hint="eastAsia" w:asciiTheme="majorEastAsia" w:hAnsiTheme="majorEastAsia" w:eastAsiaTheme="majorEastAsia"/>
          <w:bCs/>
          <w:color w:val="000000" w:themeColor="text1"/>
          <w:sz w:val="18"/>
          <w:szCs w:val="18"/>
          <w14:textFill>
            <w14:solidFill>
              <w14:schemeClr w14:val="tx1"/>
            </w14:solidFill>
          </w14:textFill>
        </w:rPr>
        <w:t>【■</w:t>
      </w:r>
      <w:r>
        <w:rPr>
          <w:rFonts w:asciiTheme="majorEastAsia" w:hAnsiTheme="majorEastAsia" w:eastAsiaTheme="majorEastAsia"/>
          <w:bCs/>
          <w:color w:val="000000" w:themeColor="text1"/>
          <w:sz w:val="18"/>
          <w:szCs w:val="18"/>
          <w14:textFill>
            <w14:solidFill>
              <w14:schemeClr w14:val="tx1"/>
            </w14:solidFill>
          </w14:textFill>
        </w:rPr>
        <w:t xml:space="preserve"> C1、</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C2、</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C3、</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C4、</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C5</w:t>
      </w:r>
      <w:r>
        <w:rPr>
          <w:rFonts w:hint="eastAsia" w:asciiTheme="majorEastAsia" w:hAnsiTheme="majorEastAsia" w:eastAsiaTheme="majorEastAsia"/>
          <w:bCs/>
          <w:color w:val="000000" w:themeColor="text1"/>
          <w:sz w:val="18"/>
          <w:szCs w:val="18"/>
          <w:lang w:eastAsia="zh-CN"/>
          <w14:textFill>
            <w14:solidFill>
              <w14:schemeClr w14:val="tx1"/>
            </w14:solidFill>
          </w14:textFill>
        </w:rPr>
        <w:t>、</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w:t>
      </w:r>
      <w:r>
        <w:rPr>
          <w:rFonts w:hint="eastAsia" w:asciiTheme="majorEastAsia" w:hAnsiTheme="majorEastAsia" w:eastAsiaTheme="majorEastAsia"/>
          <w:bCs/>
          <w:color w:val="000000" w:themeColor="text1"/>
          <w:sz w:val="18"/>
          <w:szCs w:val="18"/>
          <w14:textFill>
            <w14:solidFill>
              <w14:schemeClr w14:val="tx1"/>
            </w14:solidFill>
          </w14:textFill>
        </w:rPr>
        <w:t>6</w:t>
      </w:r>
      <w:r>
        <w:rPr>
          <w:rFonts w:asciiTheme="majorEastAsia" w:hAnsiTheme="majorEastAsia" w:eastAsiaTheme="majorEastAsia"/>
          <w:bCs/>
          <w:color w:val="000000" w:themeColor="text1"/>
          <w:sz w:val="18"/>
          <w:szCs w:val="18"/>
          <w14:textFill>
            <w14:solidFill>
              <w14:schemeClr w14:val="tx1"/>
            </w14:solidFill>
          </w14:textFill>
        </w:rPr>
        <w:t>】</w:t>
      </w:r>
      <w:r>
        <w:rPr>
          <w:rFonts w:hint="eastAsia" w:asciiTheme="majorEastAsia" w:hAnsiTheme="majorEastAsia" w:eastAsiaTheme="majorEastAsia"/>
          <w:bCs/>
          <w:color w:val="000000" w:themeColor="text1"/>
          <w:sz w:val="18"/>
          <w:szCs w:val="18"/>
          <w14:textFill>
            <w14:solidFill>
              <w14:schemeClr w14:val="tx1"/>
            </w14:solidFill>
          </w14:textFill>
        </w:rPr>
        <w:t>。</w:t>
      </w:r>
    </w:p>
    <w:p>
      <w:pPr>
        <w:ind w:firstLine="360" w:firstLineChars="200"/>
        <w:rPr>
          <w:rFonts w:hint="eastAsia" w:asciiTheme="majorEastAsia" w:hAnsiTheme="majorEastAsia" w:eastAsiaTheme="majorEastAsia"/>
          <w:bCs/>
          <w:color w:val="000000" w:themeColor="text1"/>
          <w:sz w:val="18"/>
          <w:szCs w:val="18"/>
          <w:lang w:eastAsia="zh-CN"/>
          <w14:textFill>
            <w14:solidFill>
              <w14:schemeClr w14:val="tx1"/>
            </w14:solidFill>
          </w14:textFill>
        </w:rPr>
      </w:pPr>
      <w:r>
        <w:rPr>
          <w:rFonts w:hint="eastAsia" w:asciiTheme="majorEastAsia" w:hAnsiTheme="majorEastAsia" w:eastAsiaTheme="majorEastAsia"/>
          <w:bCs/>
          <w:color w:val="000000" w:themeColor="text1"/>
          <w:sz w:val="18"/>
          <w:szCs w:val="18"/>
          <w14:textFill>
            <w14:solidFill>
              <w14:schemeClr w14:val="tx1"/>
            </w14:solidFill>
          </w14:textFill>
        </w:rPr>
        <w:t>■机构投资者：■一般机构客户【■</w:t>
      </w:r>
      <w:r>
        <w:rPr>
          <w:rFonts w:asciiTheme="majorEastAsia" w:hAnsiTheme="majorEastAsia" w:eastAsiaTheme="majorEastAsia"/>
          <w:bCs/>
          <w:color w:val="000000" w:themeColor="text1"/>
          <w:sz w:val="18"/>
          <w:szCs w:val="18"/>
          <w14:textFill>
            <w14:solidFill>
              <w14:schemeClr w14:val="tx1"/>
            </w14:solidFill>
          </w14:textFill>
        </w:rPr>
        <w:t xml:space="preserve"> C1、</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C2、</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C3、</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C4、</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C5</w:t>
      </w:r>
      <w:r>
        <w:rPr>
          <w:rFonts w:hint="eastAsia" w:asciiTheme="majorEastAsia" w:hAnsiTheme="majorEastAsia" w:eastAsiaTheme="majorEastAsia"/>
          <w:bCs/>
          <w:color w:val="000000" w:themeColor="text1"/>
          <w:sz w:val="18"/>
          <w:szCs w:val="18"/>
          <w14:textFill>
            <w14:solidFill>
              <w14:schemeClr w14:val="tx1"/>
            </w14:solidFill>
          </w14:textFill>
        </w:rPr>
        <w:t>】，□金融同业客户【□ C1、□ C2、□ C3、□ C4、□ C5】</w:t>
      </w:r>
    </w:p>
    <w:p>
      <w:pPr>
        <w:ind w:firstLine="360" w:firstLineChars="200"/>
        <w:rPr>
          <w:rFonts w:ascii="宋体" w:hAns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rPr>
        <w:t>.销售机构在销售本产品时，其对投资者风险承受能力等级的划分与表述可能与产品管理人存在差异，即采用销售机构设置的标准。</w:t>
      </w:r>
    </w:p>
    <w:p>
      <w:pPr>
        <w:ind w:firstLine="360" w:firstLineChars="200"/>
        <w:rPr>
          <w:rFonts w:ascii="宋体" w:hAnsi="宋体" w:cs="仿宋_GB2312"/>
          <w:kern w:val="0"/>
          <w:sz w:val="18"/>
          <w:szCs w:val="18"/>
        </w:rPr>
      </w:pPr>
      <w:r>
        <w:rPr>
          <w:rFonts w:hint="eastAsia" w:ascii="宋体" w:hAnsi="宋体" w:cs="仿宋_GB2312"/>
          <w:kern w:val="0"/>
          <w:sz w:val="18"/>
          <w:szCs w:val="18"/>
        </w:rPr>
        <w:t>销售机构应以书面的方式向投资者明示其对投资者风险承受能力等级的划分与“适合投资者类型”的表述。</w:t>
      </w:r>
    </w:p>
    <w:p>
      <w:pPr>
        <w:ind w:firstLine="448" w:firstLineChars="249"/>
        <w:rPr>
          <w:rFonts w:ascii="宋体" w:hAnsi="宋体" w:cs="仿宋_GB2312"/>
          <w:kern w:val="0"/>
          <w:sz w:val="18"/>
          <w:szCs w:val="18"/>
        </w:rPr>
      </w:pPr>
      <w:r>
        <w:rPr>
          <w:rFonts w:hint="eastAsia" w:ascii="黑体" w:hAnsi="黑体" w:eastAsia="黑体" w:cs="仿宋_GB2312"/>
          <w:kern w:val="0"/>
          <w:sz w:val="18"/>
          <w:szCs w:val="18"/>
        </w:rPr>
        <w:t>四、</w:t>
      </w:r>
      <w:r>
        <w:rPr>
          <w:rFonts w:hint="eastAsia" w:ascii="宋体" w:hAnsi="宋体" w:cs="仿宋_GB2312"/>
          <w:kern w:val="0"/>
          <w:sz w:val="18"/>
          <w:szCs w:val="18"/>
        </w:rPr>
        <w:t>您应充分认识投资风险，谨慎投资。</w:t>
      </w:r>
    </w:p>
    <w:p>
      <w:pPr>
        <w:ind w:firstLine="361" w:firstLineChars="200"/>
        <w:rPr>
          <w:rFonts w:ascii="宋体" w:hAnsi="宋体"/>
          <w:b/>
          <w:sz w:val="18"/>
          <w:szCs w:val="18"/>
        </w:rPr>
      </w:pPr>
      <w:r>
        <w:rPr>
          <w:rFonts w:hint="eastAsia" w:ascii="宋体" w:hAnsi="宋体"/>
          <w:b/>
          <w:sz w:val="18"/>
          <w:szCs w:val="18"/>
        </w:rPr>
        <w:t>（一）投资者投资本产品可能面临的特定风险主要包括（但不限于）：</w:t>
      </w:r>
    </w:p>
    <w:p>
      <w:pPr>
        <w:ind w:firstLine="448" w:firstLineChars="249"/>
        <w:rPr>
          <w:rFonts w:cs="仿宋_GB2312" w:asciiTheme="minorEastAsia" w:hAnsiTheme="minorEastAsia"/>
          <w:kern w:val="0"/>
          <w:sz w:val="18"/>
          <w:szCs w:val="18"/>
        </w:rPr>
      </w:pPr>
      <w:r>
        <w:rPr>
          <w:rFonts w:hint="eastAsia" w:ascii="宋体" w:hAnsi="宋体"/>
          <w:sz w:val="18"/>
          <w:szCs w:val="18"/>
        </w:rPr>
        <w:t>【</w:t>
      </w:r>
      <w:r>
        <w:rPr>
          <w:rFonts w:hint="eastAsia" w:cs="仿宋_GB2312" w:asciiTheme="minorEastAsia" w:hAnsiTheme="minorEastAsia"/>
          <w:kern w:val="0"/>
          <w:sz w:val="18"/>
          <w:szCs w:val="18"/>
        </w:rPr>
        <w:t>1.拟投资市场和资产的风险：</w:t>
      </w:r>
    </w:p>
    <w:p>
      <w:pPr>
        <w:ind w:firstLine="448" w:firstLineChars="249"/>
        <w:rPr>
          <w:rFonts w:cs="仿宋_GB2312" w:asciiTheme="minorEastAsia" w:hAnsiTheme="minorEastAsia"/>
          <w:kern w:val="0"/>
          <w:sz w:val="18"/>
          <w:szCs w:val="18"/>
        </w:rPr>
      </w:pPr>
      <w:r>
        <w:rPr>
          <w:rFonts w:hint="eastAsia" w:cs="仿宋_GB2312" w:asciiTheme="minorEastAsia" w:hAnsiTheme="minorEastAsia"/>
          <w:kern w:val="0"/>
          <w:sz w:val="18"/>
          <w:szCs w:val="18"/>
        </w:rPr>
        <w:t>（1）投资固定收益类资产的风险</w:t>
      </w:r>
    </w:p>
    <w:p>
      <w:pPr>
        <w:ind w:firstLine="448" w:firstLineChars="249"/>
        <w:rPr>
          <w:rFonts w:cs="仿宋_GB2312" w:asciiTheme="minorEastAsia" w:hAnsiTheme="minorEastAsia"/>
          <w:kern w:val="0"/>
          <w:sz w:val="18"/>
          <w:szCs w:val="18"/>
        </w:rPr>
      </w:pPr>
      <w:r>
        <w:rPr>
          <w:rFonts w:hint="eastAsia" w:cs="仿宋_GB2312" w:asciiTheme="minorEastAsia" w:hAnsiTheme="minorEastAsia"/>
          <w:kern w:val="0"/>
          <w:sz w:val="18"/>
          <w:szCs w:val="18"/>
        </w:rPr>
        <w:t>1）投资标准化债权类资产的风险</w:t>
      </w:r>
    </w:p>
    <w:p>
      <w:pPr>
        <w:ind w:firstLine="448" w:firstLineChars="249"/>
        <w:rPr>
          <w:rFonts w:cs="仿宋_GB2312" w:asciiTheme="minorEastAsia" w:hAnsiTheme="minorEastAsia" w:eastAsiaTheme="minorEastAsia"/>
          <w:kern w:val="0"/>
          <w:sz w:val="18"/>
          <w:szCs w:val="18"/>
        </w:rPr>
      </w:pPr>
      <w:r>
        <w:rPr>
          <w:rFonts w:hint="eastAsia" w:cs="仿宋_GB2312" w:asciiTheme="minorEastAsia" w:hAnsiTheme="minorEastAsia"/>
          <w:kern w:val="0"/>
          <w:sz w:val="18"/>
          <w:szCs w:val="18"/>
        </w:rPr>
        <w:t>本产品投资债券、资产支持证券等固定收益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ind w:firstLine="360" w:firstLineChars="200"/>
        <w:rPr>
          <w:rFonts w:ascii="宋体" w:hAnsi="宋体"/>
          <w:sz w:val="18"/>
          <w:szCs w:val="18"/>
        </w:rPr>
      </w:pPr>
      <w:r>
        <w:rPr>
          <w:rFonts w:hint="eastAsia" w:ascii="宋体" w:hAnsi="宋体"/>
          <w:sz w:val="18"/>
          <w:szCs w:val="18"/>
        </w:rPr>
        <w:t>】</w:t>
      </w:r>
    </w:p>
    <w:p>
      <w:pPr>
        <w:pStyle w:val="14"/>
        <w:ind w:firstLine="361"/>
        <w:rPr>
          <w:rFonts w:ascii="宋体" w:hAnsi="宋体"/>
          <w:sz w:val="18"/>
          <w:szCs w:val="18"/>
        </w:rPr>
      </w:pPr>
      <w:r>
        <w:rPr>
          <w:rFonts w:hint="eastAsia" w:ascii="黑体" w:hAnsi="黑体" w:eastAsia="黑体" w:cs="仿宋_GB2312"/>
          <w:b/>
          <w:kern w:val="0"/>
          <w:sz w:val="18"/>
          <w:szCs w:val="18"/>
        </w:rPr>
        <w:t>★</w:t>
      </w:r>
      <w:r>
        <w:rPr>
          <w:rFonts w:hint="eastAsia" w:ascii="黑体" w:hAnsi="黑体" w:eastAsia="黑体"/>
          <w:sz w:val="18"/>
          <w:szCs w:val="18"/>
        </w:rPr>
        <w:t>注：以上特定风险仅为列举性质，未能详尽列明投资本产品可能面临的全部风险和可能导致投资者投资本金及收益损失的所有因素。</w:t>
      </w:r>
    </w:p>
    <w:p>
      <w:pPr>
        <w:pStyle w:val="14"/>
        <w:ind w:firstLine="426" w:firstLineChars="0"/>
        <w:rPr>
          <w:rFonts w:ascii="宋体" w:hAnsi="宋体"/>
          <w:b/>
          <w:bCs/>
          <w:sz w:val="18"/>
          <w:szCs w:val="18"/>
        </w:rPr>
      </w:pPr>
      <w:r>
        <w:rPr>
          <w:rFonts w:hint="eastAsia" w:ascii="宋体" w:hAnsi="宋体"/>
          <w:b/>
          <w:bCs/>
          <w:sz w:val="18"/>
          <w:szCs w:val="18"/>
        </w:rPr>
        <w:t>（二）投资者投资本产品可能面临的一般风险主要包括（但不限于）：</w:t>
      </w:r>
      <w:r>
        <w:rPr>
          <w:rFonts w:ascii="宋体" w:hAnsi="宋体"/>
          <w:b/>
          <w:bCs/>
          <w:sz w:val="18"/>
          <w:szCs w:val="18"/>
        </w:rPr>
        <w:t xml:space="preserve"> </w:t>
      </w:r>
    </w:p>
    <w:p>
      <w:pPr>
        <w:pStyle w:val="14"/>
        <w:ind w:firstLine="426" w:firstLineChars="0"/>
        <w:rPr>
          <w:rFonts w:ascii="宋体" w:hAnsi="宋体"/>
          <w:b/>
          <w:bCs/>
          <w:sz w:val="18"/>
          <w:szCs w:val="18"/>
        </w:rPr>
      </w:pPr>
      <w:r>
        <w:rPr>
          <w:rFonts w:ascii="宋体" w:hAnsi="宋体"/>
          <w:b/>
          <w:bCs/>
          <w:sz w:val="18"/>
          <w:szCs w:val="18"/>
        </w:rPr>
        <w:t>1</w:t>
      </w:r>
      <w:r>
        <w:rPr>
          <w:rFonts w:hint="eastAsia" w:ascii="宋体" w:hAnsi="宋体"/>
          <w:b/>
          <w:bCs/>
          <w:sz w:val="18"/>
          <w:szCs w:val="18"/>
        </w:rPr>
        <w:t>.</w:t>
      </w:r>
      <w:r>
        <w:rPr>
          <w:rFonts w:ascii="宋体" w:hAnsi="宋体"/>
          <w:b/>
          <w:bCs/>
          <w:sz w:val="18"/>
          <w:szCs w:val="18"/>
        </w:rPr>
        <w:t>信用风险</w:t>
      </w:r>
    </w:p>
    <w:p>
      <w:pPr>
        <w:pStyle w:val="14"/>
        <w:ind w:firstLine="426" w:firstLineChars="0"/>
        <w:rPr>
          <w:rFonts w:ascii="宋体" w:hAnsi="宋体" w:cs="仿宋_GB2312"/>
          <w:kern w:val="0"/>
          <w:sz w:val="18"/>
          <w:szCs w:val="18"/>
        </w:rPr>
      </w:pPr>
      <w:r>
        <w:rPr>
          <w:rFonts w:hint="eastAsia" w:ascii="宋体" w:hAnsi="宋体" w:cs="仿宋_GB2312"/>
          <w:kern w:val="0"/>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pStyle w:val="14"/>
        <w:ind w:firstLine="426" w:firstLineChars="0"/>
        <w:rPr>
          <w:rFonts w:ascii="宋体" w:hAnsi="宋体"/>
          <w:b/>
          <w:bCs/>
          <w:sz w:val="18"/>
          <w:szCs w:val="18"/>
        </w:rPr>
      </w:pPr>
      <w:r>
        <w:rPr>
          <w:rFonts w:ascii="宋体" w:hAnsi="宋体"/>
          <w:b/>
          <w:bCs/>
          <w:sz w:val="18"/>
          <w:szCs w:val="18"/>
        </w:rPr>
        <w:t>2</w:t>
      </w:r>
      <w:r>
        <w:rPr>
          <w:rFonts w:hint="eastAsia" w:ascii="宋体" w:hAnsi="宋体"/>
          <w:b/>
          <w:bCs/>
          <w:sz w:val="18"/>
          <w:szCs w:val="18"/>
        </w:rPr>
        <w:t>.</w:t>
      </w:r>
      <w:r>
        <w:rPr>
          <w:rFonts w:ascii="宋体" w:hAnsi="宋体"/>
          <w:b/>
          <w:bCs/>
          <w:sz w:val="18"/>
          <w:szCs w:val="18"/>
        </w:rPr>
        <w:t>利率风险</w:t>
      </w:r>
    </w:p>
    <w:p>
      <w:pPr>
        <w:pStyle w:val="14"/>
        <w:ind w:firstLine="426" w:firstLineChars="0"/>
        <w:rPr>
          <w:rFonts w:ascii="宋体" w:hAnsi="宋体" w:cs="仿宋_GB2312"/>
          <w:kern w:val="0"/>
          <w:sz w:val="18"/>
          <w:szCs w:val="18"/>
        </w:rPr>
      </w:pPr>
      <w:r>
        <w:rPr>
          <w:rFonts w:hint="eastAsia" w:ascii="宋体" w:hAnsi="宋体" w:cs="仿宋_GB2312"/>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pStyle w:val="14"/>
        <w:ind w:firstLine="426" w:firstLineChars="0"/>
        <w:rPr>
          <w:rFonts w:ascii="宋体" w:hAnsi="宋体"/>
          <w:b/>
          <w:bCs/>
          <w:sz w:val="18"/>
          <w:szCs w:val="18"/>
        </w:rPr>
      </w:pPr>
      <w:r>
        <w:rPr>
          <w:rFonts w:hint="eastAsia" w:ascii="宋体" w:hAnsi="宋体"/>
          <w:b/>
          <w:bCs/>
          <w:sz w:val="18"/>
          <w:szCs w:val="18"/>
        </w:rPr>
        <w:t>3.市场</w:t>
      </w:r>
      <w:r>
        <w:rPr>
          <w:rFonts w:ascii="宋体" w:hAnsi="宋体"/>
          <w:b/>
          <w:bCs/>
          <w:sz w:val="18"/>
          <w:szCs w:val="18"/>
        </w:rPr>
        <w:t>风险</w:t>
      </w:r>
    </w:p>
    <w:p>
      <w:pPr>
        <w:pStyle w:val="14"/>
        <w:ind w:firstLine="426" w:firstLineChars="0"/>
        <w:rPr>
          <w:rFonts w:ascii="宋体" w:hAnsi="宋体" w:cs="仿宋_GB2312"/>
          <w:kern w:val="0"/>
          <w:sz w:val="18"/>
          <w:szCs w:val="18"/>
        </w:rPr>
      </w:pPr>
      <w:r>
        <w:rPr>
          <w:rFonts w:hint="eastAsia" w:ascii="宋体" w:hAnsi="宋体" w:cs="仿宋_GB2312"/>
          <w:kern w:val="0"/>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pStyle w:val="14"/>
        <w:ind w:firstLine="426" w:firstLineChars="0"/>
        <w:rPr>
          <w:rFonts w:ascii="宋体" w:hAnsi="宋体" w:cs="仿宋_GB2312"/>
          <w:b/>
          <w:kern w:val="0"/>
          <w:sz w:val="18"/>
          <w:szCs w:val="18"/>
        </w:rPr>
      </w:pPr>
      <w:r>
        <w:rPr>
          <w:rFonts w:hint="eastAsia" w:ascii="宋体" w:hAnsi="宋体" w:cs="仿宋_GB2312"/>
          <w:b/>
          <w:kern w:val="0"/>
          <w:sz w:val="18"/>
          <w:szCs w:val="18"/>
        </w:rPr>
        <w:t>4.流动性风险</w:t>
      </w:r>
    </w:p>
    <w:p>
      <w:pPr>
        <w:pStyle w:val="14"/>
        <w:ind w:firstLine="426" w:firstLineChars="0"/>
        <w:rPr>
          <w:rFonts w:ascii="宋体" w:hAnsi="宋体" w:cs="仿宋_GB2312"/>
          <w:bCs/>
          <w:kern w:val="0"/>
          <w:sz w:val="18"/>
          <w:szCs w:val="18"/>
        </w:rPr>
      </w:pPr>
      <w:r>
        <w:rPr>
          <w:rFonts w:hint="eastAsia" w:ascii="宋体" w:hAnsi="宋体" w:cs="仿宋_GB2312"/>
          <w:bCs/>
          <w:kern w:val="0"/>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pStyle w:val="14"/>
        <w:ind w:firstLine="426" w:firstLineChars="0"/>
        <w:rPr>
          <w:rFonts w:ascii="宋体" w:hAnsi="宋体" w:cs="仿宋_GB2312"/>
          <w:b/>
          <w:kern w:val="0"/>
          <w:sz w:val="18"/>
          <w:szCs w:val="18"/>
        </w:rPr>
      </w:pPr>
      <w:r>
        <w:rPr>
          <w:rFonts w:hint="eastAsia" w:ascii="宋体" w:hAnsi="宋体" w:cs="仿宋_GB2312"/>
          <w:b/>
          <w:kern w:val="0"/>
          <w:sz w:val="18"/>
          <w:szCs w:val="18"/>
        </w:rPr>
        <w:t>5.</w:t>
      </w:r>
      <w:r>
        <w:rPr>
          <w:rFonts w:ascii="宋体" w:hAnsi="宋体" w:cs="仿宋_GB2312"/>
          <w:b/>
          <w:kern w:val="0"/>
          <w:sz w:val="18"/>
          <w:szCs w:val="18"/>
        </w:rPr>
        <w:t>法律与政策风险</w:t>
      </w:r>
    </w:p>
    <w:p>
      <w:pPr>
        <w:pStyle w:val="14"/>
        <w:ind w:firstLine="426" w:firstLineChars="0"/>
        <w:rPr>
          <w:rFonts w:ascii="宋体" w:hAnsi="宋体" w:cs="仿宋_GB2312"/>
          <w:kern w:val="0"/>
          <w:sz w:val="18"/>
          <w:szCs w:val="18"/>
        </w:rPr>
      </w:pPr>
      <w:r>
        <w:rPr>
          <w:rFonts w:hint="eastAsia" w:ascii="宋体" w:hAnsi="宋体" w:cs="仿宋_GB2312"/>
          <w:kern w:val="0"/>
          <w:sz w:val="18"/>
          <w:szCs w:val="18"/>
        </w:rPr>
        <w:t>国家监管政策、货币政策、财政税收政策、产业政策、宏观政策及相关法律、法规的调整与变化将会影响本产品的设立、投资及管理等的正常运行，甚至导致本产品发生损失。</w:t>
      </w:r>
    </w:p>
    <w:p>
      <w:pPr>
        <w:pStyle w:val="14"/>
        <w:ind w:firstLine="426" w:firstLineChars="0"/>
        <w:rPr>
          <w:rFonts w:ascii="宋体" w:hAnsi="宋体"/>
          <w:b/>
          <w:bCs/>
          <w:sz w:val="18"/>
          <w:szCs w:val="18"/>
        </w:rPr>
      </w:pPr>
      <w:r>
        <w:rPr>
          <w:rFonts w:hint="eastAsia" w:ascii="宋体" w:hAnsi="宋体"/>
          <w:b/>
          <w:bCs/>
          <w:sz w:val="18"/>
          <w:szCs w:val="18"/>
        </w:rPr>
        <w:t>6.</w:t>
      </w:r>
      <w:r>
        <w:rPr>
          <w:rFonts w:ascii="宋体" w:hAnsi="宋体"/>
          <w:b/>
          <w:bCs/>
          <w:sz w:val="18"/>
          <w:szCs w:val="18"/>
        </w:rPr>
        <w:t>延期</w:t>
      </w:r>
      <w:r>
        <w:rPr>
          <w:rFonts w:hint="eastAsia" w:ascii="宋体" w:hAnsi="宋体"/>
          <w:b/>
          <w:bCs/>
          <w:sz w:val="18"/>
          <w:szCs w:val="18"/>
        </w:rPr>
        <w:t>终止</w:t>
      </w:r>
      <w:r>
        <w:rPr>
          <w:rFonts w:ascii="宋体" w:hAnsi="宋体"/>
          <w:b/>
          <w:bCs/>
          <w:sz w:val="18"/>
          <w:szCs w:val="18"/>
        </w:rPr>
        <w:t>风险</w:t>
      </w:r>
    </w:p>
    <w:p>
      <w:pPr>
        <w:pStyle w:val="14"/>
        <w:ind w:firstLine="426" w:firstLineChars="0"/>
        <w:rPr>
          <w:rFonts w:ascii="宋体" w:hAnsi="宋体" w:cs="仿宋_GB2312"/>
          <w:kern w:val="0"/>
          <w:sz w:val="18"/>
          <w:szCs w:val="18"/>
        </w:rPr>
      </w:pPr>
      <w:r>
        <w:rPr>
          <w:rFonts w:hint="eastAsia" w:ascii="宋体" w:hAnsi="宋体" w:cs="仿宋_GB2312"/>
          <w:kern w:val="0"/>
          <w:sz w:val="18"/>
          <w:szCs w:val="18"/>
        </w:rPr>
        <w:t>指因市场内部和外部的原因导致理财基础资产不能及时变现而造成理财产品不能按时分配，理财期限将相应延长，从而导致本产品部分资金的延期分配。</w:t>
      </w:r>
    </w:p>
    <w:p>
      <w:pPr>
        <w:pStyle w:val="14"/>
        <w:ind w:firstLine="426" w:firstLineChars="0"/>
        <w:rPr>
          <w:rFonts w:ascii="宋体" w:hAnsi="宋体" w:cs="仿宋_GB2312"/>
          <w:b/>
          <w:kern w:val="0"/>
          <w:sz w:val="18"/>
          <w:szCs w:val="18"/>
        </w:rPr>
      </w:pPr>
      <w:r>
        <w:rPr>
          <w:rFonts w:hint="eastAsia" w:ascii="宋体" w:hAnsi="宋体" w:cs="仿宋_GB2312"/>
          <w:b/>
          <w:kern w:val="0"/>
          <w:sz w:val="18"/>
          <w:szCs w:val="18"/>
        </w:rPr>
        <w:t>7.</w:t>
      </w:r>
      <w:r>
        <w:rPr>
          <w:rFonts w:ascii="宋体" w:hAnsi="宋体" w:cs="仿宋_GB2312"/>
          <w:b/>
          <w:kern w:val="0"/>
          <w:sz w:val="18"/>
          <w:szCs w:val="18"/>
        </w:rPr>
        <w:t>提前终止风险</w:t>
      </w:r>
    </w:p>
    <w:p>
      <w:pPr>
        <w:pStyle w:val="14"/>
        <w:ind w:firstLine="426" w:firstLineChars="0"/>
        <w:rPr>
          <w:rFonts w:ascii="宋体" w:hAnsi="宋体" w:cs="仿宋_GB2312"/>
          <w:kern w:val="0"/>
          <w:sz w:val="18"/>
          <w:szCs w:val="18"/>
        </w:rPr>
      </w:pPr>
      <w:r>
        <w:rPr>
          <w:rFonts w:hint="eastAsia" w:ascii="宋体" w:hAnsi="宋体" w:cs="仿宋_GB2312"/>
          <w:kern w:val="0"/>
          <w:sz w:val="18"/>
          <w:szCs w:val="18"/>
        </w:rPr>
        <w:t>如遇国家金融政策重大调整或法律法规、监管政策发生变化等影响产品正常运作时、本产品的投资资产等不能成立或者提前终止、或者司法机关等有权机关要求、或发生其他产品管理人认为需要提前终止本产品等情况，产品管理人有权部分或全部提前终止本产品，投资者将面临再投资机会风险。</w:t>
      </w:r>
    </w:p>
    <w:p>
      <w:pPr>
        <w:pStyle w:val="14"/>
        <w:ind w:firstLine="426" w:firstLineChars="0"/>
        <w:rPr>
          <w:rFonts w:ascii="黑体" w:hAnsi="黑体" w:eastAsia="黑体" w:cs="黑体"/>
          <w:b/>
          <w:bCs/>
          <w:sz w:val="18"/>
          <w:szCs w:val="18"/>
        </w:rPr>
      </w:pPr>
      <w:r>
        <w:rPr>
          <w:rFonts w:hint="eastAsia" w:ascii="黑体" w:hAnsi="黑体" w:eastAsia="黑体" w:cs="黑体"/>
          <w:b/>
          <w:bCs/>
          <w:sz w:val="18"/>
          <w:szCs w:val="18"/>
        </w:rPr>
        <w:t>8.</w:t>
      </w:r>
      <w:r>
        <w:rPr>
          <w:rFonts w:hint="eastAsia" w:ascii="黑体" w:hAnsi="黑体" w:eastAsia="黑体" w:cs="黑体"/>
          <w:sz w:val="18"/>
          <w:szCs w:val="18"/>
        </w:rPr>
        <w:t>★</w:t>
      </w:r>
      <w:r>
        <w:rPr>
          <w:rFonts w:hint="eastAsia" w:ascii="黑体" w:hAnsi="黑体" w:eastAsia="黑体" w:cs="黑体"/>
          <w:b/>
          <w:bCs/>
          <w:sz w:val="18"/>
          <w:szCs w:val="18"/>
        </w:rPr>
        <w:t>信息传递风险</w:t>
      </w:r>
    </w:p>
    <w:p>
      <w:pPr>
        <w:pStyle w:val="14"/>
        <w:ind w:firstLine="426" w:firstLineChars="0"/>
        <w:rPr>
          <w:rFonts w:ascii="黑体" w:hAnsi="黑体" w:eastAsia="黑体" w:cs="黑体"/>
          <w:kern w:val="0"/>
          <w:sz w:val="18"/>
          <w:szCs w:val="18"/>
        </w:rPr>
      </w:pPr>
      <w:r>
        <w:rPr>
          <w:rFonts w:hint="eastAsia" w:ascii="黑体" w:hAnsi="黑体" w:eastAsia="黑体" w:cs="黑体"/>
          <w:kern w:val="0"/>
          <w:sz w:val="18"/>
          <w:szCs w:val="18"/>
        </w:rPr>
        <w:t>投资者需要通过约定的信息披露渠道了解产品相关信息公告。具体公告方式以理财产品销售文件所载明的公告方式为准。投资者应根据本产品说明书所载明的公告方式及时查询本理财产品的相关信息。如果投资者未及时查询，或由于通讯故障、系统故障以及其他不可抗力等因素的影响使得投资者无法及时了解产品信息，由此而产生的责任和风险由投资者自行承担。如投资者预留的有效联系方式变更但未及时告知产品管理人的，致使在需要联系投资者时无法及时联系并可能会由此影响投资者的投资决策，由此而产生的责任和风险由投资者自行承担。</w:t>
      </w:r>
    </w:p>
    <w:p>
      <w:pPr>
        <w:ind w:firstLine="361" w:firstLineChars="200"/>
        <w:rPr>
          <w:rFonts w:ascii="宋体" w:hAnsi="宋体"/>
          <w:b/>
          <w:bCs/>
          <w:sz w:val="18"/>
          <w:szCs w:val="18"/>
        </w:rPr>
      </w:pPr>
      <w:r>
        <w:rPr>
          <w:rFonts w:hint="eastAsia" w:ascii="宋体" w:hAnsi="宋体"/>
          <w:b/>
          <w:bCs/>
          <w:sz w:val="18"/>
          <w:szCs w:val="18"/>
        </w:rPr>
        <w:t>9.</w:t>
      </w:r>
      <w:r>
        <w:rPr>
          <w:rFonts w:ascii="宋体" w:hAnsi="宋体"/>
          <w:b/>
          <w:bCs/>
          <w:sz w:val="18"/>
          <w:szCs w:val="18"/>
        </w:rPr>
        <w:t>不可抗力及意外事件风险</w:t>
      </w:r>
    </w:p>
    <w:p>
      <w:pPr>
        <w:ind w:firstLine="360" w:firstLineChars="200"/>
        <w:rPr>
          <w:rFonts w:ascii="宋体" w:hAnsi="宋体"/>
          <w:bCs/>
          <w:sz w:val="18"/>
          <w:szCs w:val="18"/>
        </w:rPr>
      </w:pPr>
      <w:r>
        <w:rPr>
          <w:rFonts w:hint="eastAsia" w:ascii="宋体" w:hAnsi="宋体"/>
          <w:bCs/>
          <w:sz w:val="18"/>
          <w:szCs w:val="18"/>
        </w:rPr>
        <w:t>因战争、自然灾害、重大政治事件等不可抗力以及其他不可预见的意外事件可能致使理财产品面临损失的风险。</w:t>
      </w:r>
    </w:p>
    <w:p>
      <w:pPr>
        <w:pStyle w:val="14"/>
        <w:ind w:firstLine="361"/>
        <w:rPr>
          <w:rFonts w:ascii="宋体" w:hAnsi="宋体"/>
          <w:b/>
          <w:bCs/>
          <w:sz w:val="18"/>
          <w:szCs w:val="18"/>
        </w:rPr>
      </w:pPr>
      <w:r>
        <w:rPr>
          <w:rFonts w:hint="eastAsia" w:ascii="宋体" w:hAnsi="宋体"/>
          <w:b/>
          <w:bCs/>
          <w:sz w:val="18"/>
          <w:szCs w:val="18"/>
        </w:rPr>
        <w:t>10.</w:t>
      </w:r>
      <w:r>
        <w:rPr>
          <w:rFonts w:ascii="宋体" w:hAnsi="宋体"/>
          <w:b/>
          <w:bCs/>
          <w:sz w:val="18"/>
          <w:szCs w:val="18"/>
        </w:rPr>
        <w:t>管理人风险</w:t>
      </w:r>
    </w:p>
    <w:p>
      <w:pPr>
        <w:pStyle w:val="14"/>
        <w:ind w:firstLine="360"/>
        <w:rPr>
          <w:rFonts w:ascii="宋体" w:hAnsi="宋体"/>
          <w:bCs/>
          <w:sz w:val="18"/>
          <w:szCs w:val="18"/>
        </w:rPr>
      </w:pPr>
      <w:r>
        <w:rPr>
          <w:rFonts w:hint="eastAsia" w:ascii="宋体" w:hAnsi="宋体"/>
          <w:bCs/>
          <w:sz w:val="18"/>
          <w:szCs w:val="18"/>
        </w:rPr>
        <w:t>理财产品管理人或理财投资资产相关服务机构受经验、技能等因素的限制，或者上述主体处理事务不当等，可能导致投资者遭受损失。</w:t>
      </w:r>
    </w:p>
    <w:p>
      <w:pPr>
        <w:pStyle w:val="14"/>
        <w:ind w:firstLine="361"/>
        <w:rPr>
          <w:rFonts w:ascii="宋体" w:hAnsi="宋体"/>
          <w:b/>
          <w:bCs/>
          <w:sz w:val="18"/>
          <w:szCs w:val="18"/>
        </w:rPr>
      </w:pPr>
      <w:r>
        <w:rPr>
          <w:rFonts w:ascii="宋体" w:hAnsi="宋体"/>
          <w:b/>
          <w:bCs/>
          <w:sz w:val="18"/>
          <w:szCs w:val="18"/>
        </w:rPr>
        <w:t>1</w:t>
      </w:r>
      <w:r>
        <w:rPr>
          <w:rFonts w:hint="eastAsia" w:ascii="宋体" w:hAnsi="宋体"/>
          <w:b/>
          <w:bCs/>
          <w:sz w:val="18"/>
          <w:szCs w:val="18"/>
        </w:rPr>
        <w:t>1.理财产品不成立风险</w:t>
      </w:r>
    </w:p>
    <w:p>
      <w:pPr>
        <w:pStyle w:val="14"/>
        <w:ind w:firstLine="360"/>
        <w:rPr>
          <w:rFonts w:ascii="宋体" w:hAnsi="宋体"/>
          <w:bCs/>
          <w:sz w:val="18"/>
          <w:szCs w:val="18"/>
        </w:rPr>
      </w:pPr>
      <w:r>
        <w:rPr>
          <w:rFonts w:hint="eastAsia" w:ascii="宋体" w:hAnsi="宋体"/>
          <w:bCs/>
          <w:sz w:val="18"/>
          <w:szCs w:val="18"/>
        </w:rPr>
        <w:t>如自本产品开始募集至认购期结束认购总金额未达到产品最小成立规模（如有约定），或</w:t>
      </w:r>
      <w:r>
        <w:rPr>
          <w:rFonts w:ascii="宋体" w:hAnsi="宋体"/>
          <w:bCs/>
          <w:sz w:val="18"/>
          <w:szCs w:val="18"/>
        </w:rPr>
        <w:t>融资人取消融资计划，</w:t>
      </w:r>
      <w:r>
        <w:rPr>
          <w:rFonts w:hint="eastAsia" w:ascii="宋体" w:hAnsi="宋体"/>
          <w:bCs/>
          <w:sz w:val="18"/>
          <w:szCs w:val="18"/>
        </w:rPr>
        <w:t>或市场发生剧烈波动，或不可抗力，或相关法律法规以及监管部门规定等原因，经</w:t>
      </w:r>
      <w:r>
        <w:rPr>
          <w:rFonts w:hint="eastAsia" w:ascii="宋体" w:hAnsi="宋体" w:cs="仿宋_GB2312"/>
          <w:kern w:val="0"/>
          <w:sz w:val="18"/>
          <w:szCs w:val="18"/>
        </w:rPr>
        <w:t>产品管理人</w:t>
      </w:r>
      <w:r>
        <w:rPr>
          <w:rFonts w:hint="eastAsia" w:ascii="宋体" w:hAnsi="宋体"/>
          <w:bCs/>
          <w:sz w:val="18"/>
          <w:szCs w:val="18"/>
        </w:rPr>
        <w:t>谨慎合理判断难以按照理财产品销售文件有关规定向投资者提供本产品，</w:t>
      </w:r>
      <w:r>
        <w:rPr>
          <w:rFonts w:hint="eastAsia" w:ascii="宋体" w:hAnsi="宋体" w:cs="仿宋_GB2312"/>
          <w:kern w:val="0"/>
          <w:sz w:val="18"/>
          <w:szCs w:val="18"/>
        </w:rPr>
        <w:t>产品管理人</w:t>
      </w:r>
      <w:r>
        <w:rPr>
          <w:rFonts w:hint="eastAsia" w:ascii="宋体" w:hAnsi="宋体"/>
          <w:bCs/>
          <w:sz w:val="18"/>
          <w:szCs w:val="18"/>
        </w:rPr>
        <w:t>有权宣布本产品不成立并</w:t>
      </w:r>
      <w:r>
        <w:rPr>
          <w:rFonts w:ascii="宋体" w:hAnsi="宋体"/>
          <w:bCs/>
          <w:sz w:val="18"/>
          <w:szCs w:val="18"/>
        </w:rPr>
        <w:t>及时返还投资者资金</w:t>
      </w:r>
      <w:r>
        <w:rPr>
          <w:rFonts w:hint="eastAsia" w:ascii="宋体" w:hAnsi="宋体"/>
          <w:bCs/>
          <w:sz w:val="18"/>
          <w:szCs w:val="18"/>
        </w:rPr>
        <w:t>，投资者将承担投资本产品不成立的风险。</w:t>
      </w:r>
    </w:p>
    <w:p>
      <w:pPr>
        <w:pStyle w:val="14"/>
        <w:ind w:firstLine="361"/>
        <w:rPr>
          <w:rFonts w:ascii="宋体" w:hAnsi="宋体"/>
          <w:b/>
          <w:bCs/>
          <w:sz w:val="18"/>
          <w:szCs w:val="18"/>
        </w:rPr>
      </w:pPr>
      <w:r>
        <w:rPr>
          <w:rFonts w:ascii="宋体" w:hAnsi="宋体"/>
          <w:b/>
          <w:bCs/>
          <w:sz w:val="18"/>
          <w:szCs w:val="18"/>
        </w:rPr>
        <w:t>1</w:t>
      </w:r>
      <w:r>
        <w:rPr>
          <w:rFonts w:hint="eastAsia" w:ascii="宋体" w:hAnsi="宋体"/>
          <w:b/>
          <w:bCs/>
          <w:sz w:val="18"/>
          <w:szCs w:val="18"/>
        </w:rPr>
        <w:t>2.</w:t>
      </w:r>
      <w:r>
        <w:rPr>
          <w:rFonts w:ascii="宋体" w:hAnsi="宋体"/>
          <w:b/>
          <w:bCs/>
          <w:sz w:val="18"/>
          <w:szCs w:val="18"/>
        </w:rPr>
        <w:t>操作风险</w:t>
      </w:r>
    </w:p>
    <w:p>
      <w:pPr>
        <w:pStyle w:val="14"/>
        <w:ind w:firstLine="360"/>
        <w:rPr>
          <w:rFonts w:ascii="宋体" w:hAnsi="宋体"/>
          <w:bCs/>
          <w:sz w:val="18"/>
          <w:szCs w:val="18"/>
        </w:rPr>
      </w:pPr>
      <w:r>
        <w:rPr>
          <w:rFonts w:hint="eastAsia" w:ascii="宋体" w:hAnsi="宋体"/>
          <w:bCs/>
          <w:sz w:val="18"/>
          <w:szCs w:val="18"/>
        </w:rPr>
        <w:t>由于产品管理人的</w:t>
      </w:r>
      <w:r>
        <w:rPr>
          <w:rFonts w:ascii="宋体" w:hAnsi="宋体"/>
          <w:bCs/>
          <w:sz w:val="18"/>
          <w:szCs w:val="18"/>
        </w:rPr>
        <w:t>不完善或有问题的内部程序、员工和信息科技系统，以及外部事件所造成损失的风险。</w:t>
      </w:r>
    </w:p>
    <w:p>
      <w:pPr>
        <w:pStyle w:val="14"/>
        <w:ind w:firstLineChars="0"/>
        <w:rPr>
          <w:rFonts w:ascii="宋体" w:hAnsi="宋体"/>
          <w:b/>
          <w:bCs/>
          <w:sz w:val="18"/>
          <w:szCs w:val="18"/>
        </w:rPr>
      </w:pPr>
      <w:r>
        <w:rPr>
          <w:rFonts w:ascii="宋体" w:hAnsi="宋体"/>
          <w:b/>
          <w:bCs/>
          <w:sz w:val="18"/>
          <w:szCs w:val="18"/>
        </w:rPr>
        <w:t>1</w:t>
      </w:r>
      <w:r>
        <w:rPr>
          <w:rFonts w:hint="eastAsia" w:ascii="宋体" w:hAnsi="宋体"/>
          <w:b/>
          <w:bCs/>
          <w:sz w:val="18"/>
          <w:szCs w:val="18"/>
        </w:rPr>
        <w:t>3</w:t>
      </w:r>
      <w:r>
        <w:rPr>
          <w:rFonts w:ascii="宋体" w:hAnsi="宋体"/>
          <w:b/>
          <w:bCs/>
          <w:sz w:val="18"/>
          <w:szCs w:val="18"/>
        </w:rPr>
        <w:t>.估值</w:t>
      </w:r>
      <w:r>
        <w:rPr>
          <w:rFonts w:hint="eastAsia" w:ascii="宋体" w:hAnsi="宋体"/>
          <w:b/>
          <w:bCs/>
          <w:sz w:val="18"/>
          <w:szCs w:val="18"/>
        </w:rPr>
        <w:t>波动</w:t>
      </w:r>
      <w:r>
        <w:rPr>
          <w:rFonts w:ascii="宋体" w:hAnsi="宋体"/>
          <w:b/>
          <w:bCs/>
          <w:sz w:val="18"/>
          <w:szCs w:val="18"/>
        </w:rPr>
        <w:t>风险</w:t>
      </w:r>
    </w:p>
    <w:p>
      <w:pPr>
        <w:pStyle w:val="14"/>
        <w:ind w:firstLineChars="0"/>
        <w:rPr>
          <w:rFonts w:ascii="宋体" w:hAnsi="宋体"/>
          <w:bCs/>
          <w:sz w:val="18"/>
          <w:szCs w:val="18"/>
        </w:rPr>
      </w:pPr>
      <w:r>
        <w:rPr>
          <w:rFonts w:hint="eastAsia" w:asciiTheme="majorEastAsia" w:hAnsiTheme="majorEastAsia" w:eastAsiaTheme="majorEastAsia"/>
          <w:bCs/>
          <w:color w:val="000000" w:themeColor="text1"/>
          <w:sz w:val="18"/>
          <w:szCs w:val="18"/>
          <w14:textFill>
            <w14:solidFill>
              <w14:schemeClr w14:val="tx1"/>
            </w14:solidFill>
          </w14:textFill>
        </w:rPr>
        <w:t>本理财产品可能</w:t>
      </w:r>
      <w:r>
        <w:rPr>
          <w:rFonts w:asciiTheme="majorEastAsia" w:hAnsiTheme="majorEastAsia" w:eastAsiaTheme="majorEastAsia"/>
          <w:bCs/>
          <w:color w:val="000000" w:themeColor="text1"/>
          <w:sz w:val="18"/>
          <w:szCs w:val="18"/>
          <w14:textFill>
            <w14:solidFill>
              <w14:schemeClr w14:val="tx1"/>
            </w14:solidFill>
          </w14:textFill>
        </w:rPr>
        <w:t>投资符合监管</w:t>
      </w:r>
      <w:r>
        <w:rPr>
          <w:rFonts w:hint="eastAsia" w:asciiTheme="majorEastAsia" w:hAnsiTheme="majorEastAsia" w:eastAsiaTheme="majorEastAsia"/>
          <w:bCs/>
          <w:color w:val="000000" w:themeColor="text1"/>
          <w:sz w:val="18"/>
          <w:szCs w:val="18"/>
          <w14:textFill>
            <w14:solidFill>
              <w14:schemeClr w14:val="tx1"/>
            </w14:solidFill>
          </w14:textFill>
        </w:rPr>
        <w:t>要求的资产管理产品（包括但不限于信托计划、</w:t>
      </w:r>
      <w:r>
        <w:rPr>
          <w:rFonts w:hint="eastAsia" w:asciiTheme="majorEastAsia" w:hAnsiTheme="majorEastAsia" w:eastAsiaTheme="majorEastAsia"/>
          <w:bCs/>
          <w:color w:val="000000" w:themeColor="text1"/>
          <w:kern w:val="0"/>
          <w:sz w:val="18"/>
          <w:szCs w:val="18"/>
          <w14:textFill>
            <w14:solidFill>
              <w14:schemeClr w14:val="tx1"/>
            </w14:solidFill>
          </w14:textFill>
        </w:rPr>
        <w:t>公募基金、基金公司或子公司资产管理计划、证券公司资产管理计划、</w:t>
      </w:r>
      <w:r>
        <w:rPr>
          <w:rFonts w:hint="eastAsia" w:asciiTheme="majorEastAsia" w:hAnsiTheme="majorEastAsia" w:eastAsiaTheme="majorEastAsia"/>
          <w:bCs/>
          <w:color w:val="000000" w:themeColor="text1"/>
          <w:sz w:val="18"/>
          <w:szCs w:val="18"/>
          <w14:textFill>
            <w14:solidFill>
              <w14:schemeClr w14:val="tx1"/>
            </w14:solidFill>
          </w14:textFill>
        </w:rPr>
        <w:t>期货资产管理计划、</w:t>
      </w:r>
      <w:r>
        <w:rPr>
          <w:rFonts w:hint="eastAsia" w:asciiTheme="majorEastAsia" w:hAnsiTheme="majorEastAsia" w:eastAsiaTheme="majorEastAsia"/>
          <w:bCs/>
          <w:color w:val="000000" w:themeColor="text1"/>
          <w:kern w:val="0"/>
          <w:sz w:val="18"/>
          <w:szCs w:val="18"/>
          <w14:textFill>
            <w14:solidFill>
              <w14:schemeClr w14:val="tx1"/>
            </w14:solidFill>
          </w14:textFill>
        </w:rPr>
        <w:t>保险资产管理计划</w:t>
      </w:r>
      <w:r>
        <w:rPr>
          <w:rFonts w:hint="eastAsia" w:asciiTheme="majorEastAsia" w:hAnsiTheme="majorEastAsia" w:eastAsiaTheme="majorEastAsia"/>
          <w:bCs/>
          <w:color w:val="000000" w:themeColor="text1"/>
          <w:sz w:val="18"/>
          <w:szCs w:val="18"/>
          <w14:textFill>
            <w14:solidFill>
              <w14:schemeClr w14:val="tx1"/>
            </w14:solidFill>
          </w14:textFill>
        </w:rPr>
        <w:t>等），前述资产管理产品的管理人可能收取</w:t>
      </w:r>
      <w:r>
        <w:rPr>
          <w:rFonts w:asciiTheme="majorEastAsia" w:hAnsiTheme="majorEastAsia" w:eastAsiaTheme="majorEastAsia"/>
          <w:bCs/>
          <w:color w:val="000000" w:themeColor="text1"/>
          <w:sz w:val="18"/>
          <w:szCs w:val="18"/>
          <w14:textFill>
            <w14:solidFill>
              <w14:schemeClr w14:val="tx1"/>
            </w14:solidFill>
          </w14:textFill>
        </w:rPr>
        <w:t>业绩报酬，</w:t>
      </w:r>
      <w:r>
        <w:rPr>
          <w:rFonts w:hint="eastAsia" w:asciiTheme="majorEastAsia" w:hAnsiTheme="majorEastAsia" w:eastAsiaTheme="majorEastAsia"/>
          <w:bCs/>
          <w:color w:val="000000" w:themeColor="text1"/>
          <w:sz w:val="18"/>
          <w:szCs w:val="18"/>
          <w14:textFill>
            <w14:solidFill>
              <w14:schemeClr w14:val="tx1"/>
            </w14:solidFill>
          </w14:textFill>
        </w:rPr>
        <w:t>当前述资产管理产品计提业绩报酬时，本理财产品的</w:t>
      </w:r>
      <w:r>
        <w:rPr>
          <w:rFonts w:hint="eastAsia" w:asciiTheme="minorEastAsia" w:hAnsiTheme="minorEastAsia" w:eastAsiaTheme="minorEastAsia"/>
          <w:sz w:val="18"/>
          <w:szCs w:val="18"/>
        </w:rPr>
        <w:t>每万份理财收益和</w:t>
      </w:r>
      <w:r>
        <w:rPr>
          <w:rFonts w:asciiTheme="minorEastAsia" w:hAnsiTheme="minorEastAsia" w:eastAsiaTheme="minorEastAsia"/>
          <w:sz w:val="18"/>
          <w:szCs w:val="18"/>
        </w:rPr>
        <w:t>7</w:t>
      </w:r>
      <w:r>
        <w:rPr>
          <w:rFonts w:hint="eastAsia" w:asciiTheme="minorEastAsia" w:hAnsiTheme="minorEastAsia" w:eastAsiaTheme="minorEastAsia"/>
          <w:sz w:val="18"/>
          <w:szCs w:val="18"/>
        </w:rPr>
        <w:t>日年化收益率</w:t>
      </w:r>
      <w:r>
        <w:rPr>
          <w:rFonts w:hint="eastAsia" w:asciiTheme="majorEastAsia" w:hAnsiTheme="majorEastAsia" w:eastAsiaTheme="majorEastAsia"/>
          <w:bCs/>
          <w:color w:val="000000" w:themeColor="text1"/>
          <w:sz w:val="18"/>
          <w:szCs w:val="18"/>
          <w14:textFill>
            <w14:solidFill>
              <w14:schemeClr w14:val="tx1"/>
            </w14:solidFill>
          </w14:textFill>
        </w:rPr>
        <w:t>存在下跌的风险。</w:t>
      </w:r>
    </w:p>
    <w:p>
      <w:pPr>
        <w:pStyle w:val="14"/>
        <w:ind w:firstLineChars="0"/>
        <w:rPr>
          <w:rFonts w:ascii="宋体" w:hAnsi="宋体"/>
          <w:b/>
          <w:bCs/>
          <w:sz w:val="18"/>
          <w:szCs w:val="18"/>
        </w:rPr>
      </w:pPr>
      <w:r>
        <w:rPr>
          <w:rFonts w:ascii="宋体" w:hAnsi="宋体"/>
          <w:b/>
          <w:bCs/>
          <w:sz w:val="18"/>
          <w:szCs w:val="18"/>
        </w:rPr>
        <w:t>1</w:t>
      </w:r>
      <w:r>
        <w:rPr>
          <w:rFonts w:hint="eastAsia" w:ascii="宋体" w:hAnsi="宋体"/>
          <w:b/>
          <w:bCs/>
          <w:sz w:val="18"/>
          <w:szCs w:val="18"/>
        </w:rPr>
        <w:t>4.</w:t>
      </w:r>
      <w:r>
        <w:rPr>
          <w:rFonts w:ascii="宋体" w:hAnsi="宋体"/>
          <w:b/>
          <w:bCs/>
          <w:sz w:val="18"/>
          <w:szCs w:val="18"/>
        </w:rPr>
        <w:t>估值差错风险</w:t>
      </w:r>
    </w:p>
    <w:p>
      <w:pPr>
        <w:pStyle w:val="14"/>
        <w:ind w:firstLineChars="0"/>
        <w:rPr>
          <w:rFonts w:ascii="宋体" w:hAnsi="宋体"/>
          <w:bCs/>
          <w:sz w:val="18"/>
          <w:szCs w:val="18"/>
        </w:rPr>
      </w:pPr>
      <w:r>
        <w:rPr>
          <w:rFonts w:hint="eastAsia" w:ascii="宋体" w:hAnsi="宋体"/>
          <w:bCs/>
          <w:sz w:val="18"/>
          <w:szCs w:val="18"/>
        </w:rPr>
        <w:t>理财投资基础资产时涉及对资产估值不准确、及时的，理财产品管理人及产品托管人对理财产品费用计提出现错误，将导致本产品估值差错，可能影响</w:t>
      </w:r>
      <w:r>
        <w:rPr>
          <w:rFonts w:hint="eastAsia" w:asciiTheme="minorEastAsia" w:hAnsiTheme="minorEastAsia" w:eastAsiaTheme="minorEastAsia"/>
          <w:sz w:val="18"/>
          <w:szCs w:val="18"/>
        </w:rPr>
        <w:t>每万份理财收益和</w:t>
      </w:r>
      <w:r>
        <w:rPr>
          <w:rFonts w:asciiTheme="minorEastAsia" w:hAnsiTheme="minorEastAsia" w:eastAsiaTheme="minorEastAsia"/>
          <w:sz w:val="18"/>
          <w:szCs w:val="18"/>
        </w:rPr>
        <w:t>7</w:t>
      </w:r>
      <w:r>
        <w:rPr>
          <w:rFonts w:hint="eastAsia" w:asciiTheme="minorEastAsia" w:hAnsiTheme="minorEastAsia" w:eastAsiaTheme="minorEastAsia"/>
          <w:sz w:val="18"/>
          <w:szCs w:val="18"/>
        </w:rPr>
        <w:t>日年化收益率</w:t>
      </w:r>
      <w:r>
        <w:rPr>
          <w:rFonts w:hint="eastAsia" w:ascii="宋体" w:hAnsi="宋体"/>
          <w:bCs/>
          <w:sz w:val="18"/>
          <w:szCs w:val="18"/>
        </w:rPr>
        <w:t>。</w:t>
      </w:r>
    </w:p>
    <w:p>
      <w:pPr>
        <w:pStyle w:val="14"/>
        <w:ind w:firstLine="361"/>
        <w:rPr>
          <w:rFonts w:ascii="黑体" w:hAnsi="黑体" w:eastAsia="黑体" w:cs="黑体"/>
          <w:b/>
          <w:bCs/>
          <w:sz w:val="18"/>
          <w:szCs w:val="18"/>
        </w:rPr>
      </w:pPr>
      <w:r>
        <w:rPr>
          <w:rFonts w:hint="eastAsia" w:ascii="黑体" w:hAnsi="黑体" w:eastAsia="黑体" w:cs="黑体"/>
          <w:b/>
          <w:bCs/>
          <w:sz w:val="18"/>
          <w:szCs w:val="18"/>
        </w:rPr>
        <w:t>15.</w:t>
      </w:r>
      <w:r>
        <w:rPr>
          <w:rFonts w:hint="eastAsia" w:ascii="黑体" w:hAnsi="黑体" w:eastAsia="黑体" w:cs="黑体"/>
          <w:sz w:val="18"/>
          <w:szCs w:val="18"/>
        </w:rPr>
        <w:t>★</w:t>
      </w:r>
      <w:r>
        <w:rPr>
          <w:rFonts w:hint="eastAsia" w:ascii="黑体" w:hAnsi="黑体" w:eastAsia="黑体" w:cs="黑体"/>
          <w:b/>
          <w:bCs/>
          <w:sz w:val="18"/>
          <w:szCs w:val="18"/>
        </w:rPr>
        <w:t>代销风险</w:t>
      </w:r>
    </w:p>
    <w:p>
      <w:pPr>
        <w:pStyle w:val="14"/>
        <w:ind w:firstLine="360"/>
        <w:rPr>
          <w:rFonts w:ascii="黑体" w:hAnsi="黑体" w:eastAsia="黑体" w:cs="黑体"/>
          <w:bCs/>
          <w:sz w:val="18"/>
          <w:szCs w:val="18"/>
        </w:rPr>
      </w:pPr>
      <w:r>
        <w:rPr>
          <w:rFonts w:hint="eastAsia" w:ascii="黑体" w:hAnsi="黑体" w:eastAsia="黑体" w:cs="黑体"/>
          <w:bCs/>
          <w:sz w:val="18"/>
          <w:szCs w:val="18"/>
        </w:rPr>
        <w:t>本理财产品若通过非产品管理人自有渠道进行销售的属于代理销售，认购/申购时投资者购买理财产品的资金由代理销售机构从投资者指定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指定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pacing w:line="276" w:lineRule="auto"/>
        <w:ind w:firstLine="361" w:firstLineChars="200"/>
        <w:rPr>
          <w:rFonts w:ascii="黑体" w:hAnsi="黑体" w:eastAsia="黑体" w:cs="仿宋_GB2312"/>
          <w:b/>
          <w:bCs/>
          <w:kern w:val="0"/>
          <w:sz w:val="18"/>
          <w:szCs w:val="18"/>
        </w:rPr>
      </w:pPr>
      <w:r>
        <w:rPr>
          <w:rFonts w:ascii="黑体" w:hAnsi="黑体" w:eastAsia="黑体"/>
          <w:b/>
          <w:bCs/>
          <w:sz w:val="18"/>
          <w:szCs w:val="18"/>
        </w:rPr>
        <w:t>1</w:t>
      </w:r>
      <w:r>
        <w:rPr>
          <w:rFonts w:hint="eastAsia" w:ascii="黑体" w:hAnsi="黑体" w:eastAsia="黑体"/>
          <w:b/>
          <w:bCs/>
          <w:sz w:val="18"/>
          <w:szCs w:val="18"/>
        </w:rPr>
        <w:t>6</w:t>
      </w:r>
      <w:r>
        <w:rPr>
          <w:rFonts w:ascii="黑体" w:hAnsi="黑体" w:eastAsia="黑体"/>
          <w:b/>
          <w:bCs/>
          <w:sz w:val="18"/>
          <w:szCs w:val="18"/>
        </w:rPr>
        <w:t>.</w:t>
      </w:r>
      <w:r>
        <w:rPr>
          <w:rFonts w:hint="eastAsia" w:ascii="黑体" w:hAnsi="黑体" w:eastAsia="黑体" w:cs="仿宋_GB2312"/>
          <w:b/>
          <w:bCs/>
          <w:kern w:val="0"/>
          <w:sz w:val="18"/>
          <w:szCs w:val="18"/>
        </w:rPr>
        <w:t>★不同理财产品份额类别存在差异的风险</w:t>
      </w:r>
    </w:p>
    <w:p>
      <w:pPr>
        <w:spacing w:line="276" w:lineRule="auto"/>
        <w:ind w:firstLine="360" w:firstLineChars="200"/>
        <w:rPr>
          <w:rFonts w:ascii="黑体" w:hAnsi="黑体" w:eastAsia="黑体"/>
          <w:sz w:val="18"/>
          <w:szCs w:val="18"/>
        </w:rPr>
      </w:pPr>
      <w:r>
        <w:rPr>
          <w:rFonts w:hint="eastAsia" w:ascii="黑体" w:hAnsi="黑体" w:eastAsia="黑体" w:cs="仿宋_GB2312"/>
          <w:kern w:val="0"/>
          <w:sz w:val="18"/>
          <w:szCs w:val="18"/>
        </w:rPr>
        <w:t>理财产品管理人可根据投资者购买理财产品的金额、销售</w:t>
      </w:r>
      <w:r>
        <w:rPr>
          <w:rFonts w:ascii="黑体" w:hAnsi="黑体" w:eastAsia="黑体" w:cs="仿宋_GB2312"/>
          <w:kern w:val="0"/>
          <w:sz w:val="18"/>
          <w:szCs w:val="18"/>
        </w:rPr>
        <w:t>渠道</w:t>
      </w:r>
      <w:r>
        <w:rPr>
          <w:rFonts w:hint="eastAsia" w:ascii="黑体" w:hAnsi="黑体" w:eastAsia="黑体" w:cs="仿宋_GB2312"/>
          <w:kern w:val="0"/>
          <w:sz w:val="18"/>
          <w:szCs w:val="18"/>
        </w:rPr>
        <w:t>等因素，对理财投资者所持有的理财产品设置不同理财产品份额类别。不同类别的理财产品份额可能在销售名称、收费方式</w:t>
      </w:r>
      <w:r>
        <w:rPr>
          <w:rFonts w:ascii="黑体" w:hAnsi="黑体" w:eastAsia="黑体" w:cs="仿宋_GB2312"/>
          <w:kern w:val="0"/>
          <w:sz w:val="18"/>
          <w:szCs w:val="18"/>
        </w:rPr>
        <w:t>、</w:t>
      </w:r>
      <w:r>
        <w:rPr>
          <w:rFonts w:hint="eastAsia" w:ascii="黑体" w:hAnsi="黑体" w:eastAsia="黑体" w:cs="仿宋_GB2312"/>
          <w:kern w:val="0"/>
          <w:sz w:val="18"/>
          <w:szCs w:val="18"/>
        </w:rPr>
        <w:t>销售服务费、销售代码、销售对象、销售起点金额（认购、申购的</w:t>
      </w:r>
      <w:r>
        <w:rPr>
          <w:rFonts w:ascii="黑体" w:hAnsi="黑体" w:eastAsia="黑体" w:cs="仿宋_GB2312"/>
          <w:kern w:val="0"/>
          <w:sz w:val="18"/>
          <w:szCs w:val="18"/>
        </w:rPr>
        <w:t>起点金额</w:t>
      </w:r>
      <w:r>
        <w:rPr>
          <w:rFonts w:hint="eastAsia" w:ascii="黑体" w:hAnsi="黑体" w:eastAsia="黑体" w:cs="仿宋_GB2312"/>
          <w:kern w:val="0"/>
          <w:sz w:val="18"/>
          <w:szCs w:val="18"/>
        </w:rPr>
        <w:t>）、</w:t>
      </w:r>
      <w:r>
        <w:rPr>
          <w:rFonts w:hint="eastAsia" w:ascii="黑体" w:hAnsi="黑体" w:eastAsia="黑体"/>
          <w:sz w:val="18"/>
          <w:szCs w:val="18"/>
        </w:rPr>
        <w:t>投资者认购申购和赎回的数量限制、投资者持有本产品的最高限额最低限额、计算和公告产品份额净值方面存在差异。</w:t>
      </w:r>
    </w:p>
    <w:p>
      <w:pPr>
        <w:pStyle w:val="14"/>
        <w:ind w:firstLineChars="0"/>
        <w:rPr>
          <w:rFonts w:ascii="宋体" w:hAnsi="宋体"/>
          <w:b/>
          <w:bCs/>
          <w:sz w:val="18"/>
          <w:szCs w:val="18"/>
        </w:rPr>
      </w:pPr>
      <w:r>
        <w:rPr>
          <w:rFonts w:hint="eastAsia" w:ascii="宋体" w:hAnsi="宋体"/>
          <w:b/>
          <w:bCs/>
          <w:sz w:val="18"/>
          <w:szCs w:val="18"/>
        </w:rPr>
        <w:t>17.关联交易风险</w:t>
      </w:r>
    </w:p>
    <w:p>
      <w:pPr>
        <w:pStyle w:val="14"/>
        <w:ind w:firstLineChars="0"/>
        <w:rPr>
          <w:rFonts w:ascii="宋体" w:hAnsi="宋体"/>
          <w:sz w:val="18"/>
          <w:szCs w:val="18"/>
        </w:rPr>
      </w:pPr>
      <w:r>
        <w:rPr>
          <w:rFonts w:hint="eastAsia" w:ascii="宋体" w:hAnsi="宋体"/>
          <w:sz w:val="18"/>
          <w:szCs w:val="18"/>
        </w:rPr>
        <w:t>若本产品的销售机构为兴业银行股份有限公司（以下简称“兴业银行”），鉴于兴业银行是产品管理人的关联方，尽管兴业银行已建立健全关联方产品销售管理制度，但上述关联关系仍可能产生不利影响和投资风险，进而可能影响投资者的利益。</w:t>
      </w:r>
    </w:p>
    <w:p>
      <w:pPr>
        <w:autoSpaceDE w:val="0"/>
        <w:autoSpaceDN w:val="0"/>
        <w:adjustRightInd w:val="0"/>
        <w:ind w:firstLine="420"/>
        <w:jc w:val="left"/>
        <w:rPr>
          <w:rFonts w:ascii="黑体" w:hAnsi="黑体" w:eastAsia="黑体"/>
          <w:sz w:val="18"/>
          <w:szCs w:val="18"/>
        </w:rPr>
      </w:pPr>
      <w:r>
        <w:rPr>
          <w:rFonts w:hint="eastAsia" w:ascii="黑体" w:hAnsi="黑体" w:eastAsia="黑体" w:cs="仿宋_GB2312"/>
          <w:kern w:val="0"/>
          <w:sz w:val="18"/>
          <w:szCs w:val="18"/>
        </w:rPr>
        <w:t>（三）</w:t>
      </w:r>
      <w:r>
        <w:rPr>
          <w:rFonts w:hint="eastAsia" w:hAnsi="宋体"/>
          <w:sz w:val="18"/>
          <w:szCs w:val="18"/>
        </w:rPr>
        <w:t>★</w:t>
      </w:r>
      <w:r>
        <w:rPr>
          <w:rFonts w:hint="eastAsia" w:ascii="黑体" w:hAnsi="黑体" w:eastAsia="黑体" w:cs="仿宋_GB2312"/>
          <w:kern w:val="0"/>
          <w:sz w:val="18"/>
          <w:szCs w:val="18"/>
        </w:rPr>
        <w:t>最不利投资情形下的投资结果示例：</w:t>
      </w:r>
      <w:r>
        <w:rPr>
          <w:rFonts w:hint="eastAsia" w:ascii="黑体" w:hAnsi="黑体" w:eastAsia="黑体"/>
          <w:bCs/>
          <w:sz w:val="18"/>
          <w:szCs w:val="18"/>
        </w:rPr>
        <w:t>产品管理人对本产品的理财本金和收益不提供保证承诺，</w:t>
      </w:r>
      <w:r>
        <w:rPr>
          <w:rFonts w:hint="eastAsia" w:ascii="黑体" w:hAnsi="黑体" w:eastAsia="黑体"/>
          <w:sz w:val="18"/>
          <w:szCs w:val="18"/>
        </w:rPr>
        <w:t>若理财产品运作期间，该理财产品投资标的出现风险，则投资者可能无法获得理财收益</w:t>
      </w:r>
      <w:r>
        <w:rPr>
          <w:rFonts w:ascii="黑体" w:hAnsi="黑体" w:eastAsia="黑体"/>
          <w:sz w:val="18"/>
          <w:szCs w:val="18"/>
        </w:rPr>
        <w:t>，甚至投资者的投资本金将遭受损失，在最不利的极端情况下，投资者可能损失全部本金。</w:t>
      </w:r>
    </w:p>
    <w:p>
      <w:pPr>
        <w:autoSpaceDE w:val="0"/>
        <w:autoSpaceDN w:val="0"/>
        <w:adjustRightInd w:val="0"/>
        <w:ind w:firstLine="420"/>
        <w:jc w:val="left"/>
        <w:rPr>
          <w:rFonts w:ascii="黑体" w:hAnsi="黑体" w:eastAsia="黑体"/>
          <w:bCs/>
          <w:sz w:val="18"/>
          <w:szCs w:val="18"/>
        </w:rPr>
      </w:pPr>
      <w:r>
        <w:rPr>
          <w:rFonts w:hint="eastAsia" w:ascii="黑体" w:hAnsi="黑体" w:eastAsia="黑体"/>
          <w:bCs/>
          <w:sz w:val="18"/>
          <w:szCs w:val="18"/>
        </w:rPr>
        <w:t>五、【非机构投资者适用】《投资者风险承受能力评估问卷》用于评估非机构投资者对金融工具及投资目标的相关风险的态度。非机构投资者可根据评估结果确定所属投资者类型，购买适合的理财产品。如影响您风险承受能力的因素发生变化，请您及时重新完成风险承受能力评估。其他类型投资者的风险承受能力评估按照《（代理）销售协议书》约定或销售机构的销售政策执行。</w:t>
      </w:r>
    </w:p>
    <w:p>
      <w:pPr>
        <w:autoSpaceDE w:val="0"/>
        <w:autoSpaceDN w:val="0"/>
        <w:adjustRightInd w:val="0"/>
        <w:ind w:firstLine="420"/>
        <w:jc w:val="left"/>
        <w:rPr>
          <w:rFonts w:ascii="黑体" w:hAnsi="黑体" w:eastAsia="黑体" w:cs="仿宋_GB2312"/>
          <w:kern w:val="0"/>
          <w:sz w:val="18"/>
          <w:szCs w:val="18"/>
        </w:rPr>
      </w:pPr>
      <w:r>
        <w:rPr>
          <w:rFonts w:hint="eastAsia" w:ascii="黑体" w:hAnsi="黑体" w:eastAsia="黑体"/>
          <w:bCs/>
          <w:sz w:val="18"/>
          <w:szCs w:val="18"/>
        </w:rPr>
        <w:t>六、【非机构投资者适用】当销售机构销售产品风险评级为</w:t>
      </w:r>
      <w:r>
        <w:rPr>
          <w:rFonts w:ascii="黑体" w:hAnsi="黑体" w:eastAsia="黑体"/>
          <w:bCs/>
          <w:sz w:val="18"/>
          <w:szCs w:val="18"/>
        </w:rPr>
        <w:t>R4</w:t>
      </w:r>
      <w:r>
        <w:rPr>
          <w:rFonts w:hint="eastAsia" w:ascii="黑体" w:hAnsi="黑体" w:eastAsia="黑体"/>
          <w:bCs/>
          <w:sz w:val="18"/>
          <w:szCs w:val="18"/>
        </w:rPr>
        <w:t>及</w:t>
      </w:r>
      <w:r>
        <w:rPr>
          <w:rFonts w:ascii="黑体" w:hAnsi="黑体" w:eastAsia="黑体"/>
          <w:bCs/>
          <w:sz w:val="18"/>
          <w:szCs w:val="18"/>
        </w:rPr>
        <w:t>以上</w:t>
      </w:r>
      <w:r>
        <w:rPr>
          <w:rFonts w:hint="eastAsia" w:ascii="黑体" w:hAnsi="黑体" w:eastAsia="黑体"/>
          <w:bCs/>
          <w:sz w:val="18"/>
          <w:szCs w:val="18"/>
        </w:rPr>
        <w:t>的理财产品时，</w:t>
      </w:r>
      <w:r>
        <w:rPr>
          <w:rFonts w:hint="eastAsia" w:ascii="黑体" w:hAnsi="黑体" w:eastAsia="黑体" w:cs="仿宋_GB2312"/>
          <w:kern w:val="0"/>
          <w:sz w:val="18"/>
          <w:szCs w:val="18"/>
        </w:rPr>
        <w:t>您签署本销售文件即视为您同意销售机构可以通过线上渠道向您销售产品风险评级为R4及以上的理财产品。</w:t>
      </w:r>
    </w:p>
    <w:p>
      <w:pPr>
        <w:ind w:left="540"/>
        <w:jc w:val="right"/>
        <w:rPr>
          <w:rFonts w:ascii="宋体" w:hAnsi="宋体"/>
          <w:sz w:val="18"/>
          <w:szCs w:val="18"/>
        </w:rPr>
      </w:pPr>
    </w:p>
    <w:p>
      <w:pPr>
        <w:wordWrap w:val="0"/>
        <w:ind w:left="540"/>
        <w:jc w:val="right"/>
        <w:rPr>
          <w:rFonts w:ascii="宋体" w:hAnsi="宋体"/>
          <w:sz w:val="18"/>
          <w:szCs w:val="18"/>
        </w:rPr>
      </w:pPr>
      <w:r>
        <w:rPr>
          <w:rFonts w:hint="eastAsia" w:ascii="宋体" w:hAnsi="宋体"/>
          <w:sz w:val="18"/>
          <w:szCs w:val="18"/>
        </w:rPr>
        <w:t>风险揭示方：产品管理人</w:t>
      </w:r>
      <w:r>
        <w:rPr>
          <w:rFonts w:ascii="宋体" w:hAnsi="宋体"/>
          <w:sz w:val="18"/>
          <w:szCs w:val="18"/>
        </w:rPr>
        <w:t xml:space="preserve"> (</w:t>
      </w:r>
      <w:r>
        <w:rPr>
          <w:rFonts w:hint="eastAsia" w:ascii="宋体" w:hAnsi="宋体"/>
          <w:sz w:val="18"/>
          <w:szCs w:val="18"/>
        </w:rPr>
        <w:t>兴银理财有限责任公司</w:t>
      </w:r>
      <w:r>
        <w:rPr>
          <w:rFonts w:ascii="宋体" w:hAnsi="宋体"/>
          <w:sz w:val="18"/>
          <w:szCs w:val="18"/>
        </w:rPr>
        <w:t>)</w:t>
      </w:r>
    </w:p>
    <w:p>
      <w:pPr>
        <w:jc w:val="right"/>
        <w:rPr>
          <w:rFonts w:hint="eastAsia" w:ascii="宋体" w:hAnsi="宋体" w:eastAsia="宋体"/>
          <w:sz w:val="18"/>
          <w:szCs w:val="18"/>
          <w:lang w:eastAsia="zh-CN"/>
        </w:rPr>
      </w:pPr>
      <w:r>
        <w:rPr>
          <w:rFonts w:hint="eastAsia" w:ascii="宋体" w:hAnsi="宋体"/>
          <w:sz w:val="18"/>
          <w:szCs w:val="18"/>
          <w:lang w:eastAsia="zh-CN"/>
        </w:rPr>
        <w:t xml:space="preserve">销售机构（【】） </w:t>
      </w:r>
      <w:r>
        <w:rPr>
          <w:rFonts w:ascii="宋体" w:hAnsi="宋体"/>
          <w:sz w:val="18"/>
          <w:szCs w:val="18"/>
        </w:rPr>
        <w:br w:type="page"/>
      </w:r>
    </w:p>
    <w:p>
      <w:pPr>
        <w:widowControl/>
        <w:jc w:val="right"/>
        <w:rPr>
          <w:rFonts w:ascii="宋体" w:hAnsi="宋体"/>
          <w:sz w:val="18"/>
          <w:szCs w:val="18"/>
        </w:rPr>
      </w:pPr>
    </w:p>
    <w:p>
      <w:pPr>
        <w:ind w:left="540"/>
        <w:jc w:val="right"/>
        <w:rPr>
          <w:rFonts w:ascii="宋体" w:hAnsi="宋体"/>
          <w:sz w:val="18"/>
          <w:szCs w:val="18"/>
        </w:rPr>
      </w:pPr>
    </w:p>
    <w:p>
      <w:pPr>
        <w:ind w:left="540"/>
        <w:jc w:val="right"/>
        <w:rPr>
          <w:rFonts w:ascii="宋体" w:hAnsi="宋体"/>
          <w:sz w:val="18"/>
          <w:szCs w:val="18"/>
        </w:rPr>
      </w:pPr>
    </w:p>
    <w:tbl>
      <w:tblPr>
        <w:tblStyle w:val="9"/>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3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7" w:hRule="atLeast"/>
        </w:trPr>
        <w:tc>
          <w:tcPr>
            <w:tcW w:w="8371" w:type="dxa"/>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280" w:lineRule="atLeast"/>
              <w:jc w:val="center"/>
              <w:rPr>
                <w:rFonts w:ascii="宋体" w:hAnsi="宋体" w:cs="Arial"/>
                <w:b/>
                <w:kern w:val="0"/>
                <w:sz w:val="20"/>
                <w:szCs w:val="21"/>
              </w:rPr>
            </w:pPr>
            <w:r>
              <w:rPr>
                <w:rFonts w:hint="eastAsia" w:ascii="宋体" w:hAnsi="宋体" w:cs="Arial"/>
                <w:b/>
                <w:kern w:val="0"/>
                <w:sz w:val="20"/>
                <w:szCs w:val="21"/>
              </w:rPr>
              <w:t>（适用于个人投资者）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83" w:hRule="atLeast"/>
        </w:trPr>
        <w:tc>
          <w:tcPr>
            <w:tcW w:w="8371" w:type="dxa"/>
          </w:tcPr>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pPr>
              <w:spacing w:line="280" w:lineRule="atLeast"/>
              <w:jc w:val="left"/>
              <w:rPr>
                <w:rFonts w:ascii="宋体" w:hAnsi="宋体" w:cs="Arial"/>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依照</w:t>
            </w:r>
            <w:r>
              <w:rPr>
                <w:rFonts w:ascii="宋体" w:hAnsi="宋体" w:cs="Arial"/>
                <w:kern w:val="0"/>
                <w:sz w:val="18"/>
                <w:szCs w:val="18"/>
              </w:rPr>
              <w:t>销售机构</w:t>
            </w:r>
            <w:r>
              <w:rPr>
                <w:rFonts w:hint="eastAsia" w:ascii="宋体" w:hAnsi="宋体" w:cs="Arial"/>
                <w:kern w:val="0"/>
                <w:sz w:val="18"/>
                <w:szCs w:val="18"/>
              </w:rPr>
              <w:t>设置的投资者风险承受能力评级的划分</w:t>
            </w:r>
            <w:r>
              <w:rPr>
                <w:rFonts w:ascii="宋体" w:hAnsi="宋体" w:cs="Arial"/>
                <w:kern w:val="0"/>
                <w:sz w:val="18"/>
                <w:szCs w:val="18"/>
              </w:rPr>
              <w:t>标准</w:t>
            </w:r>
            <w:r>
              <w:rPr>
                <w:rFonts w:hint="eastAsia" w:ascii="宋体" w:hAnsi="宋体" w:cs="Arial"/>
                <w:kern w:val="0"/>
                <w:sz w:val="18"/>
                <w:szCs w:val="18"/>
              </w:rPr>
              <w:t>（详见《投资者权益须知》），投资者确认自身风险承受能力评级（由投资者填写）：【                        】</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本人已经阅读风险揭示，愿意承担投资风险。</w:t>
            </w:r>
          </w:p>
          <w:p>
            <w:pPr>
              <w:spacing w:line="280" w:lineRule="atLeast"/>
              <w:jc w:val="left"/>
              <w:rPr>
                <w:rFonts w:ascii="宋体" w:hAnsi="宋体" w:cs="Arial"/>
                <w:kern w:val="0"/>
                <w:sz w:val="18"/>
                <w:szCs w:val="18"/>
              </w:rPr>
            </w:pPr>
          </w:p>
          <w:p>
            <w:pPr>
              <w:spacing w:line="280" w:lineRule="atLeast"/>
              <w:jc w:val="left"/>
              <w:rPr>
                <w:kern w:val="0"/>
                <w:sz w:val="18"/>
                <w:szCs w:val="18"/>
                <w:u w:val="single"/>
              </w:rPr>
            </w:pPr>
            <w:r>
              <w:rPr>
                <w:rFonts w:hint="eastAsia" w:ascii="宋体" w:hAnsi="宋体" w:cs="Arial"/>
                <w:kern w:val="0"/>
                <w:sz w:val="18"/>
                <w:szCs w:val="18"/>
              </w:rPr>
              <w:t>请投资者在此抄录：</w:t>
            </w:r>
          </w:p>
          <w:p>
            <w:pPr>
              <w:spacing w:line="280" w:lineRule="atLeast"/>
              <w:jc w:val="left"/>
              <w:rPr>
                <w:kern w:val="0"/>
                <w:sz w:val="18"/>
                <w:szCs w:val="18"/>
                <w:u w:val="single"/>
              </w:rPr>
            </w:pPr>
          </w:p>
          <w:p>
            <w:pPr>
              <w:spacing w:line="280" w:lineRule="atLeast"/>
              <w:ind w:right="720"/>
              <w:jc w:val="left"/>
              <w:rPr>
                <w:rFonts w:ascii="宋体" w:hAnsi="宋体" w:cs="Arial"/>
                <w:kern w:val="0"/>
                <w:sz w:val="18"/>
                <w:szCs w:val="18"/>
                <w:u w:val="single"/>
              </w:rPr>
            </w:pPr>
            <w:r>
              <w:rPr>
                <w:rFonts w:hint="eastAsia" w:ascii="宋体" w:hAnsi="宋体" w:cs="Arial"/>
                <w:kern w:val="0"/>
                <w:sz w:val="18"/>
                <w:szCs w:val="18"/>
              </w:rPr>
              <w:t>投资者签名/线上确认：</w:t>
            </w:r>
          </w:p>
          <w:p>
            <w:pPr>
              <w:spacing w:line="280" w:lineRule="atLeast"/>
              <w:ind w:left="4200" w:firstLine="1080" w:firstLineChars="600"/>
              <w:jc w:val="left"/>
              <w:rPr>
                <w:rFonts w:ascii="宋体" w:hAnsi="宋体" w:cs="Arial"/>
                <w:kern w:val="0"/>
                <w:sz w:val="18"/>
                <w:szCs w:val="18"/>
              </w:rPr>
            </w:pPr>
          </w:p>
          <w:p>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pPr>
              <w:spacing w:line="280" w:lineRule="atLeast"/>
              <w:ind w:left="4200" w:firstLine="1080" w:firstLineChars="600"/>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pPr>
              <w:spacing w:line="280" w:lineRule="atLeast"/>
              <w:jc w:val="right"/>
              <w:rPr>
                <w:rFonts w:ascii="宋体" w:hAnsi="宋体"/>
                <w:kern w:val="0"/>
                <w:sz w:val="18"/>
                <w:szCs w:val="18"/>
              </w:rPr>
            </w:pPr>
          </w:p>
        </w:tc>
      </w:tr>
    </w:tbl>
    <w:p>
      <w:pPr>
        <w:autoSpaceDE w:val="0"/>
        <w:autoSpaceDN w:val="0"/>
        <w:adjustRightInd w:val="0"/>
        <w:spacing w:line="360" w:lineRule="auto"/>
        <w:ind w:firstLine="420"/>
        <w:jc w:val="left"/>
        <w:rPr>
          <w:rFonts w:ascii="宋体" w:hAnsi="宋体"/>
          <w:sz w:val="24"/>
        </w:rPr>
      </w:pPr>
    </w:p>
    <w:p>
      <w:pPr>
        <w:rPr>
          <w:rFonts w:ascii="宋体" w:hAnsi="宋体" w:cs="Arial"/>
          <w:sz w:val="24"/>
        </w:rPr>
      </w:pPr>
    </w:p>
    <w:p>
      <w:pPr>
        <w:widowControl/>
        <w:jc w:val="left"/>
        <w:rPr>
          <w:rFonts w:ascii="宋体" w:hAnsi="宋体" w:cs="Arial"/>
          <w:sz w:val="24"/>
        </w:rPr>
      </w:pPr>
      <w:r>
        <w:rPr>
          <w:rFonts w:ascii="宋体" w:hAnsi="宋体" w:cs="Arial"/>
          <w:sz w:val="24"/>
        </w:rPr>
        <w:br w:type="page"/>
      </w:r>
    </w:p>
    <w:tbl>
      <w:tblPr>
        <w:tblStyle w:val="9"/>
        <w:tblW w:w="8413"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41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23" w:hRule="atLeast"/>
        </w:trPr>
        <w:tc>
          <w:tcPr>
            <w:tcW w:w="8413" w:type="dxa"/>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280" w:lineRule="atLeast"/>
              <w:jc w:val="center"/>
              <w:rPr>
                <w:rFonts w:ascii="宋体" w:hAnsi="宋体" w:cs="Arial"/>
                <w:kern w:val="0"/>
                <w:sz w:val="24"/>
                <w:szCs w:val="20"/>
              </w:rPr>
            </w:pPr>
            <w:r>
              <w:rPr>
                <w:rFonts w:hint="eastAsia" w:ascii="宋体" w:hAnsi="宋体" w:cs="Arial"/>
                <w:b/>
                <w:kern w:val="0"/>
                <w:sz w:val="20"/>
                <w:szCs w:val="21"/>
              </w:rPr>
              <w:t>（适用于机构投资者）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355" w:hRule="atLeast"/>
        </w:trPr>
        <w:tc>
          <w:tcPr>
            <w:tcW w:w="8413" w:type="dxa"/>
          </w:tcPr>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pPr>
              <w:spacing w:line="280" w:lineRule="atLeast"/>
              <w:ind w:firstLine="360" w:firstLineChars="200"/>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依照</w:t>
            </w:r>
            <w:r>
              <w:rPr>
                <w:rFonts w:ascii="宋体" w:hAnsi="宋体" w:cs="Arial"/>
                <w:kern w:val="0"/>
                <w:sz w:val="18"/>
                <w:szCs w:val="18"/>
              </w:rPr>
              <w:t>销售机构</w:t>
            </w:r>
            <w:r>
              <w:rPr>
                <w:rFonts w:hint="eastAsia" w:ascii="宋体" w:hAnsi="宋体" w:cs="Arial"/>
                <w:kern w:val="0"/>
                <w:sz w:val="18"/>
                <w:szCs w:val="18"/>
              </w:rPr>
              <w:t>设置的投资者风险承受能力评级的划分</w:t>
            </w:r>
            <w:r>
              <w:rPr>
                <w:rFonts w:ascii="宋体" w:hAnsi="宋体" w:cs="Arial"/>
                <w:kern w:val="0"/>
                <w:sz w:val="18"/>
                <w:szCs w:val="18"/>
              </w:rPr>
              <w:t>标准</w:t>
            </w:r>
            <w:r>
              <w:rPr>
                <w:rFonts w:hint="eastAsia" w:ascii="宋体" w:hAnsi="宋体" w:cs="Arial"/>
                <w:kern w:val="0"/>
                <w:sz w:val="18"/>
                <w:szCs w:val="18"/>
              </w:rPr>
              <w:t>（详见《投资者权益须知》），投资者确认自身风险承受能力评级（由投资者填写）：【                        】</w:t>
            </w:r>
          </w:p>
          <w:p>
            <w:pPr>
              <w:spacing w:line="280" w:lineRule="atLeast"/>
              <w:ind w:firstLine="360" w:firstLineChars="200"/>
              <w:jc w:val="left"/>
              <w:rPr>
                <w:rFonts w:ascii="宋体" w:hAnsi="宋体" w:cs="Arial"/>
                <w:kern w:val="0"/>
                <w:sz w:val="18"/>
                <w:szCs w:val="18"/>
              </w:rPr>
            </w:pPr>
          </w:p>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本公司（单位）已经阅读风险揭示，愿意承担投资风险。</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请投资者在此抄录：</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机构投资者（盖章/线上确认）：</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机构投资者法定代表人或授权</w:t>
            </w:r>
            <w:r>
              <w:rPr>
                <w:rFonts w:ascii="宋体" w:hAnsi="宋体" w:cs="Arial"/>
                <w:kern w:val="0"/>
                <w:sz w:val="18"/>
                <w:szCs w:val="18"/>
              </w:rPr>
              <w:t>代理人</w:t>
            </w:r>
            <w:r>
              <w:rPr>
                <w:rFonts w:hint="eastAsia" w:ascii="宋体" w:hAnsi="宋体" w:cs="Arial"/>
                <w:kern w:val="0"/>
                <w:sz w:val="18"/>
                <w:szCs w:val="18"/>
              </w:rPr>
              <w:t>（签名/盖章/线上确认）：</w:t>
            </w:r>
          </w:p>
          <w:p>
            <w:pPr>
              <w:spacing w:line="280" w:lineRule="atLeast"/>
              <w:ind w:left="4200" w:firstLine="1080" w:firstLineChars="600"/>
              <w:jc w:val="left"/>
              <w:rPr>
                <w:rFonts w:ascii="宋体" w:hAnsi="宋体" w:cs="Arial"/>
                <w:kern w:val="0"/>
                <w:sz w:val="18"/>
                <w:szCs w:val="18"/>
              </w:rPr>
            </w:pPr>
          </w:p>
          <w:p>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pPr>
              <w:spacing w:line="280" w:lineRule="atLeast"/>
              <w:rPr>
                <w:kern w:val="0"/>
                <w:sz w:val="20"/>
                <w:szCs w:val="20"/>
              </w:rPr>
            </w:pPr>
          </w:p>
          <w:p>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pPr>
        <w:widowControl/>
        <w:jc w:val="left"/>
        <w:rPr>
          <w:rFonts w:ascii="宋体" w:hAnsi="宋体"/>
          <w:b/>
          <w:sz w:val="28"/>
          <w:szCs w:val="28"/>
        </w:rPr>
      </w:pPr>
    </w:p>
    <w:p/>
    <w:p>
      <w:pPr>
        <w:sectPr>
          <w:headerReference r:id="rId11" w:type="default"/>
          <w:footerReference r:id="rId12" w:type="default"/>
          <w:pgSz w:w="11906" w:h="16838"/>
          <w:pgMar w:top="1440" w:right="1800" w:bottom="1440" w:left="1800" w:header="567" w:footer="964" w:gutter="0"/>
          <w:pgNumType w:fmt="decimal"/>
          <w:cols w:space="425" w:num="1"/>
          <w:docGrid w:type="lines" w:linePitch="312" w:charSpace="0"/>
        </w:sectPr>
      </w:pPr>
    </w:p>
    <w:p>
      <w:pPr>
        <w:adjustRightInd w:val="0"/>
        <w:spacing w:line="276" w:lineRule="auto"/>
        <w:jc w:val="center"/>
        <w:rPr>
          <w:rStyle w:val="11"/>
          <w:rFonts w:ascii="黑体" w:hAnsi="黑体" w:eastAsia="黑体"/>
          <w:sz w:val="28"/>
          <w:szCs w:val="28"/>
        </w:rPr>
      </w:pPr>
      <w:r>
        <w:rPr>
          <w:rStyle w:val="11"/>
          <w:rFonts w:hint="eastAsia" w:ascii="黑体" w:hAnsi="黑体" w:eastAsia="黑体"/>
          <w:sz w:val="28"/>
          <w:szCs w:val="28"/>
        </w:rPr>
        <w:t>兴银理财【添利】理财产品</w:t>
      </w:r>
    </w:p>
    <w:p>
      <w:pPr>
        <w:adjustRightInd w:val="0"/>
        <w:spacing w:line="276" w:lineRule="auto"/>
        <w:jc w:val="center"/>
        <w:rPr>
          <w:rStyle w:val="11"/>
          <w:rFonts w:ascii="黑体" w:hAnsi="黑体" w:eastAsia="黑体"/>
          <w:sz w:val="28"/>
          <w:szCs w:val="28"/>
        </w:rPr>
      </w:pPr>
      <w:r>
        <w:rPr>
          <w:rStyle w:val="11"/>
          <w:rFonts w:hint="eastAsia" w:ascii="黑体" w:hAnsi="黑体" w:eastAsia="黑体"/>
          <w:sz w:val="28"/>
          <w:szCs w:val="28"/>
        </w:rPr>
        <w:t>投资者权益须知</w:t>
      </w:r>
    </w:p>
    <w:p>
      <w:pPr>
        <w:pStyle w:val="16"/>
        <w:jc w:val="center"/>
        <w:rPr>
          <w:rFonts w:hAnsi="宋体"/>
          <w:b/>
          <w:color w:val="auto"/>
          <w:sz w:val="28"/>
          <w:szCs w:val="28"/>
        </w:rPr>
      </w:pPr>
      <w:r>
        <w:rPr>
          <w:rFonts w:hint="eastAsia" w:hAnsi="宋体"/>
          <w:b/>
          <w:color w:val="auto"/>
          <w:sz w:val="28"/>
          <w:szCs w:val="28"/>
        </w:rPr>
        <w:t>（适用于个人投资者）</w:t>
      </w:r>
    </w:p>
    <w:p>
      <w:pPr>
        <w:rPr>
          <w:rFonts w:ascii="宋体" w:hAnsi="宋体"/>
          <w:b/>
          <w:sz w:val="18"/>
          <w:szCs w:val="18"/>
        </w:rPr>
      </w:pPr>
      <w:r>
        <w:rPr>
          <w:rFonts w:hint="eastAsia" w:ascii="宋体" w:hAnsi="宋体"/>
          <w:b/>
          <w:sz w:val="18"/>
          <w:szCs w:val="18"/>
        </w:rPr>
        <w:t>尊敬的投资者：</w:t>
      </w:r>
    </w:p>
    <w:p>
      <w:pPr>
        <w:spacing w:line="320" w:lineRule="exact"/>
        <w:ind w:firstLine="360" w:firstLineChars="200"/>
        <w:jc w:val="left"/>
        <w:rPr>
          <w:rFonts w:hint="eastAsia" w:ascii="宋体" w:hAnsi="宋体"/>
          <w:sz w:val="18"/>
          <w:szCs w:val="18"/>
          <w:lang w:eastAsia="zh-CN"/>
        </w:rPr>
      </w:pPr>
      <w:r>
        <w:rPr>
          <w:rFonts w:hint="eastAsia" w:ascii="宋体" w:hAnsi="宋体"/>
          <w:sz w:val="18"/>
          <w:szCs w:val="18"/>
          <w:lang w:eastAsia="zh-CN"/>
        </w:rPr>
        <w:t>感谢您通过销售机构【】以(□ 直销：产品管理人销售/■ 代销：代理销售机构销售)的形式购买兴银理财有限责任公司（以下简称“兴银理财”）作为产品管理人管理的理财产品。</w:t>
      </w:r>
    </w:p>
    <w:p>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pPr>
        <w:ind w:firstLine="360" w:firstLineChars="200"/>
        <w:rPr>
          <w:rFonts w:ascii="宋体" w:hAnsi="宋体"/>
          <w:sz w:val="18"/>
          <w:szCs w:val="18"/>
        </w:rPr>
      </w:pPr>
    </w:p>
    <w:p>
      <w:pPr>
        <w:ind w:firstLine="361" w:firstLineChars="200"/>
        <w:rPr>
          <w:rFonts w:ascii="宋体" w:hAnsi="宋体"/>
          <w:b/>
          <w:sz w:val="18"/>
          <w:szCs w:val="18"/>
        </w:rPr>
      </w:pPr>
      <w:r>
        <w:rPr>
          <w:rFonts w:hint="eastAsia" w:ascii="宋体" w:hAnsi="宋体"/>
          <w:b/>
          <w:sz w:val="18"/>
          <w:szCs w:val="18"/>
        </w:rPr>
        <w:t>一、理财产品购买流程</w:t>
      </w:r>
    </w:p>
    <w:p>
      <w:pPr>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rPr>
        <w:t>销售机构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pPr>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rPr>
        <w:t>销售机构</w:t>
      </w:r>
      <w:r>
        <w:rPr>
          <w:rFonts w:ascii="宋体" w:hAnsi="宋体"/>
          <w:sz w:val="18"/>
          <w:szCs w:val="18"/>
        </w:rPr>
        <w:t>对您的风险承受能力评估，并根据风险评估结果选择适合的产品。</w:t>
      </w:r>
      <w:r>
        <w:rPr>
          <w:rFonts w:hint="eastAsia" w:ascii="宋体" w:hAnsi="宋体"/>
          <w:sz w:val="18"/>
          <w:szCs w:val="18"/>
        </w:rPr>
        <w:t>若销售机构对您风险承受能力评估事宜另有安排的，以销售机构政策为准。</w:t>
      </w:r>
    </w:p>
    <w:p>
      <w:pPr>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协议书》《产品说明书》</w:t>
      </w:r>
      <w:r>
        <w:rPr>
          <w:rFonts w:hint="eastAsia" w:ascii="宋体" w:hAnsi="宋体"/>
          <w:sz w:val="18"/>
          <w:szCs w:val="18"/>
        </w:rPr>
        <w:t>《（代理）销售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pPr>
        <w:ind w:firstLine="360" w:firstLineChars="200"/>
        <w:rPr>
          <w:rFonts w:ascii="宋体" w:hAnsi="宋体"/>
          <w:sz w:val="18"/>
          <w:szCs w:val="18"/>
        </w:rPr>
      </w:pPr>
      <w:r>
        <w:rPr>
          <w:rFonts w:hint="eastAsia" w:ascii="宋体" w:hAnsi="宋体"/>
          <w:sz w:val="18"/>
          <w:szCs w:val="18"/>
        </w:rPr>
        <w:t>（四）销售机构营业网点或电子银行（包括但不限于网上银行、电话银行和手机银行）均可办理理财产品的购买手续，具体以代销机构情况为准。若产品管理人根据产品风险等级和市场情况确定发售渠道的，代销机构将按产品管理人要求执行。</w:t>
      </w:r>
    </w:p>
    <w:p>
      <w:pPr>
        <w:ind w:firstLine="361" w:firstLineChars="200"/>
        <w:rPr>
          <w:rFonts w:ascii="宋体" w:hAnsi="宋体"/>
          <w:b/>
          <w:sz w:val="18"/>
          <w:szCs w:val="18"/>
        </w:rPr>
      </w:pPr>
      <w:r>
        <w:rPr>
          <w:rFonts w:hint="eastAsia" w:ascii="宋体" w:hAnsi="宋体"/>
          <w:b/>
          <w:sz w:val="18"/>
          <w:szCs w:val="18"/>
        </w:rPr>
        <w:t>二、投资者风险承受能力与产品风险评级</w:t>
      </w:r>
    </w:p>
    <w:p>
      <w:pPr>
        <w:ind w:firstLine="361" w:firstLineChars="200"/>
        <w:rPr>
          <w:rFonts w:ascii="宋体" w:hAnsi="宋体"/>
          <w:b/>
          <w:sz w:val="18"/>
          <w:szCs w:val="18"/>
        </w:rPr>
      </w:pPr>
      <w:r>
        <w:rPr>
          <w:rFonts w:hint="eastAsia" w:ascii="宋体" w:hAnsi="宋体"/>
          <w:b/>
          <w:sz w:val="18"/>
          <w:szCs w:val="18"/>
        </w:rPr>
        <w:t>（一）投资者风险承受能力评估说明</w:t>
      </w:r>
    </w:p>
    <w:p>
      <w:pPr>
        <w:ind w:firstLine="360" w:firstLineChars="200"/>
        <w:rPr>
          <w:rFonts w:ascii="宋体" w:hAnsi="宋体"/>
          <w:sz w:val="18"/>
          <w:szCs w:val="18"/>
        </w:rPr>
      </w:pPr>
      <w:r>
        <w:rPr>
          <w:rFonts w:ascii="宋体" w:hAnsi="宋体"/>
          <w:sz w:val="18"/>
          <w:szCs w:val="18"/>
        </w:rPr>
        <w:t>1</w:t>
      </w:r>
      <w:r>
        <w:rPr>
          <w:rFonts w:hint="eastAsia" w:ascii="宋体" w:hAnsi="宋体"/>
          <w:sz w:val="18"/>
          <w:szCs w:val="18"/>
        </w:rPr>
        <w:t>.您购买理财产品前，应确保已完成风险承受能力评估且风险评估结果在有效期内，理财销售管理系统会记录投资者身份信息及风险评估结果信息。该评估结果有效期一年，并将作为评价您是否适合购买理财产品的重要因素。您可以通过销售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黑体" w:hAnsi="黑体" w:eastAsia="黑体"/>
          <w:sz w:val="18"/>
          <w:szCs w:val="18"/>
        </w:rPr>
        <w:t>如影响您风险承受能力的因素发生变化，请您及时重新完成风险承受能力评估。</w:t>
      </w:r>
    </w:p>
    <w:p>
      <w:pPr>
        <w:ind w:firstLine="361" w:firstLineChars="200"/>
        <w:rPr>
          <w:rFonts w:ascii="宋体" w:hAnsi="宋体"/>
          <w:b/>
          <w:sz w:val="18"/>
          <w:szCs w:val="18"/>
        </w:rPr>
      </w:pPr>
      <w:r>
        <w:rPr>
          <w:rFonts w:ascii="宋体" w:hAnsi="宋体"/>
          <w:b/>
          <w:sz w:val="18"/>
          <w:szCs w:val="18"/>
        </w:rPr>
        <w:t>2.</w:t>
      </w:r>
      <w:r>
        <w:rPr>
          <w:rFonts w:hint="eastAsia" w:ascii="宋体" w:hAnsi="宋体"/>
          <w:b/>
          <w:sz w:val="18"/>
          <w:szCs w:val="18"/>
        </w:rPr>
        <w:t>投资者风险承受能力评级与理财产品风险评级</w:t>
      </w:r>
    </w:p>
    <w:p>
      <w:pPr>
        <w:ind w:firstLine="360" w:firstLineChars="200"/>
        <w:rPr>
          <w:rFonts w:ascii="宋体" w:hAnsi="宋体"/>
          <w:sz w:val="18"/>
          <w:szCs w:val="18"/>
        </w:rPr>
      </w:pPr>
      <w:r>
        <w:rPr>
          <w:rFonts w:hint="eastAsia" w:ascii="宋体" w:hAnsi="宋体"/>
          <w:sz w:val="18"/>
          <w:szCs w:val="18"/>
        </w:rPr>
        <w:t>销售机构</w:t>
      </w:r>
      <w:r>
        <w:rPr>
          <w:rFonts w:ascii="宋体" w:hAnsi="宋体"/>
          <w:sz w:val="18"/>
          <w:szCs w:val="18"/>
        </w:rPr>
        <w:t>根据</w:t>
      </w:r>
      <w:r>
        <w:rPr>
          <w:rFonts w:hint="eastAsia" w:ascii="宋体" w:hAnsi="宋体"/>
          <w:sz w:val="18"/>
          <w:szCs w:val="18"/>
        </w:rPr>
        <w:t>投资者风险承受能力，个人投资者由低至高分为【</w:t>
      </w:r>
      <w:r>
        <w:rPr>
          <w:rFonts w:hint="eastAsia" w:ascii="宋体" w:hAnsi="宋体"/>
          <w:sz w:val="18"/>
          <w:szCs w:val="18"/>
          <w:lang w:val="en-US" w:eastAsia="zh-CN"/>
        </w:rPr>
        <w:t>C1-C6</w:t>
      </w:r>
      <w:r>
        <w:rPr>
          <w:rFonts w:hint="eastAsia" w:ascii="宋体" w:hAnsi="宋体"/>
          <w:sz w:val="18"/>
          <w:szCs w:val="18"/>
        </w:rPr>
        <w:t>】</w:t>
      </w:r>
      <w:r>
        <w:rPr>
          <w:rFonts w:ascii="宋体" w:hAnsi="宋体"/>
          <w:sz w:val="18"/>
          <w:szCs w:val="18"/>
        </w:rPr>
        <w:t>。其中，</w:t>
      </w:r>
      <w:r>
        <w:rPr>
          <w:rFonts w:hint="eastAsia" w:ascii="宋体" w:hAnsi="宋体"/>
          <w:sz w:val="18"/>
          <w:szCs w:val="18"/>
        </w:rPr>
        <w:t>【</w:t>
      </w:r>
      <w:r>
        <w:rPr>
          <w:rFonts w:hint="eastAsia" w:ascii="宋体" w:hAnsi="宋体"/>
          <w:sz w:val="18"/>
          <w:szCs w:val="18"/>
          <w:lang w:val="en-US" w:eastAsia="zh-CN"/>
        </w:rPr>
        <w:t>C1</w:t>
      </w:r>
      <w:r>
        <w:rPr>
          <w:rFonts w:hint="eastAsia" w:ascii="宋体" w:hAnsi="宋体"/>
          <w:sz w:val="18"/>
          <w:szCs w:val="18"/>
        </w:rPr>
        <w:t>】</w:t>
      </w:r>
      <w:r>
        <w:rPr>
          <w:rFonts w:ascii="宋体" w:hAnsi="宋体"/>
          <w:sz w:val="18"/>
          <w:szCs w:val="18"/>
        </w:rPr>
        <w:t>为风险承受能力最低类别，</w:t>
      </w:r>
      <w:r>
        <w:rPr>
          <w:rFonts w:hint="eastAsia" w:ascii="宋体" w:hAnsi="宋体"/>
          <w:sz w:val="18"/>
          <w:szCs w:val="18"/>
        </w:rPr>
        <w:t>【</w:t>
      </w:r>
      <w:r>
        <w:rPr>
          <w:rFonts w:hint="eastAsia" w:ascii="宋体" w:hAnsi="宋体"/>
          <w:sz w:val="18"/>
          <w:szCs w:val="18"/>
          <w:lang w:val="en-US" w:eastAsia="zh-CN"/>
        </w:rPr>
        <w:t>C6</w:t>
      </w:r>
      <w:r>
        <w:rPr>
          <w:rFonts w:hint="eastAsia" w:ascii="宋体" w:hAnsi="宋体"/>
          <w:sz w:val="18"/>
          <w:szCs w:val="18"/>
        </w:rPr>
        <w:t>】</w:t>
      </w:r>
      <w:r>
        <w:rPr>
          <w:rFonts w:ascii="宋体" w:hAnsi="宋体"/>
          <w:sz w:val="18"/>
          <w:szCs w:val="18"/>
        </w:rPr>
        <w:t>为风险承受能力最高类别。</w:t>
      </w:r>
      <w:r>
        <w:rPr>
          <w:rFonts w:hint="eastAsia" w:ascii="宋体" w:hAnsi="宋体"/>
          <w:sz w:val="18"/>
          <w:szCs w:val="18"/>
        </w:rPr>
        <w:t>投资者根据其风险承受能力评级购买对应的理财产品。</w:t>
      </w:r>
      <w:r>
        <w:rPr>
          <w:rFonts w:ascii="宋体" w:hAnsi="宋体"/>
          <w:sz w:val="18"/>
          <w:szCs w:val="18"/>
        </w:rPr>
        <w:t>投资者风险承受能力评级类型与适合购买的理财产品的对应关系为：</w:t>
      </w:r>
    </w:p>
    <w:tbl>
      <w:tblPr>
        <w:tblStyle w:val="8"/>
        <w:tblW w:w="848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757"/>
        <w:gridCol w:w="4860"/>
        <w:gridCol w:w="286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1" w:hRule="atLeast"/>
          <w:jc w:val="center"/>
        </w:trPr>
        <w:tc>
          <w:tcPr>
            <w:tcW w:w="5617" w:type="dxa"/>
            <w:gridSpan w:val="2"/>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理财产品风险评级及风险评级说明</w:t>
            </w:r>
          </w:p>
        </w:tc>
        <w:tc>
          <w:tcPr>
            <w:tcW w:w="2865" w:type="dxa"/>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对应的投资者风险承受能力评级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5" w:hRule="atLeast"/>
          <w:jc w:val="center"/>
        </w:trPr>
        <w:tc>
          <w:tcPr>
            <w:tcW w:w="757" w:type="dxa"/>
            <w:tcBorders>
              <w:top w:val="single" w:color="auto" w:sz="12" w:space="0"/>
              <w:left w:val="single" w:color="auto" w:sz="12" w:space="0"/>
              <w:right w:val="single" w:color="auto" w:sz="4"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安逸型（R1）</w:t>
            </w:r>
          </w:p>
        </w:tc>
        <w:tc>
          <w:tcPr>
            <w:tcW w:w="4860" w:type="dxa"/>
            <w:tcBorders>
              <w:top w:val="single" w:color="auto" w:sz="12" w:space="0"/>
              <w:left w:val="single" w:color="auto" w:sz="4"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本金风险低，产品投资目标不能实现的概率较低；或投资范围仅限于货币市场工具等风险极低的短期金融资产。</w:t>
            </w:r>
          </w:p>
        </w:tc>
        <w:tc>
          <w:tcPr>
            <w:tcW w:w="2865" w:type="dxa"/>
            <w:tcBorders>
              <w:top w:val="single" w:color="auto" w:sz="12" w:space="0"/>
              <w:left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安逸型（C1）及以上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谨慎型（R2）</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本金风险相对较小，收益浮动但相对较小。产品结构简单，过往业绩及净值的历史波动率低；投资标的流动性很好或为较高等级的信用主体；或者衍生品及杠杆交易对净值波动极小；估值政策清晰。</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谨慎型（C2）及以上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稳健型（R3）</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产品有一定的本金风险，收益浮动且有一定波动。产品结构简单，过往业绩及净值的历史波动率较低；投资标的流动性好或为中等及以上的信用主体；或者投资衍生品以套期保值为目的，衍生品及杠杆交易对净值波动较小；估值政策清晰。</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稳健型（C3）及以上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增长型（R4）</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产品本金风险较大。产品主要投资于流动性较好的投资标的，产品结构简单，但收益浮动且波动很大，过往业绩及净值的历史波动率较高；或者投资标的流动性较差或为中等以下的信用主体，但产品结构简单，且不投资于衍生品及杠杆交易；估值政策简单；或者投资衍生品以套期保值为目的，衍生品及杠杆交易对净值波动较大，估值政策较清晰。</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增长型（C4）及以上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进取型（R5）</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产品本金风险很大，收益浮动且波动很大。产品结构较复杂，过往业绩及净值的历史波动率高；或者投资标的流动性较差或为低等级的信用主体，期限较长；或者投资衍生品以追求收益为目的，衍生品及杠杆交易对净值波动很大；估值政策较复杂。投资者要作出谨慎的产品选择，积极的关注相关风险。</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进取型（C5）及以上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激进型（R6）</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产品本金风险极大，收益浮动且波动极大。产品结构复杂，过往业绩及净值的历史波动率很高；或者投资标的流动性很差或为极低等级的信用主体，期限很长；或者投资衍生品以追求收益为目的，衍生品及杠杆交易对净值波动极大；估值政策非常复杂。投资者需要非常谨慎的产品选择、十分积极的关注相关风险。</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 xml:space="preserve">激进型（C6） </w:t>
            </w:r>
          </w:p>
        </w:tc>
      </w:tr>
    </w:tbl>
    <w:p>
      <w:pPr>
        <w:ind w:firstLine="360" w:firstLineChars="200"/>
        <w:rPr>
          <w:rFonts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（二）针对“理财产品风险评级”、 “投资者风险承受能力”、“适合投资者类型”的不同划分与表述的特别提示</w:t>
      </w:r>
    </w:p>
    <w:p>
      <w:pPr>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w:t>
      </w:r>
      <w:r>
        <w:rPr>
          <w:rFonts w:hint="eastAsia" w:ascii="黑体" w:hAnsi="黑体" w:eastAsia="黑体"/>
          <w:sz w:val="18"/>
          <w:szCs w:val="18"/>
        </w:rPr>
        <w:t>销售机构在销售本产品时，其对“理财产品风险评级”、“投资者风险承受能力”、“适合投资者类型”等级的划分与表述可能与产品管理人存在差异，即采用销售机构设置的标准。</w:t>
      </w:r>
    </w:p>
    <w:p>
      <w:pPr>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销售机构应以书面的方式向投资者明示其对“理财产品风险评级”、“投资者风险承受能力等级”的划分与“适合投资者类型”的表述。</w:t>
      </w:r>
    </w:p>
    <w:p>
      <w:pPr>
        <w:ind w:firstLine="361" w:firstLineChars="200"/>
        <w:rPr>
          <w:rFonts w:ascii="宋体" w:hAnsi="宋体"/>
          <w:b/>
          <w:sz w:val="18"/>
          <w:szCs w:val="18"/>
        </w:rPr>
      </w:pPr>
      <w:r>
        <w:rPr>
          <w:rFonts w:hint="eastAsia" w:ascii="宋体" w:hAnsi="宋体"/>
          <w:b/>
          <w:sz w:val="18"/>
          <w:szCs w:val="18"/>
        </w:rPr>
        <w:t>三、关于理财产品的信息披露</w:t>
      </w:r>
    </w:p>
    <w:p>
      <w:pPr>
        <w:ind w:firstLine="360" w:firstLineChars="200"/>
        <w:rPr>
          <w:rFonts w:asciiTheme="minorEastAsia" w:hAnsiTheme="minorEastAsia"/>
          <w:sz w:val="18"/>
          <w:szCs w:val="18"/>
        </w:rPr>
      </w:pPr>
      <w:r>
        <w:rPr>
          <w:rFonts w:hint="eastAsia" w:ascii="宋体" w:hAnsi="宋体"/>
          <w:bCs/>
          <w:sz w:val="18"/>
          <w:szCs w:val="18"/>
        </w:rPr>
        <w:t>理财产品的信息披露将通过产品管理人或销售机构的门户网站、电子销售渠道或营业网点等进行。</w:t>
      </w:r>
      <w:r>
        <w:rPr>
          <w:rFonts w:asciiTheme="minorEastAsia" w:hAnsiTheme="minorEastAsia"/>
          <w:sz w:val="18"/>
          <w:szCs w:val="18"/>
        </w:rPr>
        <w:t>具体</w:t>
      </w:r>
      <w:r>
        <w:rPr>
          <w:rFonts w:hint="eastAsia" w:asciiTheme="minorEastAsia" w:hAnsiTheme="minorEastAsia"/>
          <w:sz w:val="18"/>
          <w:szCs w:val="18"/>
        </w:rPr>
        <w:t>信息披露的方式、渠道和频率等</w:t>
      </w:r>
      <w:r>
        <w:rPr>
          <w:rFonts w:asciiTheme="minorEastAsia" w:hAnsiTheme="minorEastAsia"/>
          <w:sz w:val="18"/>
          <w:szCs w:val="18"/>
        </w:rPr>
        <w:t>以《产品说明书》中“信息披露</w:t>
      </w:r>
      <w:r>
        <w:rPr>
          <w:rFonts w:hint="eastAsia" w:asciiTheme="minorEastAsia" w:hAnsiTheme="minorEastAsia"/>
          <w:sz w:val="18"/>
          <w:szCs w:val="18"/>
        </w:rPr>
        <w:t>”约定为准。</w:t>
      </w:r>
    </w:p>
    <w:p>
      <w:pPr>
        <w:ind w:firstLine="361" w:firstLineChars="200"/>
        <w:rPr>
          <w:rFonts w:asciiTheme="minorEastAsia" w:hAnsiTheme="minorEastAsia"/>
          <w:b/>
          <w:sz w:val="18"/>
          <w:szCs w:val="18"/>
        </w:rPr>
      </w:pPr>
      <w:r>
        <w:rPr>
          <w:rFonts w:hint="eastAsia" w:ascii="宋体" w:hAnsi="宋体"/>
          <w:b/>
          <w:sz w:val="18"/>
          <w:szCs w:val="18"/>
        </w:rPr>
        <w:t>四、关于投诉与建议</w:t>
      </w:r>
    </w:p>
    <w:p>
      <w:pPr>
        <w:ind w:firstLine="360" w:firstLineChars="200"/>
        <w:rPr>
          <w:rFonts w:ascii="宋体" w:hAnsi="宋体"/>
          <w:sz w:val="18"/>
          <w:szCs w:val="18"/>
        </w:rPr>
      </w:pPr>
      <w:r>
        <w:rPr>
          <w:rFonts w:hint="eastAsia" w:ascii="宋体" w:hAnsi="宋体"/>
          <w:sz w:val="18"/>
          <w:szCs w:val="18"/>
        </w:rPr>
        <w:t>（一）</w:t>
      </w:r>
      <w:r>
        <w:rPr>
          <w:rFonts w:hint="eastAsia" w:asciiTheme="minorEastAsia" w:hAnsiTheme="minorEastAsia"/>
          <w:sz w:val="18"/>
          <w:szCs w:val="18"/>
        </w:rPr>
        <w:t>您对本产品有任何意见或异议，可向产品管理人或</w:t>
      </w:r>
      <w:r>
        <w:rPr>
          <w:rFonts w:hint="eastAsia" w:ascii="宋体" w:hAnsi="宋体"/>
          <w:sz w:val="18"/>
          <w:szCs w:val="18"/>
        </w:rPr>
        <w:t>销售机构</w:t>
      </w:r>
      <w:r>
        <w:rPr>
          <w:rFonts w:hint="eastAsia" w:asciiTheme="minorEastAsia" w:hAnsiTheme="minorEastAsia"/>
          <w:sz w:val="18"/>
          <w:szCs w:val="18"/>
        </w:rPr>
        <w:t>反馈</w:t>
      </w:r>
      <w:r>
        <w:rPr>
          <w:rFonts w:hint="eastAsia" w:ascii="宋体" w:hAnsi="宋体"/>
          <w:sz w:val="18"/>
          <w:szCs w:val="18"/>
        </w:rPr>
        <w:t>，产品管理人或销售机构将由专人接听、记录您的意见或建议，并由各方协商共同解决。</w:t>
      </w:r>
    </w:p>
    <w:p>
      <w:pPr>
        <w:ind w:firstLine="360" w:firstLineChars="200"/>
        <w:rPr>
          <w:rFonts w:ascii="宋体" w:hAnsi="宋体"/>
          <w:sz w:val="18"/>
          <w:szCs w:val="18"/>
        </w:rPr>
      </w:pPr>
      <w:r>
        <w:rPr>
          <w:rFonts w:hint="eastAsia" w:ascii="宋体" w:hAnsi="宋体"/>
          <w:sz w:val="18"/>
          <w:szCs w:val="18"/>
        </w:rPr>
        <w:t>（二）联络方式</w:t>
      </w:r>
      <w:r>
        <w:rPr>
          <w:rFonts w:ascii="宋体" w:hAnsi="宋体"/>
          <w:sz w:val="18"/>
          <w:szCs w:val="18"/>
        </w:rPr>
        <w:t xml:space="preserve"> </w:t>
      </w:r>
    </w:p>
    <w:p>
      <w:pPr>
        <w:ind w:firstLine="360" w:firstLineChars="200"/>
        <w:rPr>
          <w:rFonts w:ascii="宋体" w:hAnsi="宋体"/>
          <w:sz w:val="18"/>
          <w:szCs w:val="18"/>
        </w:rPr>
      </w:pPr>
      <w:r>
        <w:rPr>
          <w:rFonts w:hint="eastAsia" w:ascii="宋体" w:hAnsi="宋体"/>
          <w:sz w:val="18"/>
          <w:szCs w:val="18"/>
        </w:rPr>
        <w:t>1.产品管理人：兴银理财有限责任公司</w:t>
      </w:r>
    </w:p>
    <w:p>
      <w:pPr>
        <w:ind w:firstLine="360" w:firstLineChars="200"/>
        <w:rPr>
          <w:rFonts w:ascii="宋体" w:hAnsi="宋体"/>
          <w:sz w:val="18"/>
          <w:szCs w:val="18"/>
        </w:rPr>
      </w:pPr>
      <w:r>
        <w:rPr>
          <w:rFonts w:hint="eastAsia" w:ascii="宋体" w:hAnsi="宋体"/>
          <w:sz w:val="18"/>
          <w:szCs w:val="18"/>
        </w:rPr>
        <w:t>客户服务热线：40015-95561。</w:t>
      </w:r>
    </w:p>
    <w:p>
      <w:pPr>
        <w:spacing w:line="280" w:lineRule="atLeast"/>
        <w:ind w:firstLine="360" w:firstLineChars="200"/>
        <w:outlineLvl w:val="2"/>
        <w:rPr>
          <w:rFonts w:ascii="宋体" w:hAnsi="宋体"/>
          <w:sz w:val="18"/>
          <w:szCs w:val="18"/>
        </w:rPr>
      </w:pPr>
      <w:r>
        <w:rPr>
          <w:rFonts w:hint="eastAsia" w:ascii="宋体" w:hAnsi="宋体"/>
          <w:sz w:val="18"/>
          <w:szCs w:val="18"/>
        </w:rPr>
        <w:t>2.</w:t>
      </w:r>
      <w:r>
        <w:rPr>
          <w:rFonts w:ascii="宋体" w:hAnsi="宋体"/>
          <w:sz w:val="18"/>
          <w:szCs w:val="18"/>
        </w:rPr>
        <w:t>销售机构</w:t>
      </w:r>
      <w:r>
        <w:rPr>
          <w:rFonts w:hint="eastAsia" w:ascii="宋体" w:hAnsi="宋体"/>
          <w:sz w:val="18"/>
          <w:szCs w:val="18"/>
        </w:rPr>
        <w:t>：兴业银行股份有限公司</w:t>
      </w:r>
    </w:p>
    <w:p>
      <w:pPr>
        <w:spacing w:line="280" w:lineRule="atLeast"/>
        <w:ind w:firstLine="360" w:firstLineChars="200"/>
        <w:rPr>
          <w:rFonts w:ascii="宋体" w:hAnsi="宋体"/>
          <w:sz w:val="18"/>
          <w:szCs w:val="18"/>
        </w:rPr>
      </w:pPr>
      <w:r>
        <w:rPr>
          <w:rFonts w:hint="eastAsia" w:ascii="宋体" w:hAnsi="宋体"/>
          <w:sz w:val="18"/>
          <w:szCs w:val="18"/>
        </w:rPr>
        <w:t>兴业银行理财经理或兴业银行各营业网点。</w:t>
      </w:r>
    </w:p>
    <w:p>
      <w:pPr>
        <w:spacing w:line="280" w:lineRule="atLeast"/>
        <w:ind w:firstLine="360" w:firstLineChars="200"/>
        <w:rPr>
          <w:rFonts w:ascii="宋体" w:hAnsi="宋体"/>
          <w:sz w:val="18"/>
          <w:szCs w:val="18"/>
        </w:rPr>
      </w:pPr>
      <w:r>
        <w:rPr>
          <w:rFonts w:ascii="宋体" w:hAnsi="宋体"/>
          <w:sz w:val="18"/>
          <w:szCs w:val="18"/>
        </w:rPr>
        <w:t>兴业银行</w:t>
      </w:r>
      <w:r>
        <w:rPr>
          <w:rFonts w:hint="eastAsia" w:ascii="宋体" w:hAnsi="宋体"/>
          <w:sz w:val="18"/>
          <w:szCs w:val="18"/>
        </w:rPr>
        <w:t>客户投诉电话：【</w:t>
      </w:r>
      <w:r>
        <w:rPr>
          <w:rFonts w:asciiTheme="minorEastAsia" w:hAnsiTheme="minorEastAsia"/>
          <w:sz w:val="18"/>
          <w:szCs w:val="18"/>
        </w:rPr>
        <w:t>95561</w:t>
      </w:r>
      <w:r>
        <w:rPr>
          <w:rFonts w:hint="eastAsia" w:ascii="宋体" w:hAnsi="宋体"/>
          <w:sz w:val="18"/>
          <w:szCs w:val="18"/>
        </w:rPr>
        <w:t>】。</w:t>
      </w:r>
    </w:p>
    <w:p>
      <w:pPr>
        <w:spacing w:line="280" w:lineRule="atLeast"/>
        <w:ind w:firstLine="360" w:firstLineChars="200"/>
        <w:rPr>
          <w:rFonts w:ascii="宋体" w:hAnsi="宋体"/>
          <w:sz w:val="18"/>
          <w:szCs w:val="18"/>
        </w:rPr>
      </w:pPr>
      <w:r>
        <w:rPr>
          <w:rFonts w:hint="eastAsia" w:ascii="宋体" w:hAnsi="宋体"/>
          <w:sz w:val="18"/>
          <w:szCs w:val="18"/>
        </w:rPr>
        <w:t>兴业银行总行消费者投诉受理邮箱：【9</w:t>
      </w:r>
      <w:r>
        <w:rPr>
          <w:rFonts w:ascii="宋体" w:hAnsi="宋体"/>
          <w:sz w:val="18"/>
          <w:szCs w:val="18"/>
        </w:rPr>
        <w:t>5561</w:t>
      </w:r>
      <w:r>
        <w:rPr>
          <w:rFonts w:hint="eastAsia" w:ascii="宋体" w:hAnsi="宋体"/>
          <w:sz w:val="18"/>
          <w:szCs w:val="18"/>
        </w:rPr>
        <w:t>@</w:t>
      </w:r>
      <w:r>
        <w:rPr>
          <w:rFonts w:asciiTheme="minorEastAsia" w:hAnsiTheme="minorEastAsia"/>
          <w:sz w:val="18"/>
          <w:szCs w:val="18"/>
        </w:rPr>
        <w:t>cib.com.cn</w:t>
      </w:r>
      <w:r>
        <w:rPr>
          <w:rFonts w:hint="eastAsia" w:ascii="宋体" w:hAnsi="宋体"/>
          <w:sz w:val="18"/>
          <w:szCs w:val="18"/>
        </w:rPr>
        <w:t>】。</w:t>
      </w:r>
    </w:p>
    <w:p>
      <w:pPr>
        <w:ind w:firstLine="360" w:firstLineChars="200"/>
        <w:outlineLvl w:val="2"/>
        <w:rPr>
          <w:rFonts w:ascii="宋体" w:hAnsi="宋体"/>
          <w:sz w:val="18"/>
          <w:szCs w:val="18"/>
        </w:rPr>
      </w:pPr>
      <w:r>
        <w:rPr>
          <w:rFonts w:hint="eastAsia" w:ascii="宋体" w:hAnsi="宋体"/>
          <w:sz w:val="18"/>
          <w:szCs w:val="18"/>
        </w:rPr>
        <w:t>3.销售机构：【】</w:t>
      </w:r>
    </w:p>
    <w:p>
      <w:pPr>
        <w:ind w:firstLine="360" w:firstLineChars="200"/>
        <w:rPr>
          <w:rFonts w:ascii="宋体" w:hAnsi="宋体"/>
          <w:sz w:val="18"/>
          <w:szCs w:val="18"/>
        </w:rPr>
      </w:pPr>
      <w:r>
        <w:rPr>
          <w:rFonts w:hint="eastAsia" w:ascii="宋体" w:hAnsi="宋体"/>
          <w:sz w:val="18"/>
          <w:szCs w:val="18"/>
        </w:rPr>
        <w:t>【】</w:t>
      </w:r>
    </w:p>
    <w:p>
      <w:pPr>
        <w:autoSpaceDE w:val="0"/>
        <w:autoSpaceDN w:val="0"/>
        <w:adjustRightInd w:val="0"/>
        <w:jc w:val="left"/>
        <w:rPr>
          <w:rFonts w:ascii="仿宋_GB2312" w:eastAsia="仿宋_GB2312" w:cs="仿宋_GB2312"/>
          <w:color w:val="000000"/>
          <w:kern w:val="0"/>
          <w:sz w:val="24"/>
          <w:szCs w:val="24"/>
        </w:rPr>
      </w:pPr>
    </w:p>
    <w:p>
      <w:pPr>
        <w:widowControl/>
        <w:jc w:val="left"/>
        <w:rPr>
          <w:rFonts w:ascii="宋体" w:hAnsi="宋体"/>
          <w:b/>
          <w:sz w:val="28"/>
          <w:szCs w:val="28"/>
        </w:rPr>
      </w:pPr>
      <w:r>
        <w:rPr>
          <w:rFonts w:ascii="宋体" w:hAnsi="宋体"/>
          <w:b/>
          <w:sz w:val="28"/>
          <w:szCs w:val="28"/>
        </w:rPr>
        <w:br w:type="page"/>
      </w:r>
    </w:p>
    <w:p>
      <w:pPr>
        <w:adjustRightInd w:val="0"/>
        <w:spacing w:line="280" w:lineRule="atLeast"/>
        <w:jc w:val="center"/>
        <w:rPr>
          <w:rStyle w:val="11"/>
          <w:rFonts w:ascii="黑体" w:hAnsi="黑体" w:eastAsia="黑体"/>
          <w:sz w:val="28"/>
          <w:szCs w:val="28"/>
        </w:rPr>
      </w:pPr>
      <w:r>
        <w:rPr>
          <w:rStyle w:val="11"/>
          <w:rFonts w:hint="eastAsia" w:ascii="黑体" w:hAnsi="黑体" w:eastAsia="黑体"/>
          <w:sz w:val="28"/>
          <w:szCs w:val="28"/>
        </w:rPr>
        <w:t>兴银理财【添利】理财产品</w:t>
      </w:r>
    </w:p>
    <w:p>
      <w:pPr>
        <w:adjustRightInd w:val="0"/>
        <w:spacing w:line="280" w:lineRule="atLeast"/>
        <w:jc w:val="center"/>
        <w:rPr>
          <w:rStyle w:val="11"/>
          <w:rFonts w:ascii="黑体" w:hAnsi="黑体" w:eastAsia="黑体"/>
          <w:sz w:val="28"/>
          <w:szCs w:val="28"/>
        </w:rPr>
      </w:pPr>
      <w:r>
        <w:rPr>
          <w:rStyle w:val="11"/>
          <w:rFonts w:hint="eastAsia" w:ascii="黑体" w:hAnsi="黑体" w:eastAsia="黑体"/>
          <w:sz w:val="28"/>
          <w:szCs w:val="28"/>
        </w:rPr>
        <w:t>投资者权益须知</w:t>
      </w:r>
    </w:p>
    <w:p>
      <w:pPr>
        <w:pStyle w:val="16"/>
        <w:spacing w:line="280" w:lineRule="atLeast"/>
        <w:jc w:val="center"/>
        <w:rPr>
          <w:rFonts w:hAnsi="宋体"/>
          <w:b/>
          <w:color w:val="auto"/>
          <w:sz w:val="28"/>
          <w:szCs w:val="28"/>
        </w:rPr>
      </w:pPr>
      <w:r>
        <w:rPr>
          <w:rFonts w:hint="eastAsia" w:hAnsi="宋体"/>
          <w:b/>
          <w:color w:val="auto"/>
          <w:sz w:val="28"/>
          <w:szCs w:val="28"/>
        </w:rPr>
        <w:t>（适用于</w:t>
      </w:r>
      <w:r>
        <w:rPr>
          <w:rFonts w:hint="eastAsia" w:hAnsi="宋体"/>
          <w:b/>
          <w:color w:val="auto"/>
          <w:sz w:val="28"/>
          <w:szCs w:val="28"/>
          <w:lang w:val="en-US" w:eastAsia="zh-CN"/>
        </w:rPr>
        <w:t>一般</w:t>
      </w:r>
      <w:r>
        <w:rPr>
          <w:rFonts w:hint="eastAsia" w:hAnsi="宋体"/>
          <w:b/>
          <w:color w:val="auto"/>
          <w:sz w:val="28"/>
          <w:szCs w:val="28"/>
        </w:rPr>
        <w:t>机构</w:t>
      </w:r>
      <w:r>
        <w:rPr>
          <w:rFonts w:hint="eastAsia" w:hAnsi="宋体"/>
          <w:b/>
          <w:color w:val="auto"/>
          <w:sz w:val="28"/>
          <w:szCs w:val="28"/>
          <w:lang w:val="en-US" w:eastAsia="zh-CN"/>
        </w:rPr>
        <w:t>客户</w:t>
      </w:r>
      <w:r>
        <w:rPr>
          <w:rFonts w:hint="eastAsia" w:hAnsi="宋体"/>
          <w:b/>
          <w:color w:val="auto"/>
          <w:sz w:val="28"/>
          <w:szCs w:val="28"/>
        </w:rPr>
        <w:t>）</w:t>
      </w:r>
    </w:p>
    <w:p>
      <w:pPr>
        <w:spacing w:line="280" w:lineRule="atLeast"/>
        <w:rPr>
          <w:rFonts w:ascii="宋体" w:hAnsi="宋体"/>
          <w:b/>
          <w:sz w:val="18"/>
          <w:szCs w:val="18"/>
        </w:rPr>
      </w:pPr>
      <w:r>
        <w:rPr>
          <w:rFonts w:hint="eastAsia" w:ascii="宋体" w:hAnsi="宋体"/>
          <w:b/>
          <w:sz w:val="18"/>
          <w:szCs w:val="18"/>
        </w:rPr>
        <w:t>尊敬的投资者：</w:t>
      </w:r>
    </w:p>
    <w:p>
      <w:pPr>
        <w:spacing w:line="320" w:lineRule="exact"/>
        <w:ind w:firstLine="360" w:firstLineChars="200"/>
        <w:jc w:val="left"/>
        <w:rPr>
          <w:rFonts w:hint="eastAsia" w:ascii="宋体" w:hAnsi="宋体"/>
          <w:sz w:val="18"/>
          <w:szCs w:val="18"/>
          <w:lang w:eastAsia="zh-CN"/>
        </w:rPr>
      </w:pPr>
      <w:r>
        <w:rPr>
          <w:rFonts w:hint="eastAsia" w:ascii="宋体" w:hAnsi="宋体"/>
          <w:sz w:val="18"/>
          <w:szCs w:val="18"/>
          <w:lang w:eastAsia="zh-CN"/>
        </w:rPr>
        <w:t>感谢您通过销售机构【】以(□ 直销：产品管理人销售/□ 代销：代理销售机构销售)的形式购买兴银理财有限责任公司（以下简称“兴银理财”）作为产品管理人管理的理财产品。</w:t>
      </w:r>
    </w:p>
    <w:p>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pPr>
        <w:spacing w:line="280" w:lineRule="atLeast"/>
        <w:ind w:firstLine="360" w:firstLineChars="200"/>
        <w:rPr>
          <w:rFonts w:ascii="宋体" w:hAnsi="宋体"/>
          <w:sz w:val="18"/>
          <w:szCs w:val="18"/>
        </w:rPr>
      </w:pPr>
    </w:p>
    <w:p>
      <w:pPr>
        <w:spacing w:line="280" w:lineRule="atLeast"/>
        <w:ind w:firstLine="361" w:firstLineChars="200"/>
        <w:rPr>
          <w:rFonts w:ascii="宋体" w:hAnsi="宋体"/>
          <w:b/>
          <w:sz w:val="18"/>
          <w:szCs w:val="18"/>
        </w:rPr>
      </w:pPr>
      <w:r>
        <w:rPr>
          <w:rFonts w:hint="eastAsia" w:ascii="宋体" w:hAnsi="宋体"/>
          <w:b/>
          <w:sz w:val="18"/>
          <w:szCs w:val="18"/>
        </w:rPr>
        <w:t>一、理财产品购买流程</w:t>
      </w:r>
    </w:p>
    <w:p>
      <w:pPr>
        <w:spacing w:line="280" w:lineRule="atLeast"/>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rPr>
        <w:t>销售机构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pPr>
        <w:spacing w:line="280" w:lineRule="atLeast"/>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rPr>
        <w:t>销售机构</w:t>
      </w:r>
      <w:r>
        <w:rPr>
          <w:rFonts w:ascii="宋体" w:hAnsi="宋体"/>
          <w:sz w:val="18"/>
          <w:szCs w:val="18"/>
        </w:rPr>
        <w:t>对您的风险承受能力评估，并根据风险评估结果选择适合的产品。</w:t>
      </w:r>
      <w:r>
        <w:rPr>
          <w:rFonts w:hint="eastAsia" w:ascii="宋体" w:hAnsi="宋体"/>
          <w:sz w:val="18"/>
          <w:szCs w:val="18"/>
        </w:rPr>
        <w:t>若销售机构对您风险承受能力评估事宜另有安排的，以销售机构政策为准。</w:t>
      </w:r>
    </w:p>
    <w:p>
      <w:pPr>
        <w:spacing w:line="280" w:lineRule="atLeast"/>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协议书》《产品说明书》</w:t>
      </w:r>
      <w:r>
        <w:rPr>
          <w:rFonts w:hint="eastAsia" w:ascii="宋体" w:hAnsi="宋体"/>
          <w:sz w:val="18"/>
          <w:szCs w:val="18"/>
        </w:rPr>
        <w:t>《（代理）销售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pPr>
        <w:ind w:firstLine="360" w:firstLineChars="200"/>
        <w:rPr>
          <w:rFonts w:ascii="宋体" w:hAnsi="宋体"/>
          <w:sz w:val="18"/>
          <w:szCs w:val="18"/>
        </w:rPr>
      </w:pPr>
      <w:r>
        <w:rPr>
          <w:rFonts w:hint="eastAsia" w:ascii="宋体" w:hAnsi="宋体"/>
          <w:sz w:val="18"/>
          <w:szCs w:val="18"/>
        </w:rPr>
        <w:t>（四）销售机构营业网点或电子银行（包括但不限于网上银行、电话银行和手机银行）均可办理理财产品的购买手续，具体以代销机构情况为准。若产品管理人根据产品风险等级和市场情况确定发售渠道的，代销机构将按产品管理人要求执行。</w:t>
      </w:r>
    </w:p>
    <w:p>
      <w:pPr>
        <w:spacing w:line="280" w:lineRule="atLeast"/>
        <w:ind w:firstLine="361" w:firstLineChars="200"/>
        <w:rPr>
          <w:rFonts w:ascii="宋体" w:hAnsi="宋体"/>
          <w:b/>
          <w:sz w:val="18"/>
          <w:szCs w:val="18"/>
        </w:rPr>
      </w:pPr>
      <w:r>
        <w:rPr>
          <w:rFonts w:hint="eastAsia" w:ascii="宋体" w:hAnsi="宋体"/>
          <w:b/>
          <w:sz w:val="18"/>
          <w:szCs w:val="18"/>
        </w:rPr>
        <w:t>二、投资者风险承受能力与产品风险评级</w:t>
      </w:r>
    </w:p>
    <w:p>
      <w:pPr>
        <w:spacing w:line="280" w:lineRule="atLeast"/>
        <w:ind w:firstLine="361" w:firstLineChars="200"/>
        <w:rPr>
          <w:rFonts w:ascii="宋体" w:hAnsi="宋体"/>
          <w:b/>
          <w:sz w:val="18"/>
          <w:szCs w:val="18"/>
        </w:rPr>
      </w:pPr>
      <w:r>
        <w:rPr>
          <w:rFonts w:hint="eastAsia" w:ascii="宋体" w:hAnsi="宋体"/>
          <w:b/>
          <w:sz w:val="18"/>
          <w:szCs w:val="18"/>
        </w:rPr>
        <w:t>（一）投资者风险承受能力评估说明</w:t>
      </w:r>
    </w:p>
    <w:p>
      <w:pPr>
        <w:spacing w:line="280" w:lineRule="atLeast"/>
        <w:ind w:firstLine="360" w:firstLineChars="200"/>
        <w:rPr>
          <w:rFonts w:ascii="黑体" w:hAnsi="黑体" w:eastAsia="黑体"/>
          <w:sz w:val="18"/>
          <w:szCs w:val="18"/>
        </w:rPr>
      </w:pPr>
      <w:r>
        <w:rPr>
          <w:rFonts w:hint="eastAsia" w:ascii="宋体" w:hAnsi="宋体"/>
          <w:sz w:val="18"/>
          <w:szCs w:val="18"/>
        </w:rPr>
        <w:t>1.您购买理财产品前，应确保已完成风险承受能力评估且风险评估结果在有效期内。理财销售管理系统会记录投资者身份信息及风险评估结果信息。该评估结果有效期一年，并将作为评价您是否适合购买理财产品的重要因素。您可以通过销售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黑体" w:hAnsi="黑体" w:eastAsia="黑体"/>
          <w:sz w:val="18"/>
          <w:szCs w:val="18"/>
        </w:rPr>
        <w:t>如影响您风险承受能力的因素发生变化，请您及时重新完成风险承受能力评估。</w:t>
      </w:r>
    </w:p>
    <w:p>
      <w:pPr>
        <w:ind w:firstLine="361" w:firstLineChars="200"/>
        <w:rPr>
          <w:rFonts w:ascii="宋体" w:hAnsi="宋体"/>
          <w:b/>
          <w:sz w:val="18"/>
          <w:szCs w:val="18"/>
        </w:rPr>
      </w:pPr>
      <w:r>
        <w:rPr>
          <w:rFonts w:ascii="宋体" w:hAnsi="宋体"/>
          <w:b/>
          <w:sz w:val="18"/>
          <w:szCs w:val="18"/>
        </w:rPr>
        <w:t>2</w:t>
      </w:r>
      <w:r>
        <w:rPr>
          <w:rFonts w:hint="eastAsia" w:ascii="宋体" w:hAnsi="宋体"/>
          <w:b/>
          <w:sz w:val="18"/>
          <w:szCs w:val="18"/>
        </w:rPr>
        <w:t>.投资者风险承受能力评级与理财产品风险评级</w:t>
      </w:r>
    </w:p>
    <w:p>
      <w:pPr>
        <w:ind w:firstLine="360" w:firstLineChars="200"/>
        <w:rPr>
          <w:rFonts w:ascii="宋体" w:hAnsi="宋体"/>
          <w:sz w:val="18"/>
          <w:szCs w:val="18"/>
        </w:rPr>
      </w:pPr>
      <w:r>
        <w:rPr>
          <w:rFonts w:hint="eastAsia" w:ascii="宋体" w:hAnsi="宋体"/>
          <w:sz w:val="18"/>
          <w:szCs w:val="18"/>
        </w:rPr>
        <w:t>销售机构</w:t>
      </w:r>
      <w:r>
        <w:rPr>
          <w:rFonts w:ascii="宋体" w:hAnsi="宋体"/>
          <w:sz w:val="18"/>
          <w:szCs w:val="18"/>
        </w:rPr>
        <w:t>根据</w:t>
      </w:r>
      <w:r>
        <w:rPr>
          <w:rFonts w:hint="eastAsia" w:ascii="宋体" w:hAnsi="宋体"/>
          <w:sz w:val="18"/>
          <w:szCs w:val="18"/>
        </w:rPr>
        <w:t>投资者风险承受能力，机构投资者由低至高分为【】</w:t>
      </w:r>
      <w:r>
        <w:rPr>
          <w:rFonts w:ascii="宋体" w:hAnsi="宋体"/>
          <w:sz w:val="18"/>
          <w:szCs w:val="18"/>
        </w:rPr>
        <w:t>。其中，</w:t>
      </w:r>
      <w:r>
        <w:rPr>
          <w:rFonts w:hint="eastAsia" w:ascii="宋体" w:hAnsi="宋体"/>
          <w:sz w:val="18"/>
          <w:szCs w:val="18"/>
        </w:rPr>
        <w:t>【】</w:t>
      </w:r>
      <w:r>
        <w:rPr>
          <w:rFonts w:ascii="宋体" w:hAnsi="宋体"/>
          <w:sz w:val="18"/>
          <w:szCs w:val="18"/>
        </w:rPr>
        <w:t>为风险承受能力最低类别，</w:t>
      </w:r>
      <w:r>
        <w:rPr>
          <w:rFonts w:hint="eastAsia" w:ascii="宋体" w:hAnsi="宋体"/>
          <w:sz w:val="18"/>
          <w:szCs w:val="18"/>
        </w:rPr>
        <w:t>【】</w:t>
      </w:r>
      <w:r>
        <w:rPr>
          <w:rFonts w:ascii="宋体" w:hAnsi="宋体"/>
          <w:sz w:val="18"/>
          <w:szCs w:val="18"/>
        </w:rPr>
        <w:t>为风险承受能力最高类别。</w:t>
      </w:r>
      <w:r>
        <w:rPr>
          <w:rFonts w:hint="eastAsia" w:ascii="宋体" w:hAnsi="宋体"/>
          <w:sz w:val="18"/>
          <w:szCs w:val="18"/>
        </w:rPr>
        <w:t>投资者根据其风险承受能力评级购买对应的理财产品。</w:t>
      </w:r>
      <w:r>
        <w:rPr>
          <w:rFonts w:ascii="宋体" w:hAnsi="宋体"/>
          <w:sz w:val="18"/>
          <w:szCs w:val="18"/>
        </w:rPr>
        <w:t>投资者风险承受能力评级类型与适合购买的理财产品的对应关系为：</w:t>
      </w:r>
    </w:p>
    <w:tbl>
      <w:tblPr>
        <w:tblStyle w:val="8"/>
        <w:tblW w:w="848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777"/>
        <w:gridCol w:w="4840"/>
        <w:gridCol w:w="286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1" w:hRule="atLeast"/>
          <w:jc w:val="center"/>
        </w:trPr>
        <w:tc>
          <w:tcPr>
            <w:tcW w:w="5617" w:type="dxa"/>
            <w:gridSpan w:val="2"/>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理财产品风险评级及风险评级说明</w:t>
            </w:r>
          </w:p>
        </w:tc>
        <w:tc>
          <w:tcPr>
            <w:tcW w:w="2865" w:type="dxa"/>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对应的投资者风险承受能力评级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bl>
    <w:p>
      <w:pPr>
        <w:ind w:firstLine="360" w:firstLineChars="200"/>
        <w:rPr>
          <w:rFonts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（二）针对“理财产品风险评级”、 “投资者风险承受能力”、“适合投资者类型”的不同划分与表述的特别提示</w:t>
      </w:r>
    </w:p>
    <w:p>
      <w:pPr>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w:t>
      </w:r>
      <w:r>
        <w:rPr>
          <w:rFonts w:hint="eastAsia" w:ascii="黑体" w:hAnsi="黑体" w:eastAsia="黑体"/>
          <w:sz w:val="18"/>
          <w:szCs w:val="18"/>
        </w:rPr>
        <w:t>销售机构在销售本产品时，其对“理财产品风险评级”、“投资者风险承受能力”、“适合投资者类型”等级的划分与表述可能与产品管理人存在差异，即采用销售机构设置的标准。</w:t>
      </w:r>
    </w:p>
    <w:p>
      <w:pPr>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销售机构应以书面的方式向投资者明示其对“理财产品风险评级”、“投资者风险承受能力等级”的划分与“适合投资者类型”的表述。</w:t>
      </w:r>
    </w:p>
    <w:p>
      <w:pPr>
        <w:spacing w:line="280" w:lineRule="atLeast"/>
        <w:ind w:firstLine="361" w:firstLineChars="200"/>
        <w:rPr>
          <w:rFonts w:ascii="宋体" w:hAnsi="宋体"/>
          <w:b/>
          <w:sz w:val="18"/>
          <w:szCs w:val="18"/>
        </w:rPr>
      </w:pPr>
      <w:r>
        <w:rPr>
          <w:rFonts w:hint="eastAsia" w:ascii="宋体" w:hAnsi="宋体"/>
          <w:b/>
          <w:sz w:val="18"/>
          <w:szCs w:val="18"/>
        </w:rPr>
        <w:t>三、关于理财产品的信息披露</w:t>
      </w:r>
    </w:p>
    <w:p>
      <w:pPr>
        <w:ind w:firstLine="360" w:firstLineChars="200"/>
        <w:rPr>
          <w:rFonts w:asciiTheme="minorEastAsia" w:hAnsiTheme="minorEastAsia"/>
          <w:sz w:val="18"/>
          <w:szCs w:val="18"/>
        </w:rPr>
      </w:pPr>
      <w:r>
        <w:rPr>
          <w:rFonts w:hint="eastAsia" w:ascii="宋体" w:hAnsi="宋体"/>
          <w:bCs/>
          <w:sz w:val="18"/>
          <w:szCs w:val="18"/>
        </w:rPr>
        <w:t>理财产品的信息披露将通过产品管理人或销售机构的门户网站、电子销售渠道或营业网点等进行。</w:t>
      </w:r>
      <w:r>
        <w:rPr>
          <w:rFonts w:asciiTheme="minorEastAsia" w:hAnsiTheme="minorEastAsia"/>
          <w:sz w:val="18"/>
          <w:szCs w:val="18"/>
        </w:rPr>
        <w:t>具体</w:t>
      </w:r>
      <w:r>
        <w:rPr>
          <w:rFonts w:hint="eastAsia" w:asciiTheme="minorEastAsia" w:hAnsiTheme="minorEastAsia"/>
          <w:sz w:val="18"/>
          <w:szCs w:val="18"/>
        </w:rPr>
        <w:t>信息披露的方式、渠道和频率等</w:t>
      </w:r>
      <w:r>
        <w:rPr>
          <w:rFonts w:asciiTheme="minorEastAsia" w:hAnsiTheme="minorEastAsia"/>
          <w:sz w:val="18"/>
          <w:szCs w:val="18"/>
        </w:rPr>
        <w:t>以《产品说明书》中“信息披露</w:t>
      </w:r>
      <w:r>
        <w:rPr>
          <w:rFonts w:hint="eastAsia" w:asciiTheme="minorEastAsia" w:hAnsiTheme="minorEastAsia"/>
          <w:sz w:val="18"/>
          <w:szCs w:val="18"/>
        </w:rPr>
        <w:t>”约定为准。</w:t>
      </w:r>
    </w:p>
    <w:p>
      <w:pPr>
        <w:spacing w:line="280" w:lineRule="atLeast"/>
        <w:ind w:firstLine="361" w:firstLineChars="200"/>
        <w:rPr>
          <w:rFonts w:asciiTheme="minorEastAsia" w:hAnsiTheme="minorEastAsia"/>
          <w:sz w:val="18"/>
          <w:szCs w:val="18"/>
        </w:rPr>
      </w:pPr>
      <w:r>
        <w:rPr>
          <w:rFonts w:hint="eastAsia" w:ascii="宋体" w:hAnsi="宋体"/>
          <w:b/>
          <w:sz w:val="18"/>
          <w:szCs w:val="18"/>
        </w:rPr>
        <w:t>四、关于投诉与建议</w:t>
      </w:r>
    </w:p>
    <w:p>
      <w:pPr>
        <w:spacing w:line="280" w:lineRule="atLeast"/>
        <w:ind w:firstLine="360" w:firstLineChars="200"/>
        <w:rPr>
          <w:rFonts w:ascii="宋体" w:hAnsi="宋体"/>
          <w:sz w:val="18"/>
          <w:szCs w:val="18"/>
        </w:rPr>
      </w:pPr>
      <w:r>
        <w:rPr>
          <w:rFonts w:hint="eastAsia" w:ascii="宋体" w:hAnsi="宋体"/>
          <w:sz w:val="18"/>
          <w:szCs w:val="18"/>
        </w:rPr>
        <w:t>（一）</w:t>
      </w:r>
      <w:r>
        <w:rPr>
          <w:rFonts w:hint="eastAsia" w:asciiTheme="minorEastAsia" w:hAnsiTheme="minorEastAsia"/>
          <w:sz w:val="18"/>
          <w:szCs w:val="18"/>
        </w:rPr>
        <w:t>您对本产品有任何意见或异议，可向产品管理人或</w:t>
      </w:r>
      <w:r>
        <w:rPr>
          <w:rFonts w:hint="eastAsia" w:ascii="宋体" w:hAnsi="宋体"/>
          <w:sz w:val="18"/>
          <w:szCs w:val="18"/>
        </w:rPr>
        <w:t>销售机构</w:t>
      </w:r>
      <w:r>
        <w:rPr>
          <w:rFonts w:hint="eastAsia" w:asciiTheme="minorEastAsia" w:hAnsiTheme="minorEastAsia"/>
          <w:sz w:val="18"/>
          <w:szCs w:val="18"/>
        </w:rPr>
        <w:t>反馈</w:t>
      </w:r>
      <w:r>
        <w:rPr>
          <w:rFonts w:hint="eastAsia" w:ascii="宋体" w:hAnsi="宋体"/>
          <w:sz w:val="18"/>
          <w:szCs w:val="18"/>
        </w:rPr>
        <w:t>，产品管理人或销售机构将由专人接听、记录您的意见或建议，并由各方协商共同解决。</w:t>
      </w:r>
    </w:p>
    <w:p>
      <w:pPr>
        <w:spacing w:line="280" w:lineRule="atLeast"/>
        <w:ind w:firstLine="360" w:firstLineChars="200"/>
        <w:rPr>
          <w:rFonts w:ascii="宋体" w:hAnsi="宋体"/>
          <w:sz w:val="18"/>
          <w:szCs w:val="18"/>
        </w:rPr>
      </w:pPr>
      <w:r>
        <w:rPr>
          <w:rFonts w:hint="eastAsia" w:ascii="宋体" w:hAnsi="宋体"/>
          <w:sz w:val="18"/>
          <w:szCs w:val="18"/>
        </w:rPr>
        <w:t>（二）联络方式：</w:t>
      </w:r>
    </w:p>
    <w:p>
      <w:pPr>
        <w:ind w:firstLine="360" w:firstLineChars="200"/>
        <w:rPr>
          <w:rFonts w:ascii="宋体" w:hAnsi="宋体"/>
          <w:sz w:val="18"/>
          <w:szCs w:val="18"/>
        </w:rPr>
      </w:pPr>
      <w:r>
        <w:rPr>
          <w:rFonts w:hint="eastAsia" w:ascii="宋体" w:hAnsi="宋体"/>
          <w:sz w:val="18"/>
          <w:szCs w:val="18"/>
        </w:rPr>
        <w:t>1.产品管理人：兴银理财有限责任公司</w:t>
      </w:r>
    </w:p>
    <w:p>
      <w:pPr>
        <w:ind w:firstLine="360" w:firstLineChars="200"/>
        <w:rPr>
          <w:rFonts w:ascii="宋体" w:hAnsi="宋体"/>
          <w:sz w:val="18"/>
          <w:szCs w:val="18"/>
        </w:rPr>
      </w:pPr>
      <w:r>
        <w:rPr>
          <w:rFonts w:hint="eastAsia" w:ascii="宋体" w:hAnsi="宋体"/>
          <w:sz w:val="18"/>
          <w:szCs w:val="18"/>
        </w:rPr>
        <w:t>客户服务热线：40015-95561。</w:t>
      </w:r>
    </w:p>
    <w:p>
      <w:pPr>
        <w:spacing w:line="280" w:lineRule="atLeast"/>
        <w:ind w:firstLine="360" w:firstLineChars="200"/>
        <w:outlineLvl w:val="2"/>
        <w:rPr>
          <w:rFonts w:ascii="宋体" w:hAnsi="宋体"/>
          <w:sz w:val="18"/>
          <w:szCs w:val="18"/>
        </w:rPr>
      </w:pPr>
      <w:r>
        <w:rPr>
          <w:rFonts w:hint="eastAsia" w:ascii="宋体" w:hAnsi="宋体"/>
          <w:sz w:val="18"/>
          <w:szCs w:val="18"/>
        </w:rPr>
        <w:t>2.</w:t>
      </w:r>
      <w:r>
        <w:rPr>
          <w:rFonts w:ascii="宋体" w:hAnsi="宋体"/>
          <w:sz w:val="18"/>
          <w:szCs w:val="18"/>
        </w:rPr>
        <w:t>销售机构</w:t>
      </w:r>
      <w:r>
        <w:rPr>
          <w:rFonts w:hint="eastAsia" w:ascii="宋体" w:hAnsi="宋体"/>
          <w:sz w:val="18"/>
          <w:szCs w:val="18"/>
        </w:rPr>
        <w:t>：兴业银行股份有限公司</w:t>
      </w:r>
    </w:p>
    <w:p>
      <w:pPr>
        <w:spacing w:line="280" w:lineRule="atLeast"/>
        <w:ind w:firstLine="360" w:firstLineChars="200"/>
        <w:rPr>
          <w:rFonts w:ascii="宋体" w:hAnsi="宋体"/>
          <w:sz w:val="18"/>
          <w:szCs w:val="18"/>
        </w:rPr>
      </w:pPr>
      <w:r>
        <w:rPr>
          <w:rFonts w:hint="eastAsia" w:ascii="宋体" w:hAnsi="宋体"/>
          <w:sz w:val="18"/>
          <w:szCs w:val="18"/>
        </w:rPr>
        <w:t>兴业银行理财经理或兴业银行各营业网点。</w:t>
      </w:r>
    </w:p>
    <w:p>
      <w:pPr>
        <w:spacing w:line="280" w:lineRule="atLeast"/>
        <w:ind w:firstLine="360" w:firstLineChars="200"/>
        <w:rPr>
          <w:rFonts w:ascii="宋体" w:hAnsi="宋体"/>
          <w:sz w:val="18"/>
          <w:szCs w:val="18"/>
        </w:rPr>
      </w:pPr>
      <w:r>
        <w:rPr>
          <w:rFonts w:ascii="宋体" w:hAnsi="宋体"/>
          <w:sz w:val="18"/>
          <w:szCs w:val="18"/>
        </w:rPr>
        <w:t>兴业银行</w:t>
      </w:r>
      <w:r>
        <w:rPr>
          <w:rFonts w:hint="eastAsia" w:ascii="宋体" w:hAnsi="宋体"/>
          <w:sz w:val="18"/>
          <w:szCs w:val="18"/>
        </w:rPr>
        <w:t>客户投诉电话：【</w:t>
      </w:r>
      <w:r>
        <w:rPr>
          <w:rFonts w:asciiTheme="minorEastAsia" w:hAnsiTheme="minorEastAsia"/>
          <w:sz w:val="18"/>
          <w:szCs w:val="18"/>
        </w:rPr>
        <w:t>95561</w:t>
      </w:r>
      <w:r>
        <w:rPr>
          <w:rFonts w:hint="eastAsia" w:ascii="宋体" w:hAnsi="宋体"/>
          <w:sz w:val="18"/>
          <w:szCs w:val="18"/>
        </w:rPr>
        <w:t>】。</w:t>
      </w:r>
    </w:p>
    <w:p>
      <w:pPr>
        <w:spacing w:line="280" w:lineRule="atLeast"/>
        <w:ind w:firstLine="360" w:firstLineChars="200"/>
        <w:rPr>
          <w:rFonts w:ascii="宋体" w:hAnsi="宋体"/>
          <w:sz w:val="18"/>
          <w:szCs w:val="18"/>
        </w:rPr>
      </w:pPr>
      <w:r>
        <w:rPr>
          <w:rFonts w:hint="eastAsia" w:ascii="宋体" w:hAnsi="宋体"/>
          <w:sz w:val="18"/>
          <w:szCs w:val="18"/>
        </w:rPr>
        <w:t>兴业银行总行消费者投诉受理邮箱：【9</w:t>
      </w:r>
      <w:r>
        <w:rPr>
          <w:rFonts w:ascii="宋体" w:hAnsi="宋体"/>
          <w:sz w:val="18"/>
          <w:szCs w:val="18"/>
        </w:rPr>
        <w:t>5561</w:t>
      </w:r>
      <w:r>
        <w:rPr>
          <w:rFonts w:hint="eastAsia" w:ascii="宋体" w:hAnsi="宋体"/>
          <w:sz w:val="18"/>
          <w:szCs w:val="18"/>
        </w:rPr>
        <w:t>@</w:t>
      </w:r>
      <w:r>
        <w:rPr>
          <w:rFonts w:asciiTheme="minorEastAsia" w:hAnsiTheme="minorEastAsia"/>
          <w:sz w:val="18"/>
          <w:szCs w:val="18"/>
        </w:rPr>
        <w:t>cib.com.cn</w:t>
      </w:r>
      <w:r>
        <w:rPr>
          <w:rFonts w:hint="eastAsia" w:ascii="宋体" w:hAnsi="宋体"/>
          <w:sz w:val="18"/>
          <w:szCs w:val="18"/>
        </w:rPr>
        <w:t>】。</w:t>
      </w: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40" w:lineRule="auto"/>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ascii="黑体" w:hAnsi="黑体" w:eastAsia="黑体"/>
          <w:sz w:val="28"/>
          <w:szCs w:val="28"/>
        </w:rPr>
      </w:pPr>
      <w:r>
        <w:rPr>
          <w:rStyle w:val="11"/>
          <w:rFonts w:hint="eastAsia" w:ascii="黑体" w:hAnsi="黑体" w:eastAsia="黑体"/>
          <w:sz w:val="28"/>
          <w:szCs w:val="28"/>
        </w:rPr>
        <w:t>兴银理财【添利】理财产品</w:t>
      </w:r>
    </w:p>
    <w:p>
      <w:pPr>
        <w:adjustRightInd w:val="0"/>
        <w:spacing w:line="280" w:lineRule="atLeast"/>
        <w:jc w:val="center"/>
        <w:rPr>
          <w:rStyle w:val="11"/>
          <w:rFonts w:ascii="黑体" w:hAnsi="黑体" w:eastAsia="黑体"/>
          <w:sz w:val="28"/>
          <w:szCs w:val="28"/>
        </w:rPr>
      </w:pPr>
      <w:r>
        <w:rPr>
          <w:rStyle w:val="11"/>
          <w:rFonts w:hint="eastAsia" w:ascii="黑体" w:hAnsi="黑体" w:eastAsia="黑体"/>
          <w:sz w:val="28"/>
          <w:szCs w:val="28"/>
        </w:rPr>
        <w:t>投资者权益须知</w:t>
      </w:r>
    </w:p>
    <w:p>
      <w:pPr>
        <w:pStyle w:val="16"/>
        <w:spacing w:line="280" w:lineRule="atLeast"/>
        <w:jc w:val="center"/>
        <w:rPr>
          <w:rFonts w:hAnsi="宋体"/>
          <w:b/>
          <w:color w:val="auto"/>
          <w:sz w:val="28"/>
          <w:szCs w:val="28"/>
        </w:rPr>
      </w:pPr>
      <w:r>
        <w:rPr>
          <w:rFonts w:hint="eastAsia" w:hAnsi="宋体"/>
          <w:b/>
          <w:color w:val="auto"/>
          <w:sz w:val="28"/>
          <w:szCs w:val="28"/>
        </w:rPr>
        <w:t>（适用于金融</w:t>
      </w:r>
      <w:r>
        <w:rPr>
          <w:rFonts w:hAnsi="宋体"/>
          <w:b/>
          <w:color w:val="auto"/>
          <w:sz w:val="28"/>
          <w:szCs w:val="28"/>
        </w:rPr>
        <w:t>同业客户</w:t>
      </w:r>
      <w:r>
        <w:rPr>
          <w:rFonts w:hint="eastAsia" w:hAnsi="宋体"/>
          <w:b/>
          <w:color w:val="auto"/>
          <w:sz w:val="28"/>
          <w:szCs w:val="28"/>
        </w:rPr>
        <w:t>）</w:t>
      </w:r>
    </w:p>
    <w:p>
      <w:pPr>
        <w:spacing w:line="280" w:lineRule="atLeast"/>
        <w:rPr>
          <w:rFonts w:ascii="宋体" w:hAnsi="宋体"/>
          <w:b/>
          <w:sz w:val="18"/>
          <w:szCs w:val="18"/>
        </w:rPr>
      </w:pPr>
      <w:r>
        <w:rPr>
          <w:rFonts w:hint="eastAsia" w:ascii="宋体" w:hAnsi="宋体"/>
          <w:b/>
          <w:sz w:val="18"/>
          <w:szCs w:val="18"/>
        </w:rPr>
        <w:t>尊敬的投资者：</w:t>
      </w:r>
    </w:p>
    <w:p>
      <w:pPr>
        <w:spacing w:line="320" w:lineRule="exact"/>
        <w:ind w:firstLine="360" w:firstLineChars="200"/>
        <w:jc w:val="left"/>
        <w:rPr>
          <w:rFonts w:hint="eastAsia" w:ascii="宋体" w:hAnsi="宋体"/>
          <w:sz w:val="18"/>
          <w:szCs w:val="18"/>
          <w:lang w:eastAsia="zh-CN"/>
        </w:rPr>
      </w:pPr>
      <w:r>
        <w:rPr>
          <w:rFonts w:hint="eastAsia" w:ascii="宋体" w:hAnsi="宋体"/>
          <w:sz w:val="18"/>
          <w:szCs w:val="18"/>
          <w:lang w:eastAsia="zh-CN"/>
        </w:rPr>
        <w:t>感谢您通过销售机构【】以(□ 直销：产品管理人销售/□ 代销：代理销售机构销售)的形式购买兴银理财有限责任公司（以下简称“兴银理财”）作为产品管理人管理的理财产品。</w:t>
      </w:r>
    </w:p>
    <w:p>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pPr>
        <w:spacing w:line="280" w:lineRule="atLeast"/>
        <w:ind w:firstLine="360" w:firstLineChars="200"/>
        <w:rPr>
          <w:rFonts w:ascii="宋体" w:hAnsi="宋体"/>
          <w:sz w:val="18"/>
          <w:szCs w:val="18"/>
        </w:rPr>
      </w:pPr>
    </w:p>
    <w:p>
      <w:pPr>
        <w:spacing w:line="280" w:lineRule="atLeast"/>
        <w:ind w:firstLine="361" w:firstLineChars="200"/>
        <w:rPr>
          <w:rFonts w:ascii="宋体" w:hAnsi="宋体"/>
          <w:b/>
          <w:sz w:val="18"/>
          <w:szCs w:val="18"/>
        </w:rPr>
      </w:pPr>
      <w:r>
        <w:rPr>
          <w:rFonts w:hint="eastAsia" w:ascii="宋体" w:hAnsi="宋体"/>
          <w:b/>
          <w:sz w:val="18"/>
          <w:szCs w:val="18"/>
        </w:rPr>
        <w:t>一、理财产品购买流程</w:t>
      </w:r>
    </w:p>
    <w:p>
      <w:pPr>
        <w:spacing w:line="280" w:lineRule="atLeast"/>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rPr>
        <w:t>销售机构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pPr>
        <w:spacing w:line="280" w:lineRule="atLeast"/>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rPr>
        <w:t>销售机构</w:t>
      </w:r>
      <w:r>
        <w:rPr>
          <w:rFonts w:ascii="宋体" w:hAnsi="宋体"/>
          <w:sz w:val="18"/>
          <w:szCs w:val="18"/>
        </w:rPr>
        <w:t>对您的风险承受能力评估，并根据风险评估结果选择适合的产品。</w:t>
      </w:r>
      <w:r>
        <w:rPr>
          <w:rFonts w:hint="eastAsia" w:ascii="宋体" w:hAnsi="宋体"/>
          <w:sz w:val="18"/>
          <w:szCs w:val="18"/>
        </w:rPr>
        <w:t>若销售机构对您风险承受能力评估事宜另有安排的，以销售机构政策为准。</w:t>
      </w:r>
    </w:p>
    <w:p>
      <w:pPr>
        <w:spacing w:line="280" w:lineRule="atLeast"/>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协议书》《产品说明书》</w:t>
      </w:r>
      <w:r>
        <w:rPr>
          <w:rFonts w:hint="eastAsia" w:ascii="宋体" w:hAnsi="宋体"/>
          <w:sz w:val="18"/>
          <w:szCs w:val="18"/>
        </w:rPr>
        <w:t>《（代理）销售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pPr>
        <w:ind w:firstLine="360" w:firstLineChars="200"/>
        <w:rPr>
          <w:rFonts w:ascii="宋体" w:hAnsi="宋体"/>
          <w:sz w:val="18"/>
          <w:szCs w:val="18"/>
        </w:rPr>
      </w:pPr>
      <w:r>
        <w:rPr>
          <w:rFonts w:hint="eastAsia" w:ascii="宋体" w:hAnsi="宋体"/>
          <w:sz w:val="18"/>
          <w:szCs w:val="18"/>
        </w:rPr>
        <w:t>（四）销售机构营业网点或电子银行（包括但不限于网上银行、电话银行和手机银行）均可办理理财产品的购买手续，具体以代销机构情况为准。若产品管理人根据产品风险等级和市场情况确定发售渠道的，代销机构将按产品管理人要求执行。</w:t>
      </w:r>
    </w:p>
    <w:p>
      <w:pPr>
        <w:spacing w:line="280" w:lineRule="atLeast"/>
        <w:ind w:firstLine="361" w:firstLineChars="200"/>
        <w:rPr>
          <w:rFonts w:ascii="宋体" w:hAnsi="宋体"/>
          <w:b/>
          <w:sz w:val="18"/>
          <w:szCs w:val="18"/>
        </w:rPr>
      </w:pPr>
      <w:r>
        <w:rPr>
          <w:rFonts w:hint="eastAsia" w:ascii="宋体" w:hAnsi="宋体"/>
          <w:b/>
          <w:sz w:val="18"/>
          <w:szCs w:val="18"/>
        </w:rPr>
        <w:t>二、投资者风险承受能力与产品风险评级</w:t>
      </w:r>
    </w:p>
    <w:p>
      <w:pPr>
        <w:spacing w:line="280" w:lineRule="atLeast"/>
        <w:ind w:firstLine="361" w:firstLineChars="200"/>
        <w:rPr>
          <w:rFonts w:ascii="宋体" w:hAnsi="宋体"/>
          <w:b/>
          <w:sz w:val="18"/>
          <w:szCs w:val="18"/>
        </w:rPr>
      </w:pPr>
      <w:r>
        <w:rPr>
          <w:rFonts w:hint="eastAsia" w:ascii="宋体" w:hAnsi="宋体"/>
          <w:b/>
          <w:sz w:val="18"/>
          <w:szCs w:val="18"/>
        </w:rPr>
        <w:t>（一）投资者风险承受能力评估说明</w:t>
      </w:r>
    </w:p>
    <w:p>
      <w:pPr>
        <w:spacing w:line="280" w:lineRule="atLeast"/>
        <w:ind w:firstLine="360" w:firstLineChars="200"/>
        <w:rPr>
          <w:rFonts w:ascii="黑体" w:hAnsi="黑体" w:eastAsia="黑体"/>
          <w:sz w:val="18"/>
          <w:szCs w:val="18"/>
        </w:rPr>
      </w:pPr>
      <w:r>
        <w:rPr>
          <w:rFonts w:hint="eastAsia" w:ascii="宋体" w:hAnsi="宋体"/>
          <w:sz w:val="18"/>
          <w:szCs w:val="18"/>
        </w:rPr>
        <w:t>1.您购买理财产品前，应确保已完成风险承受能力评估且风险评估结果在有效期内。理财销售管理系统会记录投资者身份信息及风险评估结果信息。该评估结果有效期一年，并将作为评价您是否适合购买理财产品的重要因素。您可以通过销售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黑体" w:hAnsi="黑体" w:eastAsia="黑体"/>
          <w:sz w:val="18"/>
          <w:szCs w:val="18"/>
        </w:rPr>
        <w:t>如影响您风险承受能力的因素发生变化，请您及时重新完成风险承受能力评估。</w:t>
      </w:r>
    </w:p>
    <w:p>
      <w:pPr>
        <w:ind w:firstLine="361" w:firstLineChars="200"/>
        <w:rPr>
          <w:rFonts w:ascii="宋体" w:hAnsi="宋体"/>
          <w:b/>
          <w:sz w:val="18"/>
          <w:szCs w:val="18"/>
        </w:rPr>
      </w:pPr>
      <w:r>
        <w:rPr>
          <w:rFonts w:ascii="宋体" w:hAnsi="宋体"/>
          <w:b/>
          <w:sz w:val="18"/>
          <w:szCs w:val="18"/>
        </w:rPr>
        <w:t>2</w:t>
      </w:r>
      <w:r>
        <w:rPr>
          <w:rFonts w:hint="eastAsia" w:ascii="宋体" w:hAnsi="宋体"/>
          <w:b/>
          <w:sz w:val="18"/>
          <w:szCs w:val="18"/>
        </w:rPr>
        <w:t>.投资者风险承受能力评级与理财产品风险评级</w:t>
      </w:r>
    </w:p>
    <w:p>
      <w:pPr>
        <w:ind w:firstLine="360" w:firstLineChars="200"/>
        <w:rPr>
          <w:rFonts w:ascii="宋体" w:hAnsi="宋体"/>
          <w:sz w:val="18"/>
          <w:szCs w:val="18"/>
        </w:rPr>
      </w:pPr>
      <w:r>
        <w:rPr>
          <w:rFonts w:hint="eastAsia" w:ascii="宋体" w:hAnsi="宋体"/>
          <w:sz w:val="18"/>
          <w:szCs w:val="18"/>
        </w:rPr>
        <w:t>销售机构</w:t>
      </w:r>
      <w:r>
        <w:rPr>
          <w:rFonts w:ascii="宋体" w:hAnsi="宋体"/>
          <w:sz w:val="18"/>
          <w:szCs w:val="18"/>
        </w:rPr>
        <w:t>根据</w:t>
      </w:r>
      <w:r>
        <w:rPr>
          <w:rFonts w:hint="eastAsia" w:ascii="宋体" w:hAnsi="宋体"/>
          <w:sz w:val="18"/>
          <w:szCs w:val="18"/>
        </w:rPr>
        <w:t>投资者风险承受能力，机构投资者由低至高分为【】</w:t>
      </w:r>
      <w:r>
        <w:rPr>
          <w:rFonts w:ascii="宋体" w:hAnsi="宋体"/>
          <w:sz w:val="18"/>
          <w:szCs w:val="18"/>
        </w:rPr>
        <w:t>。其中，</w:t>
      </w:r>
      <w:r>
        <w:rPr>
          <w:rFonts w:hint="eastAsia" w:ascii="宋体" w:hAnsi="宋体"/>
          <w:sz w:val="18"/>
          <w:szCs w:val="18"/>
        </w:rPr>
        <w:t>【】</w:t>
      </w:r>
      <w:r>
        <w:rPr>
          <w:rFonts w:ascii="宋体" w:hAnsi="宋体"/>
          <w:sz w:val="18"/>
          <w:szCs w:val="18"/>
        </w:rPr>
        <w:t>为风险承受能力最低类别，</w:t>
      </w:r>
      <w:r>
        <w:rPr>
          <w:rFonts w:hint="eastAsia" w:ascii="宋体" w:hAnsi="宋体"/>
          <w:sz w:val="18"/>
          <w:szCs w:val="18"/>
        </w:rPr>
        <w:t>【】</w:t>
      </w:r>
      <w:r>
        <w:rPr>
          <w:rFonts w:ascii="宋体" w:hAnsi="宋体"/>
          <w:sz w:val="18"/>
          <w:szCs w:val="18"/>
        </w:rPr>
        <w:t>为风险承受能力最高类别。</w:t>
      </w:r>
      <w:r>
        <w:rPr>
          <w:rFonts w:hint="eastAsia" w:ascii="宋体" w:hAnsi="宋体"/>
          <w:sz w:val="18"/>
          <w:szCs w:val="18"/>
        </w:rPr>
        <w:t>投资者根据其风险承受能力评级购买对应的理财产品。</w:t>
      </w:r>
      <w:r>
        <w:rPr>
          <w:rFonts w:ascii="宋体" w:hAnsi="宋体"/>
          <w:sz w:val="18"/>
          <w:szCs w:val="18"/>
        </w:rPr>
        <w:t>投资者风险承受能力评级类型与适合购买的理财产品的对应关系为：</w:t>
      </w:r>
    </w:p>
    <w:tbl>
      <w:tblPr>
        <w:tblStyle w:val="8"/>
        <w:tblW w:w="848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777"/>
        <w:gridCol w:w="4840"/>
        <w:gridCol w:w="286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1" w:hRule="atLeast"/>
          <w:jc w:val="center"/>
        </w:trPr>
        <w:tc>
          <w:tcPr>
            <w:tcW w:w="5617" w:type="dxa"/>
            <w:gridSpan w:val="2"/>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理财产品风险评级及风险评级说明</w:t>
            </w:r>
          </w:p>
        </w:tc>
        <w:tc>
          <w:tcPr>
            <w:tcW w:w="2865" w:type="dxa"/>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对应的投资者风险承受能力评级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bl>
    <w:p>
      <w:pPr>
        <w:ind w:firstLine="360" w:firstLineChars="200"/>
        <w:rPr>
          <w:rFonts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（二）针对“理财产品风险评级”、 “投资者风险承受能力”、“适合投资者类型”的不同划分与表述的特别提示</w:t>
      </w:r>
    </w:p>
    <w:p>
      <w:pPr>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w:t>
      </w:r>
      <w:r>
        <w:rPr>
          <w:rFonts w:hint="eastAsia" w:ascii="黑体" w:hAnsi="黑体" w:eastAsia="黑体"/>
          <w:sz w:val="18"/>
          <w:szCs w:val="18"/>
        </w:rPr>
        <w:t>销售机构在销售本产品时，其对“理财产品风险评级”、“投资者风险承受能力”、“适合投资者类型”等级的划分与表述可能与产品管理人存在差异，即采用销售机构设置的标准。</w:t>
      </w:r>
    </w:p>
    <w:p>
      <w:pPr>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销售机构应以书面的方式向投资者明示其对“理财产品风险评级”、“投资者风险承受能力等级”的划分与“适合投资者类型”的表述。</w:t>
      </w:r>
    </w:p>
    <w:p>
      <w:pPr>
        <w:spacing w:line="280" w:lineRule="atLeast"/>
        <w:ind w:firstLine="361" w:firstLineChars="200"/>
        <w:rPr>
          <w:rFonts w:ascii="宋体" w:hAnsi="宋体"/>
          <w:b/>
          <w:sz w:val="18"/>
          <w:szCs w:val="18"/>
        </w:rPr>
      </w:pPr>
      <w:r>
        <w:rPr>
          <w:rFonts w:hint="eastAsia" w:ascii="宋体" w:hAnsi="宋体"/>
          <w:b/>
          <w:sz w:val="18"/>
          <w:szCs w:val="18"/>
        </w:rPr>
        <w:t>三、关于理财产品的信息披露</w:t>
      </w:r>
    </w:p>
    <w:p>
      <w:pPr>
        <w:ind w:firstLine="360" w:firstLineChars="200"/>
        <w:rPr>
          <w:rFonts w:asciiTheme="minorEastAsia" w:hAnsiTheme="minorEastAsia"/>
          <w:sz w:val="18"/>
          <w:szCs w:val="18"/>
        </w:rPr>
      </w:pPr>
      <w:r>
        <w:rPr>
          <w:rFonts w:hint="eastAsia" w:ascii="宋体" w:hAnsi="宋体"/>
          <w:bCs/>
          <w:sz w:val="18"/>
          <w:szCs w:val="18"/>
        </w:rPr>
        <w:t>理财产品的信息披露将通过产品管理人或销售机构的门户网站、电子销售渠道或营业网点等进行。</w:t>
      </w:r>
      <w:r>
        <w:rPr>
          <w:rFonts w:asciiTheme="minorEastAsia" w:hAnsiTheme="minorEastAsia"/>
          <w:sz w:val="18"/>
          <w:szCs w:val="18"/>
        </w:rPr>
        <w:t>具体</w:t>
      </w:r>
      <w:r>
        <w:rPr>
          <w:rFonts w:hint="eastAsia" w:asciiTheme="minorEastAsia" w:hAnsiTheme="minorEastAsia"/>
          <w:sz w:val="18"/>
          <w:szCs w:val="18"/>
        </w:rPr>
        <w:t>信息披露的方式、渠道和频率等</w:t>
      </w:r>
      <w:r>
        <w:rPr>
          <w:rFonts w:asciiTheme="minorEastAsia" w:hAnsiTheme="minorEastAsia"/>
          <w:sz w:val="18"/>
          <w:szCs w:val="18"/>
        </w:rPr>
        <w:t>以《产品说明书》中“信息披露</w:t>
      </w:r>
      <w:r>
        <w:rPr>
          <w:rFonts w:hint="eastAsia" w:asciiTheme="minorEastAsia" w:hAnsiTheme="minorEastAsia"/>
          <w:sz w:val="18"/>
          <w:szCs w:val="18"/>
        </w:rPr>
        <w:t>”约定为准。</w:t>
      </w:r>
    </w:p>
    <w:p>
      <w:pPr>
        <w:spacing w:line="280" w:lineRule="atLeast"/>
        <w:ind w:firstLine="361" w:firstLineChars="200"/>
        <w:rPr>
          <w:rFonts w:asciiTheme="minorEastAsia" w:hAnsiTheme="minorEastAsia"/>
          <w:sz w:val="18"/>
          <w:szCs w:val="18"/>
        </w:rPr>
      </w:pPr>
      <w:r>
        <w:rPr>
          <w:rFonts w:hint="eastAsia" w:ascii="宋体" w:hAnsi="宋体"/>
          <w:b/>
          <w:sz w:val="18"/>
          <w:szCs w:val="18"/>
        </w:rPr>
        <w:t>四、关于投诉与建议</w:t>
      </w:r>
    </w:p>
    <w:p>
      <w:pPr>
        <w:spacing w:line="280" w:lineRule="atLeast"/>
        <w:ind w:firstLine="360" w:firstLineChars="200"/>
        <w:rPr>
          <w:rFonts w:ascii="宋体" w:hAnsi="宋体"/>
          <w:sz w:val="18"/>
          <w:szCs w:val="18"/>
        </w:rPr>
      </w:pPr>
      <w:r>
        <w:rPr>
          <w:rFonts w:hint="eastAsia" w:ascii="宋体" w:hAnsi="宋体"/>
          <w:sz w:val="18"/>
          <w:szCs w:val="18"/>
        </w:rPr>
        <w:t>（一）</w:t>
      </w:r>
      <w:r>
        <w:rPr>
          <w:rFonts w:hint="eastAsia" w:asciiTheme="minorEastAsia" w:hAnsiTheme="minorEastAsia"/>
          <w:sz w:val="18"/>
          <w:szCs w:val="18"/>
        </w:rPr>
        <w:t>您对本产品有任何意见或异议，可向产品管理人或</w:t>
      </w:r>
      <w:r>
        <w:rPr>
          <w:rFonts w:hint="eastAsia" w:ascii="宋体" w:hAnsi="宋体"/>
          <w:sz w:val="18"/>
          <w:szCs w:val="18"/>
        </w:rPr>
        <w:t>销售机构</w:t>
      </w:r>
      <w:r>
        <w:rPr>
          <w:rFonts w:hint="eastAsia" w:asciiTheme="minorEastAsia" w:hAnsiTheme="minorEastAsia"/>
          <w:sz w:val="18"/>
          <w:szCs w:val="18"/>
        </w:rPr>
        <w:t>反馈</w:t>
      </w:r>
      <w:r>
        <w:rPr>
          <w:rFonts w:hint="eastAsia" w:ascii="宋体" w:hAnsi="宋体"/>
          <w:sz w:val="18"/>
          <w:szCs w:val="18"/>
        </w:rPr>
        <w:t>，产品管理人或销售机构将由专人接听、记录您的意见或建议，并由各方协商共同解决。</w:t>
      </w:r>
    </w:p>
    <w:p>
      <w:pPr>
        <w:spacing w:line="280" w:lineRule="atLeast"/>
        <w:ind w:firstLine="360" w:firstLineChars="200"/>
        <w:rPr>
          <w:rFonts w:ascii="宋体" w:hAnsi="宋体"/>
          <w:sz w:val="18"/>
          <w:szCs w:val="18"/>
        </w:rPr>
      </w:pPr>
      <w:r>
        <w:rPr>
          <w:rFonts w:hint="eastAsia" w:ascii="宋体" w:hAnsi="宋体"/>
          <w:sz w:val="18"/>
          <w:szCs w:val="18"/>
        </w:rPr>
        <w:t>（二）联络方式：</w:t>
      </w:r>
    </w:p>
    <w:p>
      <w:pPr>
        <w:ind w:firstLine="360" w:firstLineChars="200"/>
        <w:rPr>
          <w:rFonts w:ascii="宋体" w:hAnsi="宋体"/>
          <w:sz w:val="18"/>
          <w:szCs w:val="18"/>
        </w:rPr>
      </w:pPr>
      <w:r>
        <w:rPr>
          <w:rFonts w:hint="eastAsia" w:ascii="宋体" w:hAnsi="宋体"/>
          <w:sz w:val="18"/>
          <w:szCs w:val="18"/>
        </w:rPr>
        <w:t>1.产品管理人：兴银理财有限责任公司</w:t>
      </w:r>
    </w:p>
    <w:p>
      <w:pPr>
        <w:ind w:firstLine="360" w:firstLineChars="200"/>
        <w:rPr>
          <w:rFonts w:ascii="宋体" w:hAnsi="宋体"/>
          <w:sz w:val="18"/>
          <w:szCs w:val="18"/>
        </w:rPr>
      </w:pPr>
      <w:r>
        <w:rPr>
          <w:rFonts w:hint="eastAsia" w:ascii="宋体" w:hAnsi="宋体"/>
          <w:sz w:val="18"/>
          <w:szCs w:val="18"/>
        </w:rPr>
        <w:t>客户服务热线：40015-95561。</w:t>
      </w:r>
    </w:p>
    <w:p>
      <w:pPr>
        <w:spacing w:line="280" w:lineRule="atLeast"/>
        <w:ind w:firstLine="360" w:firstLineChars="200"/>
        <w:outlineLvl w:val="2"/>
        <w:rPr>
          <w:rFonts w:ascii="宋体" w:hAnsi="宋体"/>
          <w:sz w:val="18"/>
          <w:szCs w:val="18"/>
        </w:rPr>
      </w:pPr>
      <w:r>
        <w:rPr>
          <w:rFonts w:hint="eastAsia" w:ascii="宋体" w:hAnsi="宋体"/>
          <w:sz w:val="18"/>
          <w:szCs w:val="18"/>
        </w:rPr>
        <w:t>2.</w:t>
      </w:r>
      <w:r>
        <w:rPr>
          <w:rFonts w:ascii="宋体" w:hAnsi="宋体"/>
          <w:sz w:val="18"/>
          <w:szCs w:val="18"/>
        </w:rPr>
        <w:t>销售机构</w:t>
      </w:r>
      <w:r>
        <w:rPr>
          <w:rFonts w:hint="eastAsia" w:ascii="宋体" w:hAnsi="宋体"/>
          <w:sz w:val="18"/>
          <w:szCs w:val="18"/>
        </w:rPr>
        <w:t>：兴业银行股份有限公司</w:t>
      </w:r>
    </w:p>
    <w:p>
      <w:pPr>
        <w:spacing w:line="280" w:lineRule="atLeast"/>
        <w:ind w:firstLine="360" w:firstLineChars="200"/>
        <w:rPr>
          <w:rFonts w:ascii="宋体" w:hAnsi="宋体"/>
          <w:sz w:val="18"/>
          <w:szCs w:val="18"/>
        </w:rPr>
      </w:pPr>
      <w:r>
        <w:rPr>
          <w:rFonts w:hint="eastAsia" w:ascii="宋体" w:hAnsi="宋体"/>
          <w:sz w:val="18"/>
          <w:szCs w:val="18"/>
        </w:rPr>
        <w:t>兴业银行理财经理或兴业银行各营业网点。</w:t>
      </w:r>
    </w:p>
    <w:p>
      <w:pPr>
        <w:spacing w:line="280" w:lineRule="atLeast"/>
        <w:ind w:firstLine="360" w:firstLineChars="200"/>
        <w:rPr>
          <w:rFonts w:ascii="宋体" w:hAnsi="宋体"/>
          <w:sz w:val="18"/>
          <w:szCs w:val="18"/>
        </w:rPr>
      </w:pPr>
      <w:r>
        <w:rPr>
          <w:rFonts w:ascii="宋体" w:hAnsi="宋体"/>
          <w:sz w:val="18"/>
          <w:szCs w:val="18"/>
        </w:rPr>
        <w:t>兴业银行</w:t>
      </w:r>
      <w:r>
        <w:rPr>
          <w:rFonts w:hint="eastAsia" w:ascii="宋体" w:hAnsi="宋体"/>
          <w:sz w:val="18"/>
          <w:szCs w:val="18"/>
        </w:rPr>
        <w:t>客户投诉电话：【</w:t>
      </w:r>
      <w:r>
        <w:rPr>
          <w:rFonts w:asciiTheme="minorEastAsia" w:hAnsiTheme="minorEastAsia"/>
          <w:sz w:val="18"/>
          <w:szCs w:val="18"/>
        </w:rPr>
        <w:t>95561</w:t>
      </w:r>
      <w:r>
        <w:rPr>
          <w:rFonts w:hint="eastAsia" w:ascii="宋体" w:hAnsi="宋体"/>
          <w:sz w:val="18"/>
          <w:szCs w:val="18"/>
        </w:rPr>
        <w:t>】。</w:t>
      </w:r>
    </w:p>
    <w:p>
      <w:pPr>
        <w:spacing w:line="280" w:lineRule="atLeast"/>
        <w:ind w:firstLine="360" w:firstLineChars="200"/>
        <w:rPr>
          <w:rFonts w:ascii="宋体" w:hAnsi="宋体"/>
          <w:sz w:val="18"/>
          <w:szCs w:val="18"/>
        </w:rPr>
      </w:pPr>
      <w:r>
        <w:rPr>
          <w:rFonts w:hint="eastAsia" w:ascii="宋体" w:hAnsi="宋体"/>
          <w:sz w:val="18"/>
          <w:szCs w:val="18"/>
        </w:rPr>
        <w:t>兴业银行总行消费者投诉受理邮箱：【9</w:t>
      </w:r>
      <w:r>
        <w:rPr>
          <w:rFonts w:ascii="宋体" w:hAnsi="宋体"/>
          <w:sz w:val="18"/>
          <w:szCs w:val="18"/>
        </w:rPr>
        <w:t>5561</w:t>
      </w:r>
      <w:r>
        <w:rPr>
          <w:rFonts w:hint="eastAsia" w:ascii="宋体" w:hAnsi="宋体"/>
          <w:sz w:val="18"/>
          <w:szCs w:val="18"/>
        </w:rPr>
        <w:t>@</w:t>
      </w:r>
      <w:r>
        <w:rPr>
          <w:rFonts w:asciiTheme="minorEastAsia" w:hAnsiTheme="minorEastAsia"/>
          <w:sz w:val="18"/>
          <w:szCs w:val="18"/>
        </w:rPr>
        <w:t>cib.com.cn</w:t>
      </w:r>
      <w:r>
        <w:rPr>
          <w:rFonts w:hint="eastAsia" w:ascii="宋体" w:hAnsi="宋体"/>
          <w:sz w:val="18"/>
          <w:szCs w:val="18"/>
        </w:rPr>
        <w:t>】。</w:t>
      </w:r>
    </w:p>
    <w:p>
      <w:pPr>
        <w:ind w:firstLine="360" w:firstLineChars="200"/>
        <w:rPr>
          <w:rFonts w:ascii="宋体" w:hAnsi="宋体"/>
          <w:sz w:val="18"/>
          <w:szCs w:val="18"/>
        </w:rPr>
      </w:pPr>
    </w:p>
    <w:p>
      <w:pPr>
        <w:autoSpaceDE w:val="0"/>
        <w:autoSpaceDN w:val="0"/>
        <w:adjustRightInd w:val="0"/>
        <w:spacing w:line="280" w:lineRule="atLeast"/>
        <w:jc w:val="left"/>
        <w:rPr>
          <w:rFonts w:ascii="仿宋_GB2312" w:eastAsia="仿宋_GB2312" w:cs="仿宋_GB2312"/>
          <w:color w:val="000000"/>
          <w:kern w:val="0"/>
          <w:sz w:val="24"/>
          <w:szCs w:val="24"/>
        </w:rPr>
      </w:pPr>
    </w:p>
    <w:p>
      <w:pPr>
        <w:widowControl/>
        <w:spacing w:line="280" w:lineRule="atLeast"/>
        <w:jc w:val="left"/>
        <w:rPr>
          <w:rFonts w:ascii="宋体" w:hAnsi="宋体"/>
          <w:b/>
          <w:sz w:val="28"/>
          <w:szCs w:val="28"/>
        </w:rPr>
      </w:pPr>
    </w:p>
    <w:p/>
    <w:p/>
    <w:sectPr>
      <w:headerReference r:id="rId13" w:type="default"/>
      <w:footerReference r:id="rId14" w:type="default"/>
      <w:pgSz w:w="11906" w:h="16838"/>
      <w:pgMar w:top="1440" w:right="1800" w:bottom="1440" w:left="1800" w:header="567" w:footer="964"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pBdr>
        <w:top w:val="none" w:color="auto" w:sz="0" w:space="0"/>
        <w:left w:val="none" w:color="auto" w:sz="0" w:space="0"/>
        <w:bottom w:val="none" w:color="auto" w:sz="0" w:space="0"/>
        <w:right w:val="none" w:color="auto" w:sz="0" w:space="0"/>
        <w:between w:val="none" w:color="auto" w:sz="8" w:space="0"/>
      </w:pBdr>
      <w:spacing w:after="0" w:afterLines="0"/>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pBdr>
        <w:top w:val="none" w:color="auto" w:sz="0" w:space="0"/>
        <w:left w:val="none" w:color="auto" w:sz="0" w:space="0"/>
        <w:bottom w:val="none" w:color="auto" w:sz="0" w:space="0"/>
        <w:right w:val="none" w:color="auto" w:sz="0" w:space="0"/>
        <w:between w:val="none" w:color="auto" w:sz="8" w:space="0"/>
      </w:pBdr>
      <w:spacing w:after="0" w:afterLines="0"/>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sdt>
    <w:sdtPr>
      <w:id w:val="-408925579"/>
      <w:showingPlcHdr/>
    </w:sdtPr>
    <w:sdtContent>
      <w:p>
        <w:pPr>
          <w:pStyle w:val="3"/>
          <w:jc w:val="center"/>
          <w:rPr>
            <w:rFonts w:ascii="黑体" w:hAnsi="黑体" w:eastAsia="黑体"/>
            <w:szCs w:val="18"/>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pBdr>
        <w:top w:val="none" w:color="auto" w:sz="0" w:space="0"/>
        <w:left w:val="none" w:color="auto" w:sz="0" w:space="0"/>
        <w:bottom w:val="none" w:color="auto" w:sz="0" w:space="0"/>
        <w:right w:val="none" w:color="auto" w:sz="0" w:space="0"/>
        <w:between w:val="none" w:color="auto" w:sz="8" w:space="0"/>
      </w:pBdr>
      <w:spacing w:after="0" w:afterLines="0"/>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p>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pBdr>
        <w:top w:val="none" w:color="auto" w:sz="0" w:space="0"/>
        <w:left w:val="none" w:color="auto" w:sz="0" w:space="0"/>
        <w:bottom w:val="none" w:color="auto" w:sz="0" w:space="0"/>
        <w:right w:val="none" w:color="auto" w:sz="0" w:space="0"/>
        <w:between w:val="none" w:color="auto" w:sz="8" w:space="0"/>
      </w:pBdr>
      <w:spacing w:after="0" w:afterLines="0"/>
    </w:pPr>
    <w:r>
      <w:rPr>
        <w:rStyle w:val="12"/>
      </w:rPr>
      <w:fldChar w:fldCharType="begin"/>
    </w:r>
    <w:r>
      <w:rPr>
        <w:rStyle w:val="12"/>
      </w:rPr>
      <w:instrText xml:space="preserve"> PAGE  </w:instrText>
    </w:r>
    <w:r>
      <w:rPr>
        <w:rStyle w:val="12"/>
      </w:rPr>
      <w:fldChar w:fldCharType="separate"/>
    </w:r>
    <w:r>
      <w:rPr>
        <w:rStyle w:val="12"/>
      </w:rPr>
      <w:t>57</w:t>
    </w:r>
    <w:r>
      <w:rPr>
        <w:rStyle w:val="12"/>
      </w:rPr>
      <w:fldChar w:fldCharType="end"/>
    </w:r>
  </w:p>
  <w:sdt>
    <w:sdtPr>
      <w:id w:val="-1184442659"/>
      <w:showingPlcHdr/>
    </w:sdtPr>
    <w:sdtContent>
      <w:p>
        <w:pPr>
          <w:pStyle w:val="3"/>
          <w:jc w:val="center"/>
        </w:pP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pBdr>
        <w:top w:val="none" w:color="auto" w:sz="0" w:space="0"/>
        <w:left w:val="none" w:color="auto" w:sz="0" w:space="0"/>
        <w:bottom w:val="none" w:color="auto" w:sz="0" w:space="0"/>
        <w:right w:val="none" w:color="auto" w:sz="0" w:space="0"/>
        <w:between w:val="none" w:color="auto" w:sz="8" w:space="0"/>
      </w:pBdr>
      <w:spacing w:after="0" w:afterLines="0"/>
    </w:pPr>
    <w:r>
      <w:rPr>
        <w:rStyle w:val="12"/>
      </w:rPr>
      <w:fldChar w:fldCharType="begin"/>
    </w:r>
    <w:r>
      <w:rPr>
        <w:rStyle w:val="12"/>
      </w:rPr>
      <w:instrText xml:space="preserve"> PAGE  </w:instrText>
    </w:r>
    <w:r>
      <w:rPr>
        <w:rStyle w:val="12"/>
      </w:rPr>
      <w:fldChar w:fldCharType="separate"/>
    </w:r>
    <w:r>
      <w:rPr>
        <w:rStyle w:val="12"/>
      </w:rPr>
      <w:t>63</w:t>
    </w:r>
    <w:r>
      <w:rPr>
        <w:rStyle w:val="12"/>
      </w:rPr>
      <w:fldChar w:fldCharType="end"/>
    </w:r>
  </w:p>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pPr>
                            <w:pStyle w:val="3"/>
                          </w:pPr>
                          <w:r>
                            <w:fldChar w:fldCharType="begin"/>
                          </w:r>
                          <w:r>
                            <w:instrText xml:space="preserve"> PAGE  \* MERGEFORMAT </w:instrText>
                          </w:r>
                          <w:r>
                            <w:fldChar w:fldCharType="separate"/>
                          </w:r>
                          <w:r>
                            <w:t>5</w:t>
                          </w:r>
                          <w: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tbuXfQAAAAAgEAAA8AAAAAAAAAAQAgAAAAIgAAAGRycy9kb3ducmV2LnhtbFBLAQIUABQA&#10;AAAIAIdO4kBp9mqe+AEAAAAEAAAOAAAAAAAAAAEAIAAAAB8BAABkcnMvZTJvRG9jLnhtbFBLBQYA&#10;AAAABgAGAFkBAACJBQ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pBdr>
        <w:top w:val="none" w:color="auto" w:sz="0" w:space="0"/>
        <w:left w:val="none" w:color="auto" w:sz="0" w:space="0"/>
        <w:bottom w:val="none" w:color="auto" w:sz="0" w:space="0"/>
        <w:right w:val="none" w:color="auto" w:sz="0" w:space="0"/>
        <w:between w:val="none" w:color="auto" w:sz="8" w:space="0"/>
      </w:pBdr>
      <w:spacing w:after="0" w:afterLines="0"/>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b/>
      </w:rPr>
    </w:pPr>
    <w:r>
      <w:rPr>
        <w:rFonts w:hint="eastAsia"/>
        <w:b/>
      </w:rPr>
      <w:t>投资协议书</w:t>
    </w:r>
  </w:p>
  <w:p>
    <w:pPr>
      <w:pStyle w:val="4"/>
      <w:jc w:val="right"/>
      <w:rPr>
        <w:b/>
      </w:rPr>
    </w:pPr>
    <w:r>
      <w:rPr>
        <w:rFonts w:hint="eastAsia"/>
        <w:b/>
      </w:rPr>
      <w:t>注：本文件由兴银理财有限责任公司统一编制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cs="Times New Roman"/>
        <w:b/>
        <w:szCs w:val="20"/>
      </w:rPr>
    </w:pPr>
    <w:r>
      <w:rPr>
        <w:rFonts w:hint="eastAsia"/>
      </w:rPr>
      <w:t xml:space="preserve"> </w:t>
    </w:r>
    <w:r>
      <w:rPr>
        <w:rFonts w:hint="eastAsia" w:ascii="Times New Roman" w:hAnsi="Times New Roman" w:cs="Times New Roman"/>
        <w:b/>
        <w:szCs w:val="20"/>
      </w:rPr>
      <w:t>产品说明书</w:t>
    </w:r>
  </w:p>
  <w:p>
    <w:pPr>
      <w:pStyle w:val="4"/>
      <w:jc w:val="right"/>
    </w:pPr>
    <w:r>
      <w:rPr>
        <w:rFonts w:hint="eastAsia" w:ascii="Times New Roman" w:hAnsi="Times New Roman" w:cs="Times New Roman"/>
        <w:b/>
        <w:szCs w:val="20"/>
      </w:rPr>
      <w:t>注：本文件由兴银理财有限责任公司统一编制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rPr>
      <w:t xml:space="preserve">                             </w:t>
    </w:r>
    <w:r>
      <w:t xml:space="preserve">    </w:t>
    </w:r>
    <w:r>
      <w:rPr>
        <w:rFonts w:hint="eastAsia"/>
      </w:rPr>
      <w:t xml:space="preserve"> </w:t>
    </w:r>
    <w:r>
      <w:t xml:space="preserve">                    </w:t>
    </w:r>
    <w:r>
      <w:rPr>
        <w:rFonts w:hint="eastAsia" w:ascii="Times New Roman" w:hAnsi="Times New Roman" w:eastAsia="宋体" w:cs="Times New Roman"/>
        <w:b/>
        <w:szCs w:val="20"/>
      </w:rPr>
      <w:t>（代理）销售协议书</w:t>
    </w:r>
  </w:p>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注：本文件由兴银理财有限责任公司统一编制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风险揭示书</w:t>
    </w:r>
  </w:p>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注：本文件由兴银理财有限责任公司统一编制</w:t>
    </w:r>
  </w:p>
  <w:p>
    <w:pPr>
      <w:pStyle w:val="4"/>
      <w:pBdr>
        <w:bottom w:val="none" w:color="auto" w:sz="0" w:space="0"/>
      </w:pBdr>
      <w:jc w:val="right"/>
      <w:rPr>
        <w:rFonts w:ascii="Times New Roman" w:hAnsi="Times New Roman" w:eastAsia="宋体" w:cs="Times New Roman"/>
        <w:b/>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投资者权益须知</w:t>
    </w:r>
  </w:p>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注：本文件由兴银理财有限责任公司统一编制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9B3C96"/>
    <w:rsid w:val="44D95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120" w:after="120" w:line="360" w:lineRule="auto"/>
      <w:outlineLvl w:val="0"/>
    </w:pPr>
    <w:rPr>
      <w:rFonts w:ascii="宋体"/>
      <w:b/>
      <w:color w:val="000000"/>
      <w:kern w:val="0"/>
      <w:sz w:val="24"/>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rPr>
  </w:style>
  <w:style w:type="paragraph" w:styleId="5">
    <w:name w:val="toc 1"/>
    <w:basedOn w:val="1"/>
    <w:next w:val="1"/>
    <w:qFormat/>
    <w:uiPriority w:val="39"/>
    <w:pPr>
      <w:tabs>
        <w:tab w:val="right" w:leader="dot" w:pos="8296"/>
      </w:tabs>
      <w:spacing w:line="360" w:lineRule="auto"/>
    </w:pPr>
  </w:style>
  <w:style w:type="paragraph" w:styleId="6">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22"/>
    <w:rPr>
      <w:b/>
      <w:bCs/>
    </w:rPr>
  </w:style>
  <w:style w:type="character" w:styleId="12">
    <w:name w:val="page number"/>
    <w:basedOn w:val="10"/>
    <w:uiPriority w:val="0"/>
  </w:style>
  <w:style w:type="character" w:styleId="13">
    <w:name w:val="Hyperlink"/>
    <w:basedOn w:val="10"/>
    <w:unhideWhenUsed/>
    <w:qFormat/>
    <w:uiPriority w:val="99"/>
    <w:rPr>
      <w:color w:val="0563C1" w:themeColor="hyperlink"/>
      <w:u w:val="single"/>
      <w14:textFill>
        <w14:solidFill>
          <w14:schemeClr w14:val="hlink"/>
        </w14:solidFill>
      </w14:textFill>
    </w:rPr>
  </w:style>
  <w:style w:type="paragraph" w:styleId="14">
    <w:name w:val="List Paragraph"/>
    <w:basedOn w:val="1"/>
    <w:qFormat/>
    <w:uiPriority w:val="0"/>
    <w:pPr>
      <w:ind w:firstLine="420" w:firstLineChars="200"/>
    </w:pPr>
  </w:style>
  <w:style w:type="paragraph" w:customStyle="1" w:styleId="15">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75B6" w:themeColor="accent1" w:themeShade="BF"/>
      <w:sz w:val="32"/>
      <w:szCs w:val="32"/>
    </w:rPr>
  </w:style>
  <w:style w:type="paragraph" w:customStyle="1" w:styleId="16">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7">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3.wmf"/><Relationship Id="rId18" Type="http://schemas.openxmlformats.org/officeDocument/2006/relationships/oleObject" Target="embeddings/oleObject1.bin"/><Relationship Id="rId17" Type="http://schemas.openxmlformats.org/officeDocument/2006/relationships/image" Target="media/image2.jpeg"/><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74</Pages>
  <Words>50167</Words>
  <Characters>51116</Characters>
  <Lines>0</Lines>
  <Paragraphs>0</Paragraphs>
  <TotalTime>0</TotalTime>
  <ScaleCrop>false</ScaleCrop>
  <LinksUpToDate>false</LinksUpToDate>
  <CharactersWithSpaces>51687</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2025-03-07T06:39:00Z</dcterms:created>
  <dc:creator>cib</dc:creator>
  <cp:lastModifiedBy>cib</cp:lastModifiedBy>
  <dcterms:modified xsi:type="dcterms:W3CDTF">2025-03-07T06:39:43Z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19F63F1BC1A349B5A65D31CD4000B296</vt:lpwstr>
  </property>
</Properties>
</file>