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4562A">
      <w:pPr>
        <w:widowControl/>
        <w:spacing w:line="360" w:lineRule="auto"/>
        <w:jc w:val="center"/>
        <w:rPr>
          <w:rFonts w:ascii="黑体" w:hAnsi="黑体" w:eastAsia="黑体"/>
          <w:b/>
          <w:sz w:val="28"/>
          <w:szCs w:val="28"/>
        </w:rPr>
      </w:pPr>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14:paraId="53966A60">
      <w:pPr>
        <w:widowControl/>
        <w:spacing w:line="360" w:lineRule="auto"/>
        <w:jc w:val="center"/>
        <w:rPr>
          <w:rFonts w:ascii="黑体" w:hAnsi="黑体" w:eastAsia="黑体"/>
          <w:b/>
          <w:sz w:val="44"/>
          <w:szCs w:val="44"/>
        </w:rPr>
      </w:pPr>
      <w:r>
        <w:rPr>
          <w:rFonts w:hint="eastAsia" w:ascii="黑体" w:hAnsi="黑体" w:eastAsia="黑体"/>
          <w:b/>
          <w:sz w:val="44"/>
          <w:szCs w:val="44"/>
        </w:rPr>
        <w:t>兴银理财【稳添利最短持有期日开固收类】理财产品</w:t>
      </w:r>
    </w:p>
    <w:p w14:paraId="3EA1626F">
      <w:pPr>
        <w:widowControl/>
        <w:spacing w:line="360" w:lineRule="auto"/>
        <w:jc w:val="center"/>
        <w:rPr>
          <w:b/>
          <w:szCs w:val="21"/>
        </w:rPr>
      </w:pPr>
      <w:r>
        <w:rPr>
          <w:rFonts w:hint="eastAsia" w:ascii="黑体" w:hAnsi="黑体" w:eastAsia="黑体"/>
          <w:b/>
          <w:sz w:val="44"/>
          <w:szCs w:val="44"/>
        </w:rPr>
        <w:t>销售文件</w:t>
      </w:r>
    </w:p>
    <w:tbl>
      <w:tblPr>
        <w:tblStyle w:val="8"/>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93"/>
        <w:gridCol w:w="5689"/>
        <w:gridCol w:w="2107"/>
      </w:tblGrid>
      <w:tr w14:paraId="4263663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14:paraId="18A9BB16">
            <w:pPr>
              <w:pStyle w:val="12"/>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689" w:type="dxa"/>
          </w:tcPr>
          <w:p w14:paraId="7A72173B">
            <w:pPr>
              <w:pStyle w:val="12"/>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2107" w:type="dxa"/>
          </w:tcPr>
          <w:p w14:paraId="7D9B89F9">
            <w:pPr>
              <w:pStyle w:val="12"/>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14:paraId="47500DF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14:paraId="09875935">
            <w:pPr>
              <w:pStyle w:val="12"/>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689" w:type="dxa"/>
          </w:tcPr>
          <w:p w14:paraId="436F473B">
            <w:pPr>
              <w:widowControl/>
              <w:spacing w:line="360" w:lineRule="auto"/>
              <w:rPr>
                <w:rFonts w:ascii="宋体" w:hAnsi="宋体"/>
                <w:szCs w:val="21"/>
              </w:rPr>
            </w:pPr>
            <w:r>
              <w:rPr>
                <w:rFonts w:hint="eastAsia" w:ascii="宋体" w:hAnsi="宋体"/>
                <w:kern w:val="0"/>
                <w:sz w:val="20"/>
                <w:szCs w:val="21"/>
              </w:rPr>
              <w:t>兴银理财【稳添利最短持有期日开固收类】理财产品投资协议书</w:t>
            </w:r>
            <w:r>
              <w:rPr>
                <w:rFonts w:ascii="宋体" w:hAnsi="宋体"/>
                <w:kern w:val="0"/>
                <w:sz w:val="20"/>
                <w:szCs w:val="21"/>
              </w:rPr>
              <w:t xml:space="preserve"> </w:t>
            </w:r>
          </w:p>
        </w:tc>
        <w:tc>
          <w:tcPr>
            <w:tcW w:w="2107" w:type="dxa"/>
          </w:tcPr>
          <w:p w14:paraId="15BF3AA0">
            <w:pPr>
              <w:widowControl/>
              <w:spacing w:line="360" w:lineRule="auto"/>
              <w:jc w:val="center"/>
              <w:rPr>
                <w:rFonts w:ascii="宋体" w:hAnsi="宋体"/>
                <w:kern w:val="0"/>
                <w:szCs w:val="21"/>
              </w:rPr>
            </w:pPr>
            <w:r>
              <w:rPr>
                <w:rFonts w:hint="eastAsia" w:ascii="宋体" w:hAnsi="宋体"/>
                <w:kern w:val="0"/>
                <w:sz w:val="20"/>
                <w:szCs w:val="21"/>
              </w:rPr>
              <w:t>投资协议书</w:t>
            </w:r>
          </w:p>
        </w:tc>
      </w:tr>
      <w:tr w14:paraId="7C798D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14:paraId="4FB92F68">
            <w:pPr>
              <w:pStyle w:val="12"/>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689" w:type="dxa"/>
          </w:tcPr>
          <w:p w14:paraId="78064D1E">
            <w:pPr>
              <w:widowControl/>
              <w:spacing w:line="360" w:lineRule="auto"/>
              <w:rPr>
                <w:rFonts w:ascii="宋体" w:hAnsi="宋体"/>
                <w:szCs w:val="21"/>
              </w:rPr>
            </w:pPr>
            <w:r>
              <w:rPr>
                <w:rFonts w:hint="eastAsia" w:ascii="宋体" w:hAnsi="宋体"/>
                <w:kern w:val="0"/>
                <w:sz w:val="20"/>
                <w:szCs w:val="21"/>
              </w:rPr>
              <w:t>兴银理财【稳添利最短持有期日开固收类】理财产品产品说明书</w:t>
            </w:r>
          </w:p>
        </w:tc>
        <w:tc>
          <w:tcPr>
            <w:tcW w:w="2107" w:type="dxa"/>
          </w:tcPr>
          <w:p w14:paraId="16561119">
            <w:pPr>
              <w:pStyle w:val="12"/>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14:paraId="56E5B28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14:paraId="1C864581">
            <w:pPr>
              <w:pStyle w:val="12"/>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3</w:t>
            </w:r>
          </w:p>
        </w:tc>
        <w:tc>
          <w:tcPr>
            <w:tcW w:w="5689" w:type="dxa"/>
          </w:tcPr>
          <w:p w14:paraId="251C8A9E">
            <w:pPr>
              <w:widowControl/>
              <w:spacing w:line="360" w:lineRule="auto"/>
              <w:rPr>
                <w:rFonts w:ascii="宋体" w:hAnsi="宋体"/>
                <w:kern w:val="0"/>
                <w:sz w:val="20"/>
                <w:szCs w:val="21"/>
              </w:rPr>
            </w:pPr>
            <w:r>
              <w:rPr>
                <w:rFonts w:hint="eastAsia" w:ascii="宋体" w:hAnsi="宋体"/>
                <w:kern w:val="0"/>
                <w:sz w:val="20"/>
                <w:szCs w:val="21"/>
              </w:rPr>
              <w:t>兴银理财【稳添利最短持有期日开固收类】理财产品（代理）销售协议书</w:t>
            </w:r>
          </w:p>
        </w:tc>
        <w:tc>
          <w:tcPr>
            <w:tcW w:w="2107" w:type="dxa"/>
          </w:tcPr>
          <w:p w14:paraId="6044396B">
            <w:pPr>
              <w:pStyle w:val="12"/>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14:paraId="5A26327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14:paraId="3C4009A6">
            <w:pPr>
              <w:pStyle w:val="12"/>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689" w:type="dxa"/>
          </w:tcPr>
          <w:p w14:paraId="04CA7B04">
            <w:pPr>
              <w:widowControl/>
              <w:spacing w:line="360" w:lineRule="auto"/>
              <w:rPr>
                <w:rFonts w:ascii="宋体" w:hAnsi="宋体"/>
                <w:szCs w:val="21"/>
              </w:rPr>
            </w:pPr>
            <w:r>
              <w:rPr>
                <w:rFonts w:hint="eastAsia" w:ascii="宋体" w:hAnsi="宋体"/>
                <w:kern w:val="0"/>
                <w:sz w:val="20"/>
                <w:szCs w:val="21"/>
              </w:rPr>
              <w:t>兴银理财【稳添利最短持有期日开固收类】理财产品风险揭示书</w:t>
            </w:r>
          </w:p>
        </w:tc>
        <w:tc>
          <w:tcPr>
            <w:tcW w:w="2107" w:type="dxa"/>
          </w:tcPr>
          <w:p w14:paraId="4D717C27">
            <w:pPr>
              <w:widowControl/>
              <w:spacing w:line="360" w:lineRule="auto"/>
              <w:jc w:val="center"/>
              <w:rPr>
                <w:rFonts w:ascii="宋体" w:hAnsi="宋体"/>
                <w:kern w:val="0"/>
                <w:szCs w:val="21"/>
              </w:rPr>
            </w:pPr>
            <w:r>
              <w:rPr>
                <w:rFonts w:hint="eastAsia" w:ascii="宋体" w:hAnsi="宋体"/>
                <w:kern w:val="0"/>
                <w:sz w:val="20"/>
                <w:szCs w:val="21"/>
              </w:rPr>
              <w:t>风险揭示书</w:t>
            </w:r>
          </w:p>
        </w:tc>
      </w:tr>
      <w:tr w14:paraId="27050B3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14:paraId="0BC5BA88">
            <w:pPr>
              <w:pStyle w:val="12"/>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689" w:type="dxa"/>
          </w:tcPr>
          <w:p w14:paraId="6F6A7357">
            <w:pPr>
              <w:widowControl/>
              <w:spacing w:line="360" w:lineRule="auto"/>
              <w:rPr>
                <w:rFonts w:ascii="宋体" w:hAnsi="宋体"/>
                <w:kern w:val="0"/>
                <w:sz w:val="20"/>
                <w:szCs w:val="21"/>
              </w:rPr>
            </w:pPr>
            <w:r>
              <w:rPr>
                <w:rFonts w:hint="eastAsia" w:ascii="宋体" w:hAnsi="宋体"/>
                <w:kern w:val="0"/>
                <w:sz w:val="20"/>
                <w:szCs w:val="21"/>
              </w:rPr>
              <w:t>兴银理财【稳添利最短持有期日开固收类】理财产品投资者权益须知</w:t>
            </w:r>
          </w:p>
        </w:tc>
        <w:tc>
          <w:tcPr>
            <w:tcW w:w="2107" w:type="dxa"/>
          </w:tcPr>
          <w:p w14:paraId="0C792164">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14:paraId="0A3A87AD">
      <w:pPr>
        <w:widowControl/>
        <w:spacing w:line="360" w:lineRule="auto"/>
        <w:jc w:val="left"/>
        <w:rPr>
          <w:rFonts w:ascii="黑体" w:hAnsi="黑体" w:eastAsia="黑体"/>
          <w:b/>
          <w:szCs w:val="21"/>
        </w:rPr>
      </w:pPr>
      <w:r>
        <w:rPr>
          <w:rFonts w:hint="eastAsia" w:ascii="黑体" w:hAnsi="黑体" w:eastAsia="黑体"/>
          <w:b/>
          <w:szCs w:val="21"/>
        </w:rPr>
        <w:t>郑重提示：</w:t>
      </w:r>
    </w:p>
    <w:p w14:paraId="0C40B274">
      <w:pPr>
        <w:pStyle w:val="12"/>
        <w:widowControl/>
        <w:snapToGrid w:val="0"/>
        <w:spacing w:line="360" w:lineRule="auto"/>
        <w:rPr>
          <w:rFonts w:ascii="黑体" w:hAnsi="黑体" w:eastAsia="黑体"/>
          <w:kern w:val="0"/>
          <w:szCs w:val="21"/>
        </w:rPr>
      </w:pPr>
      <w:r>
        <w:rPr>
          <w:rFonts w:hint="eastAsia" w:ascii="黑体" w:hAnsi="黑体" w:eastAsia="黑体"/>
          <w:kern w:val="0"/>
          <w:szCs w:val="21"/>
        </w:rPr>
        <w:t>1.销售文件的组成和编制的提示</w:t>
      </w:r>
    </w:p>
    <w:p w14:paraId="53E0D9B1">
      <w:pPr>
        <w:pStyle w:val="12"/>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14:paraId="1844FE6C">
      <w:pPr>
        <w:pStyle w:val="12"/>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w:t>
      </w:r>
      <w:r>
        <w:rPr>
          <w:rFonts w:hint="eastAsia" w:ascii="黑体" w:hAnsi="黑体" w:eastAsia="黑体"/>
          <w:kern w:val="0"/>
          <w:szCs w:val="21"/>
        </w:rPr>
        <w:t>2</w:t>
      </w:r>
      <w:r>
        <w:rPr>
          <w:rFonts w:ascii="黑体" w:hAnsi="黑体" w:eastAsia="黑体"/>
          <w:kern w:val="0"/>
          <w:szCs w:val="21"/>
        </w:rPr>
        <w:t>021年第</w:t>
      </w:r>
      <w:r>
        <w:rPr>
          <w:rFonts w:hint="eastAsia" w:ascii="黑体" w:hAnsi="黑体" w:eastAsia="黑体"/>
          <w:kern w:val="0"/>
          <w:szCs w:val="21"/>
        </w:rPr>
        <w:t>4号）第2</w:t>
      </w:r>
      <w:r>
        <w:rPr>
          <w:rFonts w:ascii="黑体" w:hAnsi="黑体" w:eastAsia="黑体"/>
          <w:kern w:val="0"/>
          <w:szCs w:val="21"/>
        </w:rPr>
        <w:t>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14:paraId="2953FA07">
      <w:pPr>
        <w:pStyle w:val="12"/>
        <w:widowControl/>
        <w:snapToGrid w:val="0"/>
        <w:spacing w:line="360" w:lineRule="auto"/>
        <w:rPr>
          <w:rFonts w:ascii="黑体" w:hAnsi="黑体" w:eastAsia="黑体"/>
          <w:kern w:val="0"/>
          <w:szCs w:val="21"/>
        </w:rPr>
      </w:pPr>
      <w:r>
        <w:rPr>
          <w:rFonts w:hint="eastAsia" w:ascii="黑体" w:hAnsi="黑体" w:eastAsia="黑体"/>
          <w:kern w:val="0"/>
          <w:szCs w:val="21"/>
        </w:rPr>
        <w:t>2.投资者适当性的提示</w:t>
      </w:r>
    </w:p>
    <w:p w14:paraId="79D08D5B">
      <w:pPr>
        <w:pStyle w:val="12"/>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14:paraId="672D2B40">
      <w:pPr>
        <w:pStyle w:val="12"/>
        <w:widowControl/>
        <w:snapToGrid w:val="0"/>
        <w:spacing w:line="360" w:lineRule="auto"/>
        <w:rPr>
          <w:rFonts w:ascii="黑体" w:hAnsi="黑体" w:eastAsia="黑体"/>
          <w:kern w:val="0"/>
          <w:szCs w:val="21"/>
        </w:rPr>
      </w:pPr>
      <w:r>
        <w:rPr>
          <w:rFonts w:ascii="黑体" w:hAnsi="黑体" w:eastAsia="黑体"/>
          <w:kern w:val="0"/>
          <w:szCs w:val="21"/>
        </w:rPr>
        <w:t>3</w:t>
      </w:r>
      <w:r>
        <w:rPr>
          <w:rFonts w:hint="eastAsia" w:ascii="黑体" w:hAnsi="黑体" w:eastAsia="黑体"/>
          <w:kern w:val="0"/>
          <w:szCs w:val="21"/>
        </w:rPr>
        <w:t>.</w:t>
      </w:r>
      <w:r>
        <w:rPr>
          <w:rFonts w:ascii="黑体" w:hAnsi="黑体" w:eastAsia="黑体"/>
          <w:kern w:val="0"/>
          <w:szCs w:val="21"/>
        </w:rPr>
        <w:t>签署合同</w:t>
      </w:r>
      <w:r>
        <w:rPr>
          <w:rFonts w:hint="eastAsia" w:ascii="黑体" w:hAnsi="黑体" w:eastAsia="黑体"/>
          <w:kern w:val="0"/>
          <w:szCs w:val="21"/>
        </w:rPr>
        <w:t>前</w:t>
      </w:r>
      <w:r>
        <w:rPr>
          <w:rFonts w:ascii="黑体" w:hAnsi="黑体" w:eastAsia="黑体"/>
          <w:kern w:val="0"/>
          <w:szCs w:val="21"/>
        </w:rPr>
        <w:t>阅读全部条款的提示</w:t>
      </w:r>
    </w:p>
    <w:p w14:paraId="2D334896">
      <w:pPr>
        <w:widowControl/>
        <w:snapToGrid w:val="0"/>
        <w:spacing w:line="360" w:lineRule="auto"/>
        <w:ind w:firstLine="420" w:firstLineChars="200"/>
        <w:rPr>
          <w:rFonts w:ascii="黑体" w:hAnsi="黑体" w:eastAsia="黑体"/>
          <w:kern w:val="0"/>
          <w:szCs w:val="21"/>
        </w:rPr>
        <w:sectPr>
          <w:pgSz w:w="11906" w:h="16838"/>
          <w:pgMar w:top="1440" w:right="1800" w:bottom="1440" w:left="1800" w:header="567" w:footer="964" w:gutter="0"/>
          <w:pgNumType w:start="1"/>
          <w:cols w:space="720" w:num="1"/>
          <w:docGrid w:type="lines" w:linePitch="312" w:charSpace="0"/>
        </w:sectPr>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p>
    <w:p w14:paraId="68A5394F">
      <w:pPr>
        <w:tabs>
          <w:tab w:val="left" w:pos="6660"/>
        </w:tabs>
        <w:spacing w:line="360" w:lineRule="auto"/>
        <w:jc w:val="center"/>
        <w:rPr>
          <w:rFonts w:ascii="黑体" w:hAnsi="黑体" w:eastAsia="黑体"/>
          <w:kern w:val="0"/>
          <w:szCs w:val="21"/>
        </w:rPr>
      </w:pPr>
    </w:p>
    <w:p w14:paraId="3F8E0917">
      <w:pPr>
        <w:tabs>
          <w:tab w:val="left" w:pos="6660"/>
        </w:tabs>
        <w:spacing w:line="360" w:lineRule="auto"/>
        <w:jc w:val="center"/>
        <w:rPr>
          <w:bCs/>
          <w:sz w:val="44"/>
        </w:rPr>
      </w:pPr>
    </w:p>
    <w:p w14:paraId="165801C0">
      <w:pPr>
        <w:widowControl/>
        <w:spacing w:line="360" w:lineRule="auto"/>
        <w:jc w:val="center"/>
        <w:rPr>
          <w:rStyle w:val="10"/>
          <w:rFonts w:ascii="宋体" w:hAnsi="宋体"/>
          <w:sz w:val="30"/>
          <w:szCs w:val="30"/>
        </w:rPr>
      </w:pPr>
      <w:r>
        <w:rPr>
          <w:rFonts w:hint="eastAsia" w:ascii="宋体" w:hAnsi="宋体"/>
          <w:b/>
          <w:sz w:val="30"/>
          <w:szCs w:val="30"/>
        </w:rPr>
        <w:t>理财非存款、产品有风险、投资须谨慎！</w:t>
      </w:r>
    </w:p>
    <w:p w14:paraId="0D72A089">
      <w:pPr>
        <w:tabs>
          <w:tab w:val="left" w:pos="6660"/>
        </w:tabs>
        <w:spacing w:line="360" w:lineRule="auto"/>
        <w:jc w:val="center"/>
        <w:rPr>
          <w:bCs/>
          <w:sz w:val="44"/>
        </w:rPr>
      </w:pPr>
    </w:p>
    <w:p w14:paraId="223F43B4">
      <w:pPr>
        <w:spacing w:line="360" w:lineRule="auto"/>
        <w:jc w:val="center"/>
        <w:rPr>
          <w:b/>
          <w:sz w:val="52"/>
        </w:rPr>
      </w:pPr>
    </w:p>
    <w:p w14:paraId="0E1C0512">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14:paraId="28526D3E">
      <w:pPr>
        <w:spacing w:line="360" w:lineRule="auto"/>
        <w:jc w:val="center"/>
        <w:rPr>
          <w:b/>
          <w:sz w:val="52"/>
        </w:rPr>
      </w:pPr>
    </w:p>
    <w:p w14:paraId="27B60586">
      <w:pPr>
        <w:adjustRightInd w:val="0"/>
        <w:spacing w:line="360" w:lineRule="auto"/>
        <w:jc w:val="center"/>
        <w:rPr>
          <w:rStyle w:val="10"/>
          <w:rFonts w:ascii="黑体" w:hAnsi="黑体" w:eastAsia="黑体" w:cs="宋体"/>
          <w:sz w:val="44"/>
          <w:szCs w:val="44"/>
        </w:rPr>
      </w:pPr>
      <w:r>
        <w:rPr>
          <w:rStyle w:val="10"/>
          <w:rFonts w:hint="eastAsia" w:ascii="黑体" w:hAnsi="黑体" w:eastAsia="黑体" w:cs="宋体"/>
          <w:sz w:val="44"/>
          <w:szCs w:val="44"/>
        </w:rPr>
        <w:t>兴银理财【稳添利最短持有期日开固收类】理财产品</w:t>
      </w:r>
    </w:p>
    <w:p w14:paraId="47BF2B3D">
      <w:pPr>
        <w:adjustRightInd w:val="0"/>
        <w:spacing w:line="360" w:lineRule="auto"/>
        <w:jc w:val="center"/>
        <w:rPr>
          <w:rStyle w:val="10"/>
          <w:rFonts w:ascii="黑体" w:hAnsi="黑体" w:eastAsia="黑体" w:cs="宋体"/>
          <w:sz w:val="44"/>
          <w:szCs w:val="44"/>
        </w:rPr>
      </w:pPr>
      <w:r>
        <w:rPr>
          <w:rStyle w:val="10"/>
          <w:rFonts w:hint="eastAsia" w:ascii="黑体" w:hAnsi="黑体" w:eastAsia="黑体" w:cs="宋体"/>
          <w:sz w:val="44"/>
          <w:szCs w:val="44"/>
        </w:rPr>
        <w:t>投资协议书</w:t>
      </w:r>
    </w:p>
    <w:p w14:paraId="42ABD3B3">
      <w:pPr>
        <w:spacing w:line="360" w:lineRule="auto"/>
        <w:jc w:val="center"/>
        <w:rPr>
          <w:b/>
          <w:sz w:val="28"/>
          <w:szCs w:val="28"/>
        </w:rPr>
      </w:pPr>
    </w:p>
    <w:p w14:paraId="20408CA2">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p>
    <w:p w14:paraId="49E58AFC">
      <w:pPr>
        <w:spacing w:line="360" w:lineRule="auto"/>
        <w:jc w:val="center"/>
        <w:rPr>
          <w:b/>
          <w:sz w:val="28"/>
          <w:szCs w:val="28"/>
        </w:rPr>
      </w:pPr>
    </w:p>
    <w:p w14:paraId="62127356">
      <w:pPr>
        <w:spacing w:line="360" w:lineRule="auto"/>
        <w:jc w:val="center"/>
        <w:rPr>
          <w:b/>
          <w:sz w:val="28"/>
          <w:szCs w:val="28"/>
        </w:rPr>
      </w:pPr>
    </w:p>
    <w:p w14:paraId="42BA9F38">
      <w:pPr>
        <w:adjustRightInd w:val="0"/>
        <w:spacing w:line="360" w:lineRule="auto"/>
        <w:jc w:val="center"/>
        <w:rPr>
          <w:rStyle w:val="10"/>
          <w:rFonts w:ascii="宋体" w:hAnsi="宋体"/>
          <w:sz w:val="28"/>
          <w:szCs w:val="28"/>
        </w:rPr>
      </w:pPr>
      <w:bookmarkStart w:id="0" w:name="_Toc139991726"/>
      <w:bookmarkStart w:id="1" w:name="_Toc139992301"/>
      <w:bookmarkStart w:id="2" w:name="_Toc123112224"/>
      <w:bookmarkStart w:id="3" w:name="_Toc123701383"/>
      <w:bookmarkStart w:id="4" w:name="_Toc123112263"/>
      <w:r>
        <w:rPr>
          <w:rStyle w:val="10"/>
          <w:rFonts w:hint="eastAsia" w:ascii="宋体" w:hAnsi="宋体"/>
          <w:sz w:val="28"/>
          <w:szCs w:val="28"/>
        </w:rPr>
        <w:t>理财产品管理人：</w:t>
      </w:r>
      <w:bookmarkEnd w:id="0"/>
      <w:bookmarkEnd w:id="1"/>
      <w:bookmarkEnd w:id="2"/>
      <w:bookmarkEnd w:id="3"/>
      <w:bookmarkEnd w:id="4"/>
      <w:r>
        <w:rPr>
          <w:rStyle w:val="10"/>
          <w:rFonts w:hint="eastAsia" w:ascii="宋体" w:hAnsi="宋体"/>
          <w:sz w:val="28"/>
          <w:szCs w:val="28"/>
        </w:rPr>
        <w:t>兴银理财有限责任公司</w:t>
      </w:r>
    </w:p>
    <w:p w14:paraId="166CE156">
      <w:pPr>
        <w:adjustRightInd w:val="0"/>
        <w:spacing w:line="360" w:lineRule="auto"/>
        <w:jc w:val="center"/>
        <w:rPr>
          <w:rStyle w:val="10"/>
          <w:rFonts w:ascii="黑体" w:hAnsi="黑体" w:eastAsia="黑体" w:cs="宋体"/>
          <w:sz w:val="28"/>
          <w:szCs w:val="28"/>
        </w:rPr>
      </w:pPr>
      <w:bookmarkStart w:id="5" w:name="_Toc123112264"/>
      <w:bookmarkStart w:id="6" w:name="_Toc123112225"/>
      <w:bookmarkStart w:id="7" w:name="_Toc123701384"/>
      <w:bookmarkStart w:id="8" w:name="_Toc139991727"/>
      <w:bookmarkStart w:id="9" w:name="_Toc139992302"/>
    </w:p>
    <w:bookmarkEnd w:id="5"/>
    <w:bookmarkEnd w:id="6"/>
    <w:bookmarkEnd w:id="7"/>
    <w:bookmarkEnd w:id="8"/>
    <w:bookmarkEnd w:id="9"/>
    <w:p w14:paraId="39DFA13D">
      <w:pPr>
        <w:adjustRightInd w:val="0"/>
        <w:spacing w:line="360" w:lineRule="auto"/>
        <w:jc w:val="center"/>
        <w:rPr>
          <w:rStyle w:val="10"/>
          <w:rFonts w:ascii="黑体" w:hAnsi="黑体" w:eastAsia="黑体" w:cs="宋体"/>
          <w:sz w:val="28"/>
          <w:szCs w:val="28"/>
        </w:rPr>
      </w:pPr>
    </w:p>
    <w:p w14:paraId="31FADA35">
      <w:pPr>
        <w:adjustRightInd w:val="0"/>
        <w:spacing w:line="360" w:lineRule="auto"/>
        <w:jc w:val="center"/>
        <w:rPr>
          <w:rStyle w:val="10"/>
          <w:rFonts w:ascii="宋体" w:hAnsi="宋体"/>
          <w:sz w:val="28"/>
          <w:szCs w:val="28"/>
        </w:rPr>
      </w:pPr>
      <w:r>
        <w:rPr>
          <w:rStyle w:val="10"/>
          <w:rFonts w:hint="eastAsia" w:ascii="宋体" w:hAnsi="宋体"/>
          <w:sz w:val="28"/>
          <w:szCs w:val="28"/>
        </w:rPr>
        <w:t>日期</w:t>
      </w:r>
      <w:r>
        <w:rPr>
          <w:rStyle w:val="10"/>
          <w:rFonts w:ascii="宋体" w:hAnsi="宋体"/>
          <w:sz w:val="28"/>
          <w:szCs w:val="28"/>
        </w:rPr>
        <w:t>：</w:t>
      </w:r>
      <w:r>
        <w:rPr>
          <w:rStyle w:val="10"/>
          <w:rFonts w:hint="eastAsia" w:ascii="宋体" w:hAnsi="宋体"/>
          <w:sz w:val="28"/>
          <w:szCs w:val="28"/>
        </w:rPr>
        <w:t>【</w:t>
      </w:r>
      <w:bookmarkStart w:id="10" w:name="file_year"/>
      <w:bookmarkEnd w:id="10"/>
      <w:r>
        <w:rPr>
          <w:rStyle w:val="10"/>
          <w:rFonts w:hint="eastAsia" w:ascii="宋体" w:hAnsi="宋体"/>
          <w:sz w:val="28"/>
          <w:szCs w:val="28"/>
          <w:lang w:eastAsia="zh-CN"/>
        </w:rPr>
        <w:t>2025</w:t>
      </w:r>
      <w:r>
        <w:rPr>
          <w:rStyle w:val="10"/>
          <w:rFonts w:hint="eastAsia" w:ascii="宋体" w:hAnsi="宋体"/>
          <w:sz w:val="28"/>
          <w:szCs w:val="28"/>
        </w:rPr>
        <w:t>】年【</w:t>
      </w:r>
      <w:bookmarkStart w:id="11" w:name="file_month"/>
      <w:bookmarkEnd w:id="11"/>
      <w:r>
        <w:rPr>
          <w:rStyle w:val="10"/>
          <w:rFonts w:hint="eastAsia" w:ascii="宋体" w:hAnsi="宋体"/>
          <w:sz w:val="28"/>
          <w:szCs w:val="28"/>
          <w:lang w:val="en-US" w:eastAsia="zh-CN"/>
        </w:rPr>
        <w:t>12</w:t>
      </w:r>
      <w:r>
        <w:rPr>
          <w:rStyle w:val="10"/>
          <w:rFonts w:hint="eastAsia" w:ascii="宋体" w:hAnsi="宋体"/>
          <w:sz w:val="28"/>
          <w:szCs w:val="28"/>
        </w:rPr>
        <w:t>】月</w:t>
      </w:r>
    </w:p>
    <w:p w14:paraId="53B759C0">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14:paraId="1DF40F38">
      <w:pPr>
        <w:tabs>
          <w:tab w:val="left" w:pos="8070"/>
          <w:tab w:val="right" w:pos="8306"/>
        </w:tabs>
        <w:autoSpaceDE w:val="0"/>
        <w:autoSpaceDN w:val="0"/>
        <w:adjustRightInd w:val="0"/>
        <w:snapToGrid w:val="0"/>
        <w:spacing w:before="156" w:beforeLines="50" w:line="360" w:lineRule="auto"/>
        <w:rPr>
          <w:bCs/>
          <w:sz w:val="32"/>
        </w:rPr>
      </w:pP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14:paraId="5CA657E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14:paraId="570E08FC">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14:paraId="2811AE2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14:paraId="3CC20F4F">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14:paraId="4E8218FD">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14:paraId="52141615">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14:paraId="621F59DD">
            <w:pPr>
              <w:pStyle w:val="6"/>
              <w:snapToGrid w:val="0"/>
              <w:spacing w:before="0" w:beforeAutospacing="0" w:after="0" w:afterAutospacing="0" w:line="360" w:lineRule="auto"/>
              <w:jc w:val="both"/>
              <w:rPr>
                <w:rFonts w:ascii="黑体" w:hAnsi="黑体" w:eastAsia="黑体"/>
                <w:bCs/>
                <w:sz w:val="18"/>
                <w:szCs w:val="18"/>
              </w:rPr>
            </w:pPr>
          </w:p>
          <w:p w14:paraId="0CD6A381">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14:paraId="48DC0C88">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理财产品过往业绩不代表其未来表现，不等于理财产品实际收益，投资须谨慎。</w:t>
            </w:r>
          </w:p>
          <w:p w14:paraId="1947874C">
            <w:pPr>
              <w:pStyle w:val="6"/>
              <w:snapToGrid w:val="0"/>
              <w:spacing w:before="0" w:beforeAutospacing="0" w:after="0" w:afterAutospacing="0" w:line="360" w:lineRule="auto"/>
              <w:jc w:val="both"/>
              <w:rPr>
                <w:rFonts w:ascii="黑体" w:hAnsi="黑体" w:eastAsia="黑体"/>
                <w:bCs/>
                <w:sz w:val="18"/>
                <w:szCs w:val="18"/>
              </w:rPr>
            </w:pPr>
          </w:p>
          <w:p w14:paraId="0CA76094">
            <w:pPr>
              <w:pStyle w:val="6"/>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14:paraId="16244247">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w:t>
            </w:r>
            <w:r>
              <w:rPr>
                <w:rFonts w:hint="eastAsia" w:ascii="黑体" w:hAnsi="黑体" w:eastAsia="黑体"/>
                <w:bCs/>
                <w:sz w:val="18"/>
                <w:szCs w:val="18"/>
              </w:rPr>
              <w:t>基准等类似表述不是预期收益率，不代表产品的未来表现和实际收益，不构成对产品收益的承诺，仅供投资者进行投资决定时参考。</w:t>
            </w:r>
          </w:p>
          <w:p w14:paraId="7C649E6A">
            <w:pPr>
              <w:pStyle w:val="6"/>
              <w:snapToGrid w:val="0"/>
              <w:spacing w:before="0" w:beforeAutospacing="0" w:after="0" w:afterAutospacing="0" w:line="360" w:lineRule="auto"/>
              <w:jc w:val="both"/>
              <w:rPr>
                <w:rFonts w:ascii="黑体" w:hAnsi="黑体" w:eastAsia="黑体"/>
                <w:bCs/>
                <w:sz w:val="18"/>
                <w:szCs w:val="18"/>
              </w:rPr>
            </w:pPr>
          </w:p>
          <w:p w14:paraId="542E2BB3">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14:paraId="539EC487">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14:paraId="5A2C4A8B">
            <w:pPr>
              <w:pStyle w:val="6"/>
              <w:snapToGrid w:val="0"/>
              <w:spacing w:before="0" w:beforeAutospacing="0" w:after="0" w:afterAutospacing="0" w:line="360" w:lineRule="auto"/>
              <w:jc w:val="both"/>
              <w:rPr>
                <w:rFonts w:ascii="黑体" w:hAnsi="黑体" w:eastAsia="黑体"/>
                <w:bCs/>
                <w:sz w:val="18"/>
                <w:szCs w:val="18"/>
              </w:rPr>
            </w:pPr>
          </w:p>
          <w:p w14:paraId="7DE8D69B">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14:paraId="657F6F90">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14:paraId="4CDA593A">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14:paraId="055682C0">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14:paraId="575EFD39">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14:paraId="324661CB">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14:paraId="4043D4B1">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14:paraId="552FD900">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14:paraId="63FA25CF">
            <w:pPr>
              <w:pStyle w:val="6"/>
              <w:snapToGrid w:val="0"/>
              <w:spacing w:before="0" w:beforeAutospacing="0" w:after="0" w:afterAutospacing="0" w:line="360" w:lineRule="auto"/>
              <w:jc w:val="both"/>
              <w:rPr>
                <w:rFonts w:ascii="黑体" w:hAnsi="黑体" w:eastAsia="黑体"/>
                <w:bCs/>
                <w:sz w:val="18"/>
                <w:szCs w:val="18"/>
              </w:rPr>
            </w:pPr>
          </w:p>
          <w:p w14:paraId="381EFCEF">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14:paraId="7312E471">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14:paraId="02F97965">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14:paraId="20342F70">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14:paraId="6D11C2BE">
            <w:pPr>
              <w:tabs>
                <w:tab w:val="left" w:pos="704"/>
                <w:tab w:val="left" w:pos="1995"/>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投资者签署本理财产品销售文件即视为已经同意管理人在前述范围内向相关方提供投资者信息。</w:t>
            </w:r>
          </w:p>
          <w:p w14:paraId="7F747581">
            <w:pPr>
              <w:tabs>
                <w:tab w:val="left" w:pos="704"/>
                <w:tab w:val="left" w:pos="1995"/>
              </w:tabs>
              <w:autoSpaceDE w:val="0"/>
              <w:autoSpaceDN w:val="0"/>
              <w:adjustRightInd w:val="0"/>
              <w:snapToGrid w:val="0"/>
              <w:spacing w:line="360" w:lineRule="auto"/>
              <w:rPr>
                <w:rFonts w:ascii="黑体" w:hAnsi="黑体" w:eastAsia="黑体"/>
                <w:sz w:val="18"/>
                <w:szCs w:val="18"/>
              </w:rPr>
            </w:pPr>
          </w:p>
          <w:p w14:paraId="6DDC5F5F">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关于理财产品信息披露的提示</w:t>
            </w:r>
          </w:p>
          <w:p w14:paraId="57747859">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在购买本产品后，投资者应随时关注该理财产品的信息披露情况，及时获取相关信息。</w:t>
            </w:r>
          </w:p>
          <w:p w14:paraId="68E91375">
            <w:pPr>
              <w:pStyle w:val="6"/>
              <w:snapToGrid w:val="0"/>
              <w:spacing w:before="0" w:beforeAutospacing="0" w:after="0" w:afterAutospacing="0" w:line="360" w:lineRule="auto"/>
              <w:jc w:val="both"/>
              <w:rPr>
                <w:rFonts w:ascii="黑体" w:hAnsi="黑体" w:eastAsia="黑体"/>
                <w:bCs/>
                <w:sz w:val="18"/>
                <w:szCs w:val="18"/>
              </w:rPr>
            </w:pPr>
          </w:p>
          <w:p w14:paraId="502BCB1B">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关于理财产品咨询的提示</w:t>
            </w:r>
          </w:p>
          <w:p w14:paraId="5E5B3312">
            <w:pPr>
              <w:pStyle w:val="6"/>
              <w:snapToGrid w:val="0"/>
              <w:spacing w:before="0" w:beforeAutospacing="0" w:after="0" w:afterAutospacing="0" w:line="360" w:lineRule="auto"/>
              <w:jc w:val="both"/>
              <w:rPr>
                <w:bCs/>
                <w:sz w:val="32"/>
              </w:rPr>
            </w:pPr>
            <w:r>
              <w:rPr>
                <w:rFonts w:hint="eastAsia" w:ascii="黑体" w:hAnsi="黑体" w:eastAsia="黑体"/>
                <w:bCs/>
                <w:sz w:val="18"/>
                <w:szCs w:val="18"/>
              </w:rPr>
              <w:t>投资者对本理财产品及销售文件的内容有任何疑问，请向产品管理人或销售机构咨询。</w:t>
            </w:r>
          </w:p>
        </w:tc>
      </w:tr>
    </w:tbl>
    <w:p w14:paraId="1A917AFA">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2" w:name="_Toc139991729"/>
      <w:bookmarkStart w:id="13" w:name="_Toc123701386"/>
      <w:bookmarkStart w:id="14" w:name="_Toc123112266"/>
      <w:bookmarkStart w:id="15" w:name="_Toc123112227"/>
    </w:p>
    <w:p w14:paraId="5FFA7605">
      <w:pPr>
        <w:widowControl/>
        <w:jc w:val="left"/>
        <w:rPr>
          <w:rFonts w:ascii="宋体" w:hAnsi="宋体" w:cs="仿宋_GB2312"/>
          <w:b/>
          <w:kern w:val="0"/>
          <w:sz w:val="18"/>
          <w:szCs w:val="18"/>
        </w:rPr>
      </w:pPr>
      <w:r>
        <w:rPr>
          <w:rFonts w:ascii="宋体" w:hAnsi="宋体" w:cs="仿宋_GB2312"/>
          <w:b/>
          <w:kern w:val="0"/>
          <w:sz w:val="18"/>
          <w:szCs w:val="18"/>
        </w:rPr>
        <w:br w:type="page"/>
      </w:r>
    </w:p>
    <w:p w14:paraId="6CD68245">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7"/>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14:paraId="0AE1184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14:paraId="38FA7D1F">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14:paraId="1F19E484">
            <w:pPr>
              <w:pStyle w:val="4"/>
              <w:spacing w:line="360" w:lineRule="auto"/>
              <w:rPr>
                <w:rFonts w:ascii="宋体" w:hAnsi="宋体"/>
                <w:b/>
                <w:bCs/>
                <w:sz w:val="28"/>
                <w:szCs w:val="28"/>
              </w:rPr>
            </w:pPr>
          </w:p>
        </w:tc>
      </w:tr>
      <w:tr w14:paraId="28EC1B6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14:paraId="3FCB6E7E">
            <w:pPr>
              <w:pStyle w:val="4"/>
              <w:spacing w:line="360" w:lineRule="auto"/>
              <w:rPr>
                <w:rFonts w:ascii="宋体" w:hAnsi="宋体"/>
                <w:b/>
                <w:bCs/>
                <w:sz w:val="28"/>
                <w:szCs w:val="28"/>
              </w:rPr>
            </w:pPr>
          </w:p>
        </w:tc>
      </w:tr>
      <w:tr w14:paraId="09D9798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restart"/>
            <w:shd w:val="solid" w:color="FFFFFF" w:fill="FFFFFF"/>
            <w:vAlign w:val="center"/>
          </w:tcPr>
          <w:p w14:paraId="02345BCD">
            <w:pPr>
              <w:spacing w:line="360" w:lineRule="auto"/>
              <w:jc w:val="left"/>
              <w:rPr>
                <w:rFonts w:ascii="宋体" w:hAnsi="宋体"/>
                <w:sz w:val="18"/>
                <w:szCs w:val="18"/>
              </w:rPr>
            </w:pPr>
            <w:r>
              <w:rPr>
                <w:rFonts w:hint="eastAsia" w:ascii="宋体" w:hAnsi="宋体"/>
                <w:sz w:val="18"/>
                <w:szCs w:val="18"/>
              </w:rPr>
              <w:t>投资者信息</w:t>
            </w:r>
          </w:p>
        </w:tc>
        <w:tc>
          <w:tcPr>
            <w:tcW w:w="708" w:type="dxa"/>
            <w:vMerge w:val="restart"/>
            <w:shd w:val="solid" w:color="FFFFFF" w:fill="FFFFFF"/>
            <w:vAlign w:val="center"/>
          </w:tcPr>
          <w:p w14:paraId="6A33E059">
            <w:pPr>
              <w:spacing w:line="360" w:lineRule="auto"/>
              <w:jc w:val="left"/>
              <w:rPr>
                <w:rFonts w:ascii="宋体" w:hAnsi="宋体"/>
                <w:sz w:val="18"/>
                <w:szCs w:val="18"/>
              </w:rPr>
            </w:pPr>
            <w:r>
              <w:rPr>
                <w:rFonts w:hint="eastAsia" w:ascii="宋体" w:hAnsi="宋体"/>
                <w:sz w:val="18"/>
                <w:szCs w:val="18"/>
              </w:rPr>
              <w:t>个人投资者适用</w:t>
            </w:r>
          </w:p>
        </w:tc>
        <w:tc>
          <w:tcPr>
            <w:tcW w:w="982" w:type="dxa"/>
            <w:shd w:val="solid" w:color="FFFFFF" w:fill="FFFFFF"/>
            <w:vAlign w:val="center"/>
          </w:tcPr>
          <w:p w14:paraId="460F0841">
            <w:pPr>
              <w:spacing w:line="360" w:lineRule="auto"/>
              <w:jc w:val="left"/>
              <w:rPr>
                <w:rFonts w:ascii="宋体" w:hAnsi="宋体"/>
                <w:sz w:val="18"/>
                <w:szCs w:val="18"/>
              </w:rPr>
            </w:pPr>
            <w:r>
              <w:rPr>
                <w:rFonts w:hint="eastAsia" w:ascii="宋体" w:hAnsi="宋体"/>
                <w:sz w:val="18"/>
                <w:szCs w:val="18"/>
              </w:rPr>
              <w:t>姓名</w:t>
            </w:r>
          </w:p>
        </w:tc>
        <w:tc>
          <w:tcPr>
            <w:tcW w:w="6389" w:type="dxa"/>
            <w:gridSpan w:val="3"/>
            <w:shd w:val="solid" w:color="FFFFFF" w:fill="FFFFFF"/>
            <w:vAlign w:val="center"/>
          </w:tcPr>
          <w:p w14:paraId="6A10CBB5">
            <w:pPr>
              <w:spacing w:line="360" w:lineRule="auto"/>
              <w:jc w:val="left"/>
              <w:rPr>
                <w:rFonts w:ascii="宋体" w:hAnsi="宋体"/>
                <w:sz w:val="18"/>
                <w:szCs w:val="18"/>
              </w:rPr>
            </w:pPr>
          </w:p>
        </w:tc>
      </w:tr>
      <w:tr w14:paraId="3A49AF0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14:paraId="686C8C48">
            <w:pPr>
              <w:spacing w:line="360" w:lineRule="auto"/>
              <w:jc w:val="left"/>
              <w:rPr>
                <w:rFonts w:ascii="宋体" w:hAnsi="宋体"/>
                <w:sz w:val="18"/>
                <w:szCs w:val="18"/>
              </w:rPr>
            </w:pPr>
          </w:p>
        </w:tc>
        <w:tc>
          <w:tcPr>
            <w:tcW w:w="708" w:type="dxa"/>
            <w:vMerge w:val="continue"/>
            <w:shd w:val="solid" w:color="FFFFFF" w:fill="FFFFFF"/>
            <w:vAlign w:val="center"/>
          </w:tcPr>
          <w:p w14:paraId="5A980C48">
            <w:pPr>
              <w:spacing w:line="360" w:lineRule="auto"/>
              <w:jc w:val="left"/>
              <w:rPr>
                <w:rFonts w:ascii="宋体" w:hAnsi="宋体"/>
                <w:sz w:val="18"/>
                <w:szCs w:val="18"/>
              </w:rPr>
            </w:pPr>
          </w:p>
        </w:tc>
        <w:tc>
          <w:tcPr>
            <w:tcW w:w="982" w:type="dxa"/>
            <w:shd w:val="solid" w:color="FFFFFF" w:fill="FFFFFF"/>
            <w:vAlign w:val="center"/>
          </w:tcPr>
          <w:p w14:paraId="3D33412E">
            <w:pPr>
              <w:spacing w:line="360" w:lineRule="auto"/>
              <w:jc w:val="left"/>
              <w:rPr>
                <w:rFonts w:ascii="宋体" w:hAnsi="宋体"/>
                <w:sz w:val="18"/>
                <w:szCs w:val="18"/>
              </w:rPr>
            </w:pPr>
            <w:r>
              <w:rPr>
                <w:rFonts w:hint="eastAsia" w:ascii="宋体" w:hAnsi="宋体"/>
                <w:sz w:val="18"/>
                <w:szCs w:val="18"/>
              </w:rPr>
              <w:t>证件类型</w:t>
            </w:r>
          </w:p>
        </w:tc>
        <w:tc>
          <w:tcPr>
            <w:tcW w:w="1854" w:type="dxa"/>
            <w:shd w:val="solid" w:color="FFFFFF" w:fill="FFFFFF"/>
            <w:vAlign w:val="center"/>
          </w:tcPr>
          <w:p w14:paraId="23D1B8AD">
            <w:pPr>
              <w:spacing w:line="360" w:lineRule="auto"/>
              <w:jc w:val="left"/>
              <w:rPr>
                <w:rFonts w:ascii="宋体" w:hAnsi="宋体"/>
                <w:sz w:val="18"/>
                <w:szCs w:val="18"/>
              </w:rPr>
            </w:pPr>
          </w:p>
        </w:tc>
        <w:tc>
          <w:tcPr>
            <w:tcW w:w="1417" w:type="dxa"/>
            <w:shd w:val="solid" w:color="FFFFFF" w:fill="FFFFFF"/>
            <w:vAlign w:val="center"/>
          </w:tcPr>
          <w:p w14:paraId="442A0468">
            <w:pPr>
              <w:spacing w:line="360" w:lineRule="auto"/>
              <w:jc w:val="left"/>
              <w:rPr>
                <w:rFonts w:ascii="宋体" w:hAnsi="宋体"/>
                <w:sz w:val="18"/>
                <w:szCs w:val="18"/>
              </w:rPr>
            </w:pPr>
            <w:r>
              <w:rPr>
                <w:rFonts w:hint="eastAsia" w:ascii="宋体" w:hAnsi="宋体"/>
                <w:sz w:val="18"/>
                <w:szCs w:val="18"/>
              </w:rPr>
              <w:t>证件号码</w:t>
            </w:r>
          </w:p>
        </w:tc>
        <w:tc>
          <w:tcPr>
            <w:tcW w:w="3118" w:type="dxa"/>
            <w:shd w:val="solid" w:color="FFFFFF" w:fill="FFFFFF"/>
            <w:vAlign w:val="center"/>
          </w:tcPr>
          <w:p w14:paraId="04D71934">
            <w:pPr>
              <w:spacing w:line="360" w:lineRule="auto"/>
              <w:jc w:val="left"/>
              <w:rPr>
                <w:rFonts w:ascii="宋体" w:hAnsi="宋体"/>
                <w:sz w:val="18"/>
                <w:szCs w:val="18"/>
              </w:rPr>
            </w:pPr>
          </w:p>
        </w:tc>
      </w:tr>
      <w:tr w14:paraId="67823A6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14:paraId="5A51CA63">
            <w:pPr>
              <w:spacing w:line="360" w:lineRule="auto"/>
              <w:jc w:val="left"/>
              <w:rPr>
                <w:rFonts w:ascii="宋体" w:hAnsi="宋体"/>
                <w:sz w:val="18"/>
                <w:szCs w:val="18"/>
              </w:rPr>
            </w:pPr>
          </w:p>
        </w:tc>
        <w:tc>
          <w:tcPr>
            <w:tcW w:w="708" w:type="dxa"/>
            <w:vMerge w:val="continue"/>
            <w:shd w:val="solid" w:color="FFFFFF" w:fill="FFFFFF"/>
            <w:vAlign w:val="center"/>
          </w:tcPr>
          <w:p w14:paraId="2DE0CB8A">
            <w:pPr>
              <w:spacing w:line="360" w:lineRule="auto"/>
              <w:jc w:val="left"/>
              <w:rPr>
                <w:rFonts w:ascii="宋体" w:hAnsi="宋体"/>
                <w:sz w:val="18"/>
                <w:szCs w:val="18"/>
              </w:rPr>
            </w:pPr>
          </w:p>
        </w:tc>
        <w:tc>
          <w:tcPr>
            <w:tcW w:w="982" w:type="dxa"/>
            <w:shd w:val="solid" w:color="FFFFFF" w:fill="FFFFFF"/>
            <w:vAlign w:val="center"/>
          </w:tcPr>
          <w:p w14:paraId="2B28BBF2">
            <w:pPr>
              <w:spacing w:line="360" w:lineRule="auto"/>
              <w:jc w:val="left"/>
              <w:rPr>
                <w:rFonts w:ascii="宋体" w:hAnsi="宋体"/>
                <w:sz w:val="18"/>
                <w:szCs w:val="18"/>
              </w:rPr>
            </w:pPr>
            <w:r>
              <w:rPr>
                <w:rFonts w:hint="eastAsia" w:ascii="宋体" w:hAnsi="宋体"/>
                <w:sz w:val="18"/>
                <w:szCs w:val="18"/>
              </w:rPr>
              <w:t>联系电话</w:t>
            </w:r>
          </w:p>
        </w:tc>
        <w:tc>
          <w:tcPr>
            <w:tcW w:w="1854" w:type="dxa"/>
            <w:shd w:val="solid" w:color="FFFFFF" w:fill="FFFFFF"/>
            <w:vAlign w:val="center"/>
          </w:tcPr>
          <w:p w14:paraId="7490F90A">
            <w:pPr>
              <w:spacing w:line="360" w:lineRule="auto"/>
              <w:jc w:val="left"/>
              <w:rPr>
                <w:rFonts w:ascii="宋体" w:hAnsi="宋体"/>
                <w:sz w:val="18"/>
                <w:szCs w:val="18"/>
              </w:rPr>
            </w:pPr>
          </w:p>
        </w:tc>
        <w:tc>
          <w:tcPr>
            <w:tcW w:w="1417" w:type="dxa"/>
            <w:shd w:val="solid" w:color="FFFFFF" w:fill="FFFFFF"/>
            <w:vAlign w:val="center"/>
          </w:tcPr>
          <w:p w14:paraId="53751D5C">
            <w:pPr>
              <w:spacing w:line="360" w:lineRule="auto"/>
              <w:jc w:val="left"/>
              <w:rPr>
                <w:rFonts w:ascii="宋体" w:hAnsi="宋体"/>
                <w:sz w:val="18"/>
                <w:szCs w:val="18"/>
              </w:rPr>
            </w:pPr>
            <w:r>
              <w:rPr>
                <w:rFonts w:hint="eastAsia" w:ascii="宋体" w:hAnsi="宋体"/>
                <w:sz w:val="18"/>
                <w:szCs w:val="18"/>
              </w:rPr>
              <w:t>电子邮箱</w:t>
            </w:r>
          </w:p>
        </w:tc>
        <w:tc>
          <w:tcPr>
            <w:tcW w:w="3118" w:type="dxa"/>
            <w:shd w:val="solid" w:color="FFFFFF" w:fill="FFFFFF"/>
            <w:vAlign w:val="center"/>
          </w:tcPr>
          <w:p w14:paraId="3C62D27B">
            <w:pPr>
              <w:spacing w:line="360" w:lineRule="auto"/>
              <w:jc w:val="left"/>
              <w:rPr>
                <w:rFonts w:ascii="宋体" w:hAnsi="宋体"/>
                <w:sz w:val="18"/>
                <w:szCs w:val="18"/>
              </w:rPr>
            </w:pPr>
          </w:p>
        </w:tc>
      </w:tr>
      <w:tr w14:paraId="5C59266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14:paraId="353C4BCE">
            <w:pPr>
              <w:spacing w:line="360" w:lineRule="auto"/>
              <w:jc w:val="left"/>
              <w:rPr>
                <w:rFonts w:ascii="宋体" w:hAnsi="宋体"/>
                <w:sz w:val="18"/>
                <w:szCs w:val="18"/>
              </w:rPr>
            </w:pPr>
          </w:p>
        </w:tc>
        <w:tc>
          <w:tcPr>
            <w:tcW w:w="708" w:type="dxa"/>
            <w:vMerge w:val="continue"/>
            <w:shd w:val="solid" w:color="FFFFFF" w:fill="FFFFFF"/>
            <w:vAlign w:val="center"/>
          </w:tcPr>
          <w:p w14:paraId="1C9FD126">
            <w:pPr>
              <w:spacing w:line="360" w:lineRule="auto"/>
              <w:jc w:val="left"/>
              <w:rPr>
                <w:rFonts w:ascii="宋体" w:hAnsi="宋体"/>
                <w:sz w:val="18"/>
                <w:szCs w:val="18"/>
              </w:rPr>
            </w:pPr>
          </w:p>
        </w:tc>
        <w:tc>
          <w:tcPr>
            <w:tcW w:w="982" w:type="dxa"/>
            <w:shd w:val="solid" w:color="FFFFFF" w:fill="FFFFFF"/>
            <w:vAlign w:val="center"/>
          </w:tcPr>
          <w:p w14:paraId="23CDDE90">
            <w:pPr>
              <w:spacing w:line="360" w:lineRule="auto"/>
              <w:jc w:val="left"/>
              <w:rPr>
                <w:rFonts w:ascii="宋体" w:hAnsi="宋体"/>
                <w:sz w:val="18"/>
                <w:szCs w:val="18"/>
              </w:rPr>
            </w:pPr>
            <w:r>
              <w:rPr>
                <w:rFonts w:hint="eastAsia" w:ascii="宋体" w:hAnsi="宋体"/>
                <w:sz w:val="18"/>
                <w:szCs w:val="18"/>
              </w:rPr>
              <w:t>联系地址</w:t>
            </w:r>
          </w:p>
        </w:tc>
        <w:tc>
          <w:tcPr>
            <w:tcW w:w="6389" w:type="dxa"/>
            <w:gridSpan w:val="3"/>
            <w:shd w:val="solid" w:color="FFFFFF" w:fill="FFFFFF"/>
            <w:vAlign w:val="center"/>
          </w:tcPr>
          <w:p w14:paraId="30DDA0CB">
            <w:pPr>
              <w:spacing w:line="360" w:lineRule="auto"/>
              <w:jc w:val="left"/>
              <w:rPr>
                <w:rFonts w:ascii="宋体" w:hAnsi="宋体"/>
                <w:sz w:val="18"/>
                <w:szCs w:val="18"/>
              </w:rPr>
            </w:pPr>
          </w:p>
        </w:tc>
      </w:tr>
      <w:tr w14:paraId="1757779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14:paraId="0486A609">
            <w:pPr>
              <w:spacing w:line="360" w:lineRule="auto"/>
              <w:jc w:val="left"/>
              <w:rPr>
                <w:rFonts w:ascii="宋体" w:hAnsi="宋体"/>
                <w:sz w:val="18"/>
                <w:szCs w:val="18"/>
              </w:rPr>
            </w:pPr>
          </w:p>
        </w:tc>
        <w:tc>
          <w:tcPr>
            <w:tcW w:w="708" w:type="dxa"/>
            <w:vMerge w:val="continue"/>
            <w:shd w:val="solid" w:color="FFFFFF" w:fill="FFFFFF"/>
            <w:vAlign w:val="center"/>
          </w:tcPr>
          <w:p w14:paraId="06F044E1">
            <w:pPr>
              <w:spacing w:line="360" w:lineRule="auto"/>
              <w:jc w:val="left"/>
              <w:rPr>
                <w:rFonts w:ascii="宋体" w:hAnsi="宋体"/>
                <w:sz w:val="18"/>
                <w:szCs w:val="18"/>
              </w:rPr>
            </w:pPr>
          </w:p>
        </w:tc>
        <w:tc>
          <w:tcPr>
            <w:tcW w:w="982" w:type="dxa"/>
            <w:tcBorders>
              <w:bottom w:val="single" w:color="auto" w:sz="12" w:space="0"/>
            </w:tcBorders>
            <w:shd w:val="solid" w:color="FFFFFF" w:fill="FFFFFF"/>
            <w:vAlign w:val="center"/>
          </w:tcPr>
          <w:p w14:paraId="03AB033B">
            <w:pPr>
              <w:spacing w:line="360" w:lineRule="auto"/>
              <w:jc w:val="left"/>
              <w:rPr>
                <w:rFonts w:ascii="宋体" w:hAnsi="宋体"/>
                <w:sz w:val="18"/>
                <w:szCs w:val="18"/>
              </w:rPr>
            </w:pPr>
            <w:r>
              <w:rPr>
                <w:rFonts w:hint="eastAsia" w:ascii="宋体" w:hAnsi="宋体"/>
                <w:sz w:val="18"/>
                <w:szCs w:val="18"/>
              </w:rPr>
              <w:t>邮政编码</w:t>
            </w:r>
          </w:p>
        </w:tc>
        <w:tc>
          <w:tcPr>
            <w:tcW w:w="6389" w:type="dxa"/>
            <w:gridSpan w:val="3"/>
            <w:tcBorders>
              <w:bottom w:val="single" w:color="auto" w:sz="12" w:space="0"/>
            </w:tcBorders>
            <w:shd w:val="solid" w:color="FFFFFF" w:fill="FFFFFF"/>
            <w:vAlign w:val="center"/>
          </w:tcPr>
          <w:p w14:paraId="29E4053B">
            <w:pPr>
              <w:spacing w:line="360" w:lineRule="auto"/>
              <w:jc w:val="left"/>
              <w:rPr>
                <w:rFonts w:ascii="宋体" w:hAnsi="宋体"/>
                <w:sz w:val="18"/>
                <w:szCs w:val="18"/>
              </w:rPr>
            </w:pPr>
          </w:p>
        </w:tc>
      </w:tr>
      <w:tr w14:paraId="4D56B4C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14:paraId="794E5977">
            <w:pPr>
              <w:spacing w:line="360" w:lineRule="auto"/>
              <w:jc w:val="left"/>
              <w:rPr>
                <w:rFonts w:ascii="宋体" w:hAnsi="宋体"/>
                <w:sz w:val="18"/>
                <w:szCs w:val="18"/>
              </w:rPr>
            </w:pPr>
          </w:p>
        </w:tc>
        <w:tc>
          <w:tcPr>
            <w:tcW w:w="708" w:type="dxa"/>
            <w:vMerge w:val="restart"/>
            <w:tcBorders>
              <w:right w:val="single" w:color="auto" w:sz="12" w:space="0"/>
            </w:tcBorders>
            <w:shd w:val="solid" w:color="FFFFFF" w:fill="FFFFFF"/>
            <w:vAlign w:val="center"/>
          </w:tcPr>
          <w:p w14:paraId="64F22308">
            <w:pPr>
              <w:spacing w:line="360" w:lineRule="auto"/>
              <w:jc w:val="left"/>
              <w:rPr>
                <w:rFonts w:ascii="宋体" w:hAnsi="宋体"/>
                <w:sz w:val="18"/>
                <w:szCs w:val="18"/>
              </w:rPr>
            </w:pPr>
            <w:r>
              <w:rPr>
                <w:rFonts w:hint="eastAsia" w:ascii="宋体" w:hAnsi="宋体"/>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14:paraId="3251C6E8">
            <w:pPr>
              <w:spacing w:line="360" w:lineRule="auto"/>
              <w:jc w:val="left"/>
              <w:rPr>
                <w:rFonts w:ascii="宋体" w:hAnsi="宋体"/>
                <w:sz w:val="18"/>
                <w:szCs w:val="18"/>
              </w:rPr>
            </w:pPr>
            <w:r>
              <w:rPr>
                <w:rFonts w:hint="eastAsia" w:ascii="宋体" w:hAnsi="宋体"/>
                <w:sz w:val="18"/>
                <w:szCs w:val="18"/>
              </w:rPr>
              <w:t>机构</w:t>
            </w:r>
            <w:r>
              <w:rPr>
                <w:rFonts w:ascii="宋体" w:hAnsi="宋体"/>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4BBB10E9">
            <w:pPr>
              <w:spacing w:line="360" w:lineRule="auto"/>
              <w:jc w:val="left"/>
              <w:rPr>
                <w:rFonts w:ascii="宋体" w:hAnsi="宋体"/>
                <w:sz w:val="18"/>
                <w:szCs w:val="18"/>
              </w:rPr>
            </w:pPr>
          </w:p>
        </w:tc>
      </w:tr>
      <w:tr w14:paraId="27746FB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14:paraId="4C2BB097">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14:paraId="4BCA6406">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14:paraId="0AF2B689">
            <w:pPr>
              <w:spacing w:line="360" w:lineRule="auto"/>
              <w:jc w:val="left"/>
              <w:rPr>
                <w:rFonts w:ascii="宋体" w:hAnsi="宋体"/>
                <w:sz w:val="18"/>
                <w:szCs w:val="18"/>
              </w:rPr>
            </w:pPr>
            <w:r>
              <w:rPr>
                <w:rFonts w:hint="eastAsia" w:ascii="宋体" w:hAnsi="宋体"/>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14:paraId="74DEE31A">
            <w:pPr>
              <w:spacing w:line="360" w:lineRule="auto"/>
              <w:jc w:val="left"/>
              <w:rPr>
                <w:rFonts w:ascii="宋体" w:hAnsi="宋体"/>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14:paraId="66DE7E90">
            <w:pPr>
              <w:spacing w:line="360" w:lineRule="auto"/>
              <w:jc w:val="left"/>
              <w:rPr>
                <w:rFonts w:ascii="宋体" w:hAnsi="宋体"/>
                <w:sz w:val="18"/>
                <w:szCs w:val="18"/>
              </w:rPr>
            </w:pPr>
            <w:r>
              <w:rPr>
                <w:rFonts w:hint="eastAsia" w:ascii="宋体" w:hAnsi="宋体"/>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14:paraId="7B49400C">
            <w:pPr>
              <w:spacing w:line="360" w:lineRule="auto"/>
              <w:jc w:val="left"/>
              <w:rPr>
                <w:rFonts w:ascii="宋体" w:hAnsi="宋体"/>
                <w:sz w:val="18"/>
                <w:szCs w:val="18"/>
              </w:rPr>
            </w:pPr>
          </w:p>
        </w:tc>
      </w:tr>
      <w:tr w14:paraId="34BAF43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14:paraId="5CE0289A">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14:paraId="20EFC71C">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14:paraId="0D96809F">
            <w:pPr>
              <w:spacing w:line="360" w:lineRule="auto"/>
              <w:jc w:val="left"/>
              <w:rPr>
                <w:rFonts w:ascii="宋体" w:hAnsi="宋体"/>
                <w:sz w:val="18"/>
                <w:szCs w:val="18"/>
              </w:rPr>
            </w:pPr>
            <w:r>
              <w:rPr>
                <w:rFonts w:hint="eastAsia" w:ascii="宋体" w:hAnsi="宋体"/>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69384AD6">
            <w:pPr>
              <w:spacing w:line="360" w:lineRule="auto"/>
              <w:jc w:val="left"/>
              <w:rPr>
                <w:rFonts w:ascii="宋体" w:hAnsi="宋体"/>
                <w:sz w:val="18"/>
                <w:szCs w:val="18"/>
              </w:rPr>
            </w:pPr>
          </w:p>
        </w:tc>
      </w:tr>
      <w:tr w14:paraId="207A063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14:paraId="44118331">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14:paraId="09CD51B8">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14:paraId="0D91E228">
            <w:pPr>
              <w:spacing w:line="360" w:lineRule="auto"/>
              <w:jc w:val="left"/>
              <w:rPr>
                <w:rFonts w:ascii="宋体" w:hAnsi="宋体"/>
                <w:sz w:val="18"/>
                <w:szCs w:val="18"/>
              </w:rPr>
            </w:pPr>
            <w:r>
              <w:rPr>
                <w:rFonts w:hint="eastAsia" w:ascii="宋体" w:hAnsi="宋体"/>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14:paraId="521D0944">
            <w:pPr>
              <w:spacing w:line="360" w:lineRule="auto"/>
              <w:jc w:val="left"/>
              <w:rPr>
                <w:rFonts w:ascii="宋体" w:hAnsi="宋体"/>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14:paraId="1F64020A">
            <w:pPr>
              <w:spacing w:line="360" w:lineRule="auto"/>
              <w:jc w:val="left"/>
              <w:rPr>
                <w:rFonts w:ascii="宋体" w:hAnsi="宋体"/>
                <w:sz w:val="18"/>
                <w:szCs w:val="18"/>
              </w:rPr>
            </w:pPr>
            <w:r>
              <w:rPr>
                <w:rFonts w:hint="eastAsia" w:ascii="宋体" w:hAnsi="宋体"/>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14:paraId="36F02A96">
            <w:pPr>
              <w:spacing w:line="360" w:lineRule="auto"/>
              <w:jc w:val="left"/>
              <w:rPr>
                <w:rFonts w:ascii="宋体" w:hAnsi="宋体"/>
                <w:sz w:val="18"/>
                <w:szCs w:val="18"/>
              </w:rPr>
            </w:pPr>
          </w:p>
        </w:tc>
      </w:tr>
      <w:tr w14:paraId="7445187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14:paraId="2CD21E69">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14:paraId="5946D73C">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14:paraId="70CE516E">
            <w:pPr>
              <w:spacing w:line="360" w:lineRule="auto"/>
              <w:jc w:val="left"/>
              <w:rPr>
                <w:rFonts w:ascii="宋体" w:hAnsi="宋体"/>
                <w:sz w:val="18"/>
                <w:szCs w:val="18"/>
              </w:rPr>
            </w:pPr>
            <w:r>
              <w:rPr>
                <w:rFonts w:hint="eastAsia" w:ascii="宋体" w:hAnsi="宋体"/>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7280FBF5">
            <w:pPr>
              <w:spacing w:line="360" w:lineRule="auto"/>
              <w:jc w:val="left"/>
              <w:rPr>
                <w:rFonts w:ascii="宋体" w:hAnsi="宋体"/>
                <w:sz w:val="18"/>
                <w:szCs w:val="18"/>
              </w:rPr>
            </w:pPr>
          </w:p>
        </w:tc>
      </w:tr>
      <w:tr w14:paraId="2E76E43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14:paraId="40A489B7">
            <w:pPr>
              <w:spacing w:line="360" w:lineRule="auto"/>
              <w:jc w:val="left"/>
              <w:rPr>
                <w:rFonts w:ascii="宋体" w:hAnsi="宋体"/>
                <w:sz w:val="18"/>
                <w:szCs w:val="18"/>
              </w:rPr>
            </w:pPr>
          </w:p>
        </w:tc>
        <w:tc>
          <w:tcPr>
            <w:tcW w:w="708" w:type="dxa"/>
            <w:vMerge w:val="continue"/>
            <w:tcBorders>
              <w:bottom w:val="single" w:color="auto" w:sz="12" w:space="0"/>
              <w:right w:val="single" w:color="auto" w:sz="12" w:space="0"/>
            </w:tcBorders>
            <w:shd w:val="solid" w:color="FFFFFF" w:fill="FFFFFF"/>
            <w:vAlign w:val="center"/>
          </w:tcPr>
          <w:p w14:paraId="4855E1A5">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14:paraId="6C856807">
            <w:pPr>
              <w:spacing w:line="360" w:lineRule="auto"/>
              <w:jc w:val="left"/>
              <w:rPr>
                <w:rFonts w:ascii="宋体" w:hAnsi="宋体"/>
                <w:sz w:val="18"/>
                <w:szCs w:val="18"/>
              </w:rPr>
            </w:pPr>
            <w:r>
              <w:rPr>
                <w:rFonts w:hint="eastAsia" w:ascii="宋体" w:hAnsi="宋体"/>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00315935">
            <w:pPr>
              <w:spacing w:line="360" w:lineRule="auto"/>
              <w:jc w:val="left"/>
              <w:rPr>
                <w:rFonts w:ascii="宋体" w:hAnsi="宋体"/>
                <w:sz w:val="18"/>
                <w:szCs w:val="18"/>
              </w:rPr>
            </w:pPr>
          </w:p>
        </w:tc>
      </w:tr>
      <w:tr w14:paraId="5B0BB62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14:paraId="63477C41">
            <w:pPr>
              <w:pStyle w:val="4"/>
              <w:pBdr>
                <w:bottom w:val="none" w:color="auto" w:sz="0" w:space="0"/>
              </w:pBdr>
              <w:spacing w:line="360" w:lineRule="auto"/>
              <w:rPr>
                <w:rFonts w:ascii="宋体" w:hAnsi="宋体"/>
                <w:b/>
                <w:bCs/>
                <w:szCs w:val="18"/>
              </w:rPr>
            </w:pPr>
          </w:p>
        </w:tc>
      </w:tr>
      <w:tr w14:paraId="6987478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1142" w:type="dxa"/>
            <w:vMerge w:val="restart"/>
            <w:shd w:val="solid" w:color="FFFFFF" w:fill="FFFFFF"/>
            <w:vAlign w:val="center"/>
          </w:tcPr>
          <w:p w14:paraId="54740815">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14:paraId="563A77A9">
            <w:pPr>
              <w:spacing w:line="360" w:lineRule="auto"/>
              <w:jc w:val="left"/>
              <w:rPr>
                <w:rFonts w:ascii="宋体" w:hAnsi="宋体"/>
                <w:bCs/>
                <w:sz w:val="18"/>
                <w:szCs w:val="18"/>
              </w:rPr>
            </w:pPr>
            <w:r>
              <w:rPr>
                <w:rFonts w:hint="eastAsia" w:ascii="宋体" w:hAnsi="宋体"/>
                <w:bCs/>
                <w:sz w:val="18"/>
                <w:szCs w:val="18"/>
              </w:rPr>
              <w:t>机构名称</w:t>
            </w:r>
          </w:p>
        </w:tc>
        <w:tc>
          <w:tcPr>
            <w:tcW w:w="6389" w:type="dxa"/>
            <w:gridSpan w:val="3"/>
            <w:shd w:val="solid" w:color="FFFFFF" w:fill="FFFFFF"/>
            <w:vAlign w:val="center"/>
          </w:tcPr>
          <w:p w14:paraId="14ECDC7E">
            <w:pPr>
              <w:spacing w:line="360" w:lineRule="auto"/>
              <w:jc w:val="left"/>
              <w:rPr>
                <w:rFonts w:ascii="宋体" w:hAnsi="宋体"/>
                <w:bCs/>
                <w:sz w:val="18"/>
                <w:szCs w:val="18"/>
              </w:rPr>
            </w:pPr>
            <w:r>
              <w:rPr>
                <w:rFonts w:hint="eastAsia" w:ascii="宋体" w:hAnsi="宋体"/>
                <w:bCs/>
                <w:sz w:val="18"/>
                <w:szCs w:val="18"/>
              </w:rPr>
              <w:t>兴银理财有限责任公司</w:t>
            </w:r>
          </w:p>
        </w:tc>
      </w:tr>
      <w:tr w14:paraId="3472231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14:paraId="69B229CE">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14:paraId="072108DD">
            <w:pPr>
              <w:spacing w:line="360" w:lineRule="auto"/>
              <w:jc w:val="left"/>
              <w:rPr>
                <w:rFonts w:ascii="宋体" w:hAnsi="宋体"/>
                <w:bCs/>
                <w:sz w:val="18"/>
                <w:szCs w:val="18"/>
              </w:rPr>
            </w:pPr>
            <w:r>
              <w:rPr>
                <w:rFonts w:hint="eastAsia" w:ascii="宋体" w:hAnsi="宋体"/>
                <w:bCs/>
                <w:sz w:val="18"/>
                <w:szCs w:val="18"/>
              </w:rPr>
              <w:t>机构简介</w:t>
            </w:r>
          </w:p>
        </w:tc>
        <w:tc>
          <w:tcPr>
            <w:tcW w:w="6389" w:type="dxa"/>
            <w:gridSpan w:val="3"/>
            <w:tcBorders>
              <w:bottom w:val="single" w:color="auto" w:sz="12" w:space="0"/>
            </w:tcBorders>
            <w:shd w:val="solid" w:color="FFFFFF" w:fill="FFFFFF"/>
            <w:vAlign w:val="center"/>
          </w:tcPr>
          <w:p w14:paraId="7AEA7999">
            <w:pPr>
              <w:spacing w:line="360" w:lineRule="auto"/>
              <w:jc w:val="left"/>
              <w:rPr>
                <w:rFonts w:ascii="宋体" w:hAnsi="宋体"/>
                <w:sz w:val="18"/>
                <w:szCs w:val="18"/>
              </w:rPr>
            </w:pPr>
            <w:r>
              <w:rPr>
                <w:rFonts w:hint="eastAsia" w:ascii="宋体" w:hAnsi="宋体"/>
                <w:bCs/>
                <w:sz w:val="18"/>
                <w:szCs w:val="18"/>
              </w:rPr>
              <w:t>本公司系根据原中国银保监会（现国家金融监督管理总局）批准设立的由兴业银行股份有限公司全资控股的银行理财子公司。公司名称：中文为“兴银理财有限责任公司”；英文：“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监管部门批准的其他业务等。</w:t>
            </w:r>
          </w:p>
        </w:tc>
      </w:tr>
      <w:tr w14:paraId="26569EA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14:paraId="7A989FE5">
            <w:pPr>
              <w:spacing w:line="360" w:lineRule="auto"/>
              <w:jc w:val="left"/>
              <w:rPr>
                <w:rFonts w:ascii="宋体" w:hAnsi="宋体"/>
                <w:bCs/>
                <w:sz w:val="18"/>
                <w:szCs w:val="18"/>
              </w:rPr>
            </w:pPr>
          </w:p>
        </w:tc>
      </w:tr>
      <w:tr w14:paraId="3682A8A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restart"/>
            <w:shd w:val="solid" w:color="FFFFFF" w:fill="FFFFFF"/>
            <w:vAlign w:val="center"/>
          </w:tcPr>
          <w:p w14:paraId="458B43B6">
            <w:pPr>
              <w:spacing w:line="360" w:lineRule="auto"/>
              <w:jc w:val="left"/>
              <w:rPr>
                <w:rFonts w:ascii="宋体" w:hAnsi="宋体"/>
                <w:b/>
                <w:bCs/>
                <w:sz w:val="18"/>
                <w:szCs w:val="18"/>
              </w:rPr>
            </w:pPr>
            <w:r>
              <w:rPr>
                <w:rFonts w:hint="eastAsia" w:ascii="宋体" w:hAnsi="宋体"/>
                <w:b/>
                <w:bCs/>
                <w:sz w:val="18"/>
                <w:szCs w:val="18"/>
              </w:rPr>
              <w:t>理财产品信息</w:t>
            </w:r>
          </w:p>
        </w:tc>
        <w:tc>
          <w:tcPr>
            <w:tcW w:w="1690" w:type="dxa"/>
            <w:gridSpan w:val="2"/>
            <w:shd w:val="solid" w:color="FFFFFF" w:fill="FFFFFF"/>
          </w:tcPr>
          <w:p w14:paraId="64C190C2">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理财产品名称</w:t>
            </w:r>
          </w:p>
        </w:tc>
        <w:tc>
          <w:tcPr>
            <w:tcW w:w="6389" w:type="dxa"/>
            <w:gridSpan w:val="3"/>
            <w:shd w:val="solid" w:color="FFFFFF" w:fill="FFFFFF"/>
          </w:tcPr>
          <w:p w14:paraId="3B76FA89">
            <w:pPr>
              <w:spacing w:line="360" w:lineRule="auto"/>
              <w:jc w:val="left"/>
              <w:rPr>
                <w:rFonts w:ascii="宋体" w:hAnsi="宋体"/>
                <w:sz w:val="18"/>
                <w:szCs w:val="18"/>
              </w:rPr>
            </w:pPr>
            <w:r>
              <w:rPr>
                <w:rFonts w:hint="eastAsia" w:ascii="宋体" w:hAnsi="宋体"/>
                <w:sz w:val="18"/>
                <w:szCs w:val="18"/>
              </w:rPr>
              <w:t>【</w:t>
            </w:r>
            <w:bookmarkStart w:id="16" w:name="pro_name"/>
            <w:bookmarkEnd w:id="16"/>
            <w:r>
              <w:rPr>
                <w:rFonts w:hint="eastAsia" w:ascii="宋体" w:hAnsi="宋体"/>
                <w:sz w:val="18"/>
                <w:szCs w:val="18"/>
                <w:lang w:eastAsia="zh-CN"/>
              </w:rPr>
              <w:t>兴银理财稳添利周盈81号(7天最短持有期)日开固收类理财产品</w:t>
            </w:r>
            <w:r>
              <w:rPr>
                <w:rFonts w:hint="eastAsia" w:ascii="宋体" w:hAnsi="宋体"/>
                <w:sz w:val="18"/>
                <w:szCs w:val="18"/>
              </w:rPr>
              <w:t>】</w:t>
            </w:r>
          </w:p>
        </w:tc>
      </w:tr>
      <w:tr w14:paraId="439C309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14:paraId="5F36C845">
            <w:pPr>
              <w:spacing w:line="360" w:lineRule="auto"/>
              <w:jc w:val="left"/>
              <w:rPr>
                <w:rFonts w:ascii="宋体" w:hAnsi="宋体"/>
                <w:b/>
                <w:bCs/>
                <w:sz w:val="18"/>
                <w:szCs w:val="18"/>
              </w:rPr>
            </w:pPr>
          </w:p>
        </w:tc>
        <w:tc>
          <w:tcPr>
            <w:tcW w:w="1690" w:type="dxa"/>
            <w:gridSpan w:val="2"/>
            <w:shd w:val="solid" w:color="FFFFFF" w:fill="FFFFFF"/>
            <w:vAlign w:val="center"/>
          </w:tcPr>
          <w:p w14:paraId="1EA6AE26">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产品销售名称</w:t>
            </w:r>
          </w:p>
        </w:tc>
        <w:tc>
          <w:tcPr>
            <w:tcW w:w="6389" w:type="dxa"/>
            <w:gridSpan w:val="3"/>
            <w:shd w:val="solid" w:color="FFFFFF" w:fill="FFFFFF"/>
            <w:vAlign w:val="center"/>
          </w:tcPr>
          <w:p w14:paraId="552F369E">
            <w:pPr>
              <w:spacing w:line="360" w:lineRule="auto"/>
              <w:jc w:val="left"/>
              <w:rPr>
                <w:rFonts w:hint="eastAsia" w:ascii="宋体" w:hAnsi="宋体" w:eastAsia="宋体"/>
                <w:sz w:val="18"/>
                <w:szCs w:val="18"/>
                <w:lang w:eastAsia="zh-CN"/>
              </w:rPr>
            </w:pPr>
            <w:bookmarkStart w:id="17" w:name="sale_name"/>
            <w:bookmarkEnd w:id="17"/>
            <w:r>
              <w:rPr>
                <w:rFonts w:hint="eastAsia" w:ascii="宋体" w:hAnsi="宋体"/>
                <w:sz w:val="18"/>
                <w:szCs w:val="18"/>
                <w:lang w:eastAsia="zh-CN"/>
              </w:rPr>
              <w:t>【稳添利周盈81号B】（适用【</w:t>
            </w:r>
            <w:r>
              <w:rPr>
                <w:rFonts w:hint="eastAsia" w:ascii="宋体" w:hAnsi="宋体"/>
                <w:sz w:val="18"/>
                <w:szCs w:val="18"/>
                <w:lang w:val="en-US" w:eastAsia="zh-CN"/>
              </w:rPr>
              <w:t>B</w:t>
            </w:r>
            <w:r>
              <w:rPr>
                <w:rFonts w:hint="eastAsia" w:ascii="宋体" w:hAnsi="宋体"/>
                <w:sz w:val="18"/>
                <w:szCs w:val="18"/>
                <w:lang w:eastAsia="zh-CN"/>
              </w:rPr>
              <w:t>】类份额）</w:t>
            </w:r>
          </w:p>
        </w:tc>
      </w:tr>
      <w:tr w14:paraId="4C581B0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14:paraId="010C9234">
            <w:pPr>
              <w:spacing w:line="360" w:lineRule="auto"/>
              <w:jc w:val="left"/>
              <w:rPr>
                <w:rFonts w:ascii="宋体" w:hAnsi="宋体"/>
                <w:b/>
                <w:bCs/>
                <w:sz w:val="18"/>
                <w:szCs w:val="18"/>
              </w:rPr>
            </w:pPr>
          </w:p>
        </w:tc>
        <w:tc>
          <w:tcPr>
            <w:tcW w:w="1690" w:type="dxa"/>
            <w:gridSpan w:val="2"/>
            <w:shd w:val="solid" w:color="FFFFFF" w:fill="FFFFFF"/>
          </w:tcPr>
          <w:p w14:paraId="5BE461B5">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产品登记编码</w:t>
            </w:r>
          </w:p>
        </w:tc>
        <w:tc>
          <w:tcPr>
            <w:tcW w:w="6389" w:type="dxa"/>
            <w:gridSpan w:val="3"/>
            <w:shd w:val="solid" w:color="FFFFFF" w:fill="FFFFFF"/>
          </w:tcPr>
          <w:p w14:paraId="1B9D0814">
            <w:pPr>
              <w:spacing w:line="360" w:lineRule="auto"/>
              <w:jc w:val="left"/>
              <w:rPr>
                <w:rFonts w:ascii="宋体" w:hAnsi="宋体"/>
                <w:sz w:val="18"/>
                <w:szCs w:val="18"/>
              </w:rPr>
            </w:pPr>
            <w:r>
              <w:rPr>
                <w:rFonts w:hint="eastAsia" w:ascii="宋体" w:hAnsi="宋体"/>
                <w:sz w:val="18"/>
                <w:szCs w:val="18"/>
              </w:rPr>
              <w:t>【</w:t>
            </w:r>
            <w:bookmarkStart w:id="18" w:name="regist_code"/>
            <w:bookmarkEnd w:id="18"/>
            <w:r>
              <w:rPr>
                <w:rFonts w:hint="eastAsia" w:ascii="宋体" w:hAnsi="宋体"/>
                <w:sz w:val="18"/>
                <w:szCs w:val="18"/>
                <w:lang w:eastAsia="zh-CN"/>
              </w:rPr>
              <w:t>Z7002025001842</w:t>
            </w:r>
            <w:r>
              <w:rPr>
                <w:rFonts w:hint="eastAsia" w:ascii="宋体" w:hAnsi="宋体"/>
                <w:sz w:val="18"/>
                <w:szCs w:val="18"/>
              </w:rPr>
              <w:t>】注：投资者可依据理财产品登记编码在中国理财网查询产品信息</w:t>
            </w:r>
            <w:r>
              <w:fldChar w:fldCharType="begin"/>
            </w:r>
            <w:r>
              <w:instrText xml:space="preserve"> HYPERLINK "http://www.chinawealth.com.cn" </w:instrText>
            </w:r>
            <w:r>
              <w:fldChar w:fldCharType="separate"/>
            </w:r>
            <w:r>
              <w:rPr>
                <w:rFonts w:ascii="宋体" w:hAnsi="宋体"/>
                <w:sz w:val="18"/>
                <w:szCs w:val="18"/>
              </w:rPr>
              <w:t>www.chinawealth.com.cn</w:t>
            </w:r>
            <w:r>
              <w:rPr>
                <w:rFonts w:ascii="宋体" w:hAnsi="宋体"/>
                <w:sz w:val="18"/>
                <w:szCs w:val="18"/>
              </w:rPr>
              <w:fldChar w:fldCharType="end"/>
            </w:r>
          </w:p>
        </w:tc>
      </w:tr>
      <w:tr w14:paraId="0E8358C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14:paraId="490106AD">
            <w:pPr>
              <w:spacing w:line="360" w:lineRule="auto"/>
              <w:jc w:val="left"/>
              <w:rPr>
                <w:rFonts w:ascii="宋体" w:hAnsi="宋体"/>
                <w:b/>
                <w:bCs/>
                <w:sz w:val="18"/>
                <w:szCs w:val="18"/>
              </w:rPr>
            </w:pPr>
          </w:p>
        </w:tc>
        <w:tc>
          <w:tcPr>
            <w:tcW w:w="1690" w:type="dxa"/>
            <w:gridSpan w:val="2"/>
            <w:shd w:val="solid" w:color="FFFFFF" w:fill="FFFFFF"/>
            <w:vAlign w:val="center"/>
          </w:tcPr>
          <w:p w14:paraId="19545827">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产品</w:t>
            </w:r>
            <w:r>
              <w:rPr>
                <w:rFonts w:ascii="宋体" w:hAnsi="宋体"/>
                <w:sz w:val="18"/>
                <w:szCs w:val="18"/>
              </w:rPr>
              <w:t>代码</w:t>
            </w:r>
          </w:p>
        </w:tc>
        <w:tc>
          <w:tcPr>
            <w:tcW w:w="6389" w:type="dxa"/>
            <w:gridSpan w:val="3"/>
            <w:shd w:val="solid" w:color="FFFFFF" w:fill="FFFFFF"/>
            <w:vAlign w:val="center"/>
          </w:tcPr>
          <w:p w14:paraId="0788E5C4">
            <w:pPr>
              <w:spacing w:line="360" w:lineRule="auto"/>
              <w:jc w:val="left"/>
              <w:rPr>
                <w:rFonts w:ascii="宋体" w:hAnsi="宋体"/>
                <w:sz w:val="18"/>
                <w:szCs w:val="18"/>
              </w:rPr>
            </w:pPr>
            <w:r>
              <w:rPr>
                <w:rFonts w:ascii="宋体" w:hAnsi="宋体"/>
                <w:color w:val="000000" w:themeColor="text1"/>
                <w:sz w:val="18"/>
                <w:szCs w:val="18"/>
                <w14:textFill>
                  <w14:solidFill>
                    <w14:schemeClr w14:val="tx1"/>
                  </w14:solidFill>
                </w14:textFill>
              </w:rPr>
              <w:t>【</w:t>
            </w:r>
            <w:bookmarkStart w:id="19" w:name="pro_code"/>
            <w:bookmarkEnd w:id="19"/>
            <w:r>
              <w:rPr>
                <w:rFonts w:hint="eastAsia" w:ascii="宋体" w:hAnsi="宋体"/>
                <w:color w:val="000000" w:themeColor="text1"/>
                <w:sz w:val="18"/>
                <w:szCs w:val="18"/>
                <w:lang w:eastAsia="zh-CN"/>
                <w14:textFill>
                  <w14:solidFill>
                    <w14:schemeClr w14:val="tx1"/>
                  </w14:solidFill>
                </w14:textFill>
              </w:rPr>
              <w:t>9K410810</w:t>
            </w:r>
            <w:r>
              <w:rPr>
                <w:rFonts w:ascii="宋体" w:hAnsi="宋体"/>
                <w:color w:val="000000" w:themeColor="text1"/>
                <w:sz w:val="18"/>
                <w:szCs w:val="18"/>
                <w14:textFill>
                  <w14:solidFill>
                    <w14:schemeClr w14:val="tx1"/>
                  </w14:solidFill>
                </w14:textFill>
              </w:rPr>
              <w:t>】</w:t>
            </w:r>
          </w:p>
        </w:tc>
      </w:tr>
      <w:tr w14:paraId="34A70E3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14:paraId="318B3B47">
            <w:pPr>
              <w:spacing w:line="360" w:lineRule="auto"/>
              <w:jc w:val="left"/>
              <w:rPr>
                <w:rFonts w:ascii="宋体" w:hAnsi="宋体"/>
                <w:b/>
                <w:bCs/>
                <w:sz w:val="18"/>
                <w:szCs w:val="18"/>
              </w:rPr>
            </w:pPr>
          </w:p>
        </w:tc>
        <w:tc>
          <w:tcPr>
            <w:tcW w:w="1690" w:type="dxa"/>
            <w:gridSpan w:val="2"/>
            <w:shd w:val="solid" w:color="FFFFFF" w:fill="FFFFFF"/>
            <w:vAlign w:val="center"/>
          </w:tcPr>
          <w:p w14:paraId="2D60F236">
            <w:pPr>
              <w:spacing w:line="320" w:lineRule="exact"/>
              <w:jc w:val="left"/>
              <w:rPr>
                <w:rFonts w:hAnsi="宋体"/>
                <w:sz w:val="18"/>
                <w:szCs w:val="18"/>
              </w:rPr>
            </w:pPr>
            <w:r>
              <w:rPr>
                <w:rFonts w:hint="eastAsia" w:hAnsi="宋体"/>
                <w:sz w:val="18"/>
                <w:szCs w:val="18"/>
              </w:rPr>
              <w:t>★</w:t>
            </w:r>
            <w:r>
              <w:rPr>
                <w:rFonts w:hint="eastAsia" w:ascii="宋体" w:hAnsi="宋体"/>
                <w:sz w:val="18"/>
                <w:szCs w:val="18"/>
              </w:rPr>
              <w:t>销售</w:t>
            </w:r>
            <w:r>
              <w:rPr>
                <w:rFonts w:ascii="宋体" w:hAnsi="宋体"/>
                <w:sz w:val="18"/>
                <w:szCs w:val="18"/>
              </w:rPr>
              <w:t>代码</w:t>
            </w:r>
          </w:p>
        </w:tc>
        <w:tc>
          <w:tcPr>
            <w:tcW w:w="6389" w:type="dxa"/>
            <w:gridSpan w:val="3"/>
            <w:shd w:val="solid" w:color="FFFFFF" w:fill="FFFFFF"/>
            <w:vAlign w:val="center"/>
          </w:tcPr>
          <w:p w14:paraId="3F286825">
            <w:pPr>
              <w:spacing w:line="320" w:lineRule="exact"/>
              <w:jc w:val="left"/>
              <w:rPr>
                <w:rFonts w:hint="eastAsia" w:ascii="宋体" w:hAnsi="宋体" w:eastAsia="宋体"/>
                <w:color w:val="000000" w:themeColor="text1"/>
                <w:sz w:val="18"/>
                <w:szCs w:val="18"/>
                <w:lang w:eastAsia="zh-CN"/>
                <w14:textFill>
                  <w14:solidFill>
                    <w14:schemeClr w14:val="tx1"/>
                  </w14:solidFill>
                </w14:textFill>
              </w:rPr>
            </w:pPr>
            <w:bookmarkStart w:id="20" w:name="sale_code"/>
            <w:bookmarkEnd w:id="20"/>
            <w:r>
              <w:rPr>
                <w:rFonts w:hint="eastAsia" w:ascii="宋体" w:hAnsi="宋体"/>
                <w:color w:val="000000" w:themeColor="text1"/>
                <w:sz w:val="18"/>
                <w:szCs w:val="18"/>
                <w:lang w:eastAsia="zh-CN"/>
                <w14:textFill>
                  <w14:solidFill>
                    <w14:schemeClr w14:val="tx1"/>
                  </w14:solidFill>
                </w14:textFill>
              </w:rPr>
              <w:t>【9K41081B】（适用【</w:t>
            </w:r>
            <w:r>
              <w:rPr>
                <w:rFonts w:hint="eastAsia" w:ascii="宋体" w:hAnsi="宋体"/>
                <w:color w:val="000000" w:themeColor="text1"/>
                <w:sz w:val="18"/>
                <w:szCs w:val="18"/>
                <w:lang w:val="en-US" w:eastAsia="zh-CN"/>
                <w14:textFill>
                  <w14:solidFill>
                    <w14:schemeClr w14:val="tx1"/>
                  </w14:solidFill>
                </w14:textFill>
              </w:rPr>
              <w:t>B</w:t>
            </w:r>
            <w:r>
              <w:rPr>
                <w:rFonts w:hint="eastAsia" w:ascii="宋体" w:hAnsi="宋体"/>
                <w:color w:val="000000" w:themeColor="text1"/>
                <w:sz w:val="18"/>
                <w:szCs w:val="18"/>
                <w:lang w:eastAsia="zh-CN"/>
                <w14:textFill>
                  <w14:solidFill>
                    <w14:schemeClr w14:val="tx1"/>
                  </w14:solidFill>
                </w14:textFill>
              </w:rPr>
              <w:t>】类份额）</w:t>
            </w:r>
          </w:p>
        </w:tc>
      </w:tr>
      <w:tr w14:paraId="4986CF2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14:paraId="47CC3F4B">
            <w:pPr>
              <w:spacing w:line="360" w:lineRule="auto"/>
              <w:jc w:val="left"/>
              <w:rPr>
                <w:rFonts w:ascii="宋体" w:hAnsi="宋体"/>
                <w:b/>
                <w:bCs/>
                <w:sz w:val="18"/>
                <w:szCs w:val="18"/>
              </w:rPr>
            </w:pPr>
          </w:p>
        </w:tc>
      </w:tr>
      <w:tr w14:paraId="6E056B8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826" w:hRule="atLeast"/>
          <w:jc w:val="center"/>
        </w:trPr>
        <w:tc>
          <w:tcPr>
            <w:tcW w:w="1142" w:type="dxa"/>
            <w:shd w:val="solid" w:color="FFFFFF" w:fill="FFFFFF"/>
            <w:vAlign w:val="center"/>
          </w:tcPr>
          <w:p w14:paraId="4D6EB582">
            <w:pPr>
              <w:pStyle w:val="4"/>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14:paraId="17DA94F0">
            <w:pPr>
              <w:pStyle w:val="4"/>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14:paraId="78F56F0B">
      <w:pPr>
        <w:widowControl/>
        <w:jc w:val="left"/>
        <w:rPr>
          <w:bCs/>
          <w:sz w:val="32"/>
        </w:rPr>
      </w:pPr>
      <w:r>
        <w:rPr>
          <w:bCs/>
          <w:sz w:val="32"/>
        </w:rPr>
        <w:br w:type="page"/>
      </w:r>
    </w:p>
    <w:sdt>
      <w:sdtPr>
        <w:rPr>
          <w:rFonts w:ascii="Times New Roman" w:hAnsi="Times New Roman" w:eastAsia="宋体" w:cs="Times New Roman"/>
          <w:color w:val="auto"/>
          <w:kern w:val="2"/>
          <w:sz w:val="21"/>
          <w:szCs w:val="20"/>
          <w:lang w:val="zh-CN" w:eastAsia="zh-CN" w:bidi="ar-SA"/>
        </w:rPr>
        <w:id w:val="-1"/>
        <w:docPartObj>
          <w:docPartGallery w:val="Table of Contents"/>
          <w:docPartUnique/>
        </w:docPartObj>
      </w:sdtPr>
      <w:sdtEndPr>
        <w:rPr>
          <w:rFonts w:ascii="Times New Roman" w:hAnsi="Times New Roman" w:eastAsia="宋体" w:cs="Times New Roman"/>
          <w:b/>
          <w:bCs/>
          <w:color w:val="auto"/>
          <w:kern w:val="2"/>
          <w:sz w:val="21"/>
          <w:szCs w:val="20"/>
          <w:lang w:val="zh-CN" w:eastAsia="zh-CN" w:bidi="ar-SA"/>
        </w:rPr>
      </w:sdtEndPr>
      <w:sdtContent>
        <w:p w14:paraId="04ED6B6F">
          <w:pPr>
            <w:pStyle w:val="13"/>
            <w:spacing w:line="360" w:lineRule="auto"/>
            <w:jc w:val="center"/>
          </w:pPr>
          <w:r>
            <w:rPr>
              <w:lang w:val="zh-CN"/>
            </w:rPr>
            <w:t>目录</w:t>
          </w:r>
        </w:p>
        <w:p w14:paraId="6730465F">
          <w:pPr>
            <w:pStyle w:val="5"/>
            <w:tabs>
              <w:tab w:val="right" w:leader="dot" w:pos="8306"/>
              <w:tab w:val="clear" w:pos="8296"/>
            </w:tabs>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"_Toc11962" </w:instrText>
          </w:r>
          <w:r>
            <w:fldChar w:fldCharType="separate"/>
          </w:r>
          <w:r>
            <w:rPr>
              <w:rFonts w:hint="eastAsia"/>
            </w:rPr>
            <w:t>第一条</w:t>
          </w:r>
          <w:r>
            <w:t xml:space="preserve">  </w:t>
          </w:r>
          <w:r>
            <w:rPr>
              <w:rFonts w:hint="eastAsia"/>
            </w:rPr>
            <w:t>前言</w:t>
          </w:r>
          <w:r>
            <w:tab/>
          </w:r>
          <w:r>
            <w:fldChar w:fldCharType="begin"/>
          </w:r>
          <w:r>
            <w:instrText xml:space="preserve"> PAGEREF _Toc11962 \h </w:instrText>
          </w:r>
          <w:r>
            <w:fldChar w:fldCharType="separate"/>
          </w:r>
          <w:r>
            <w:t>6</w:t>
          </w:r>
          <w:r>
            <w:fldChar w:fldCharType="end"/>
          </w:r>
          <w:r>
            <w:fldChar w:fldCharType="end"/>
          </w:r>
        </w:p>
        <w:p w14:paraId="3DFB3246">
          <w:pPr>
            <w:pStyle w:val="5"/>
            <w:tabs>
              <w:tab w:val="right" w:leader="dot" w:pos="8306"/>
              <w:tab w:val="clear" w:pos="8296"/>
            </w:tabs>
          </w:pPr>
          <w:r>
            <w:fldChar w:fldCharType="begin"/>
          </w:r>
          <w:r>
            <w:instrText xml:space="preserve"> HYPERLINK \l "_Toc12429" </w:instrText>
          </w:r>
          <w:r>
            <w:fldChar w:fldCharType="separate"/>
          </w:r>
          <w:r>
            <w:t>第</w:t>
          </w:r>
          <w:r>
            <w:rPr>
              <w:rFonts w:hint="eastAsia"/>
            </w:rPr>
            <w:t xml:space="preserve">二条 </w:t>
          </w:r>
          <w:r>
            <w:t xml:space="preserve"> </w:t>
          </w:r>
          <w:r>
            <w:rPr>
              <w:rFonts w:hint="eastAsia"/>
            </w:rPr>
            <w:t>双方</w:t>
          </w:r>
          <w:r>
            <w:t>权利义务</w:t>
          </w:r>
          <w:r>
            <w:tab/>
          </w:r>
          <w:r>
            <w:fldChar w:fldCharType="begin"/>
          </w:r>
          <w:r>
            <w:instrText xml:space="preserve"> PAGEREF _Toc12429 \h </w:instrText>
          </w:r>
          <w:r>
            <w:fldChar w:fldCharType="separate"/>
          </w:r>
          <w:r>
            <w:t>7</w:t>
          </w:r>
          <w:r>
            <w:fldChar w:fldCharType="end"/>
          </w:r>
          <w:r>
            <w:fldChar w:fldCharType="end"/>
          </w:r>
        </w:p>
        <w:p w14:paraId="6A931136">
          <w:pPr>
            <w:pStyle w:val="5"/>
            <w:tabs>
              <w:tab w:val="right" w:leader="dot" w:pos="8306"/>
              <w:tab w:val="clear" w:pos="8296"/>
            </w:tabs>
          </w:pPr>
          <w:r>
            <w:fldChar w:fldCharType="begin"/>
          </w:r>
          <w:r>
            <w:instrText xml:space="preserve"> HYPERLINK \l "_Toc706" </w:instrText>
          </w:r>
          <w:r>
            <w:fldChar w:fldCharType="separate"/>
          </w:r>
          <w:r>
            <w:rPr>
              <w:rFonts w:hint="eastAsia"/>
            </w:rPr>
            <w:t>第三条</w:t>
          </w:r>
          <w:r>
            <w:t xml:space="preserve">  不可抗力</w:t>
          </w:r>
          <w:r>
            <w:tab/>
          </w:r>
          <w:r>
            <w:fldChar w:fldCharType="begin"/>
          </w:r>
          <w:r>
            <w:instrText xml:space="preserve"> PAGEREF _Toc706 \h </w:instrText>
          </w:r>
          <w:r>
            <w:fldChar w:fldCharType="separate"/>
          </w:r>
          <w:r>
            <w:t>10</w:t>
          </w:r>
          <w:r>
            <w:fldChar w:fldCharType="end"/>
          </w:r>
          <w:r>
            <w:fldChar w:fldCharType="end"/>
          </w:r>
        </w:p>
        <w:p w14:paraId="5C4661FE">
          <w:pPr>
            <w:pStyle w:val="5"/>
            <w:tabs>
              <w:tab w:val="right" w:leader="dot" w:pos="8306"/>
              <w:tab w:val="clear" w:pos="8296"/>
            </w:tabs>
          </w:pPr>
          <w:r>
            <w:fldChar w:fldCharType="begin"/>
          </w:r>
          <w:r>
            <w:instrText xml:space="preserve"> HYPERLINK \l "_Toc265" </w:instrText>
          </w:r>
          <w:r>
            <w:fldChar w:fldCharType="separate"/>
          </w:r>
          <w:r>
            <w:rPr>
              <w:rFonts w:hint="eastAsia"/>
            </w:rPr>
            <w:t>第四条</w:t>
          </w:r>
          <w:r>
            <w:t xml:space="preserve">  </w:t>
          </w:r>
          <w:r>
            <w:rPr>
              <w:rFonts w:hint="eastAsia"/>
            </w:rPr>
            <w:t>违约责任</w:t>
          </w:r>
          <w:r>
            <w:tab/>
          </w:r>
          <w:r>
            <w:fldChar w:fldCharType="begin"/>
          </w:r>
          <w:r>
            <w:instrText xml:space="preserve"> PAGEREF _Toc265 \h </w:instrText>
          </w:r>
          <w:r>
            <w:fldChar w:fldCharType="separate"/>
          </w:r>
          <w:r>
            <w:t>11</w:t>
          </w:r>
          <w:r>
            <w:fldChar w:fldCharType="end"/>
          </w:r>
          <w:r>
            <w:fldChar w:fldCharType="end"/>
          </w:r>
        </w:p>
        <w:p w14:paraId="016532A4">
          <w:pPr>
            <w:pStyle w:val="5"/>
            <w:tabs>
              <w:tab w:val="right" w:leader="dot" w:pos="8306"/>
              <w:tab w:val="clear" w:pos="8296"/>
            </w:tabs>
          </w:pPr>
          <w:r>
            <w:fldChar w:fldCharType="begin"/>
          </w:r>
          <w:r>
            <w:instrText xml:space="preserve"> HYPERLINK \l "_Toc29618" </w:instrText>
          </w:r>
          <w:r>
            <w:fldChar w:fldCharType="separate"/>
          </w:r>
          <w:r>
            <w:rPr>
              <w:rFonts w:hint="eastAsia"/>
            </w:rPr>
            <w:t>第五条</w:t>
          </w:r>
          <w:r>
            <w:t xml:space="preserve">  法律适用和争议解决</w:t>
          </w:r>
          <w:r>
            <w:tab/>
          </w:r>
          <w:r>
            <w:fldChar w:fldCharType="begin"/>
          </w:r>
          <w:r>
            <w:instrText xml:space="preserve"> PAGEREF _Toc29618 \h </w:instrText>
          </w:r>
          <w:r>
            <w:fldChar w:fldCharType="separate"/>
          </w:r>
          <w:r>
            <w:t>12</w:t>
          </w:r>
          <w:r>
            <w:fldChar w:fldCharType="end"/>
          </w:r>
          <w:r>
            <w:fldChar w:fldCharType="end"/>
          </w:r>
        </w:p>
        <w:p w14:paraId="112E195E">
          <w:pPr>
            <w:pStyle w:val="5"/>
            <w:tabs>
              <w:tab w:val="right" w:leader="dot" w:pos="8306"/>
              <w:tab w:val="clear" w:pos="8296"/>
            </w:tabs>
          </w:pPr>
          <w:r>
            <w:fldChar w:fldCharType="begin"/>
          </w:r>
          <w:r>
            <w:instrText xml:space="preserve"> HYPERLINK \l "_Toc11943" </w:instrText>
          </w:r>
          <w:r>
            <w:fldChar w:fldCharType="separate"/>
          </w:r>
          <w:r>
            <w:rPr>
              <w:rFonts w:hint="eastAsia"/>
            </w:rPr>
            <w:t xml:space="preserve">第六条 </w:t>
          </w:r>
          <w:r>
            <w:t xml:space="preserve"> 协议的签署和</w:t>
          </w:r>
          <w:r>
            <w:rPr>
              <w:rFonts w:hint="eastAsia"/>
            </w:rPr>
            <w:t>效力</w:t>
          </w:r>
          <w:r>
            <w:tab/>
          </w:r>
          <w:r>
            <w:fldChar w:fldCharType="begin"/>
          </w:r>
          <w:r>
            <w:instrText xml:space="preserve"> PAGEREF _Toc11943 \h </w:instrText>
          </w:r>
          <w:r>
            <w:fldChar w:fldCharType="separate"/>
          </w:r>
          <w:r>
            <w:t>13</w:t>
          </w:r>
          <w:r>
            <w:fldChar w:fldCharType="end"/>
          </w:r>
          <w:r>
            <w:fldChar w:fldCharType="end"/>
          </w:r>
        </w:p>
        <w:p w14:paraId="5073CD30">
          <w:pPr>
            <w:pStyle w:val="5"/>
            <w:tabs>
              <w:tab w:val="right" w:leader="dot" w:pos="8306"/>
              <w:tab w:val="clear" w:pos="8296"/>
            </w:tabs>
          </w:pPr>
          <w:r>
            <w:fldChar w:fldCharType="begin"/>
          </w:r>
          <w:r>
            <w:instrText xml:space="preserve"> HYPERLINK \l "_Toc29352" </w:instrText>
          </w:r>
          <w:r>
            <w:fldChar w:fldCharType="separate"/>
          </w:r>
          <w:r>
            <w:rPr>
              <w:rFonts w:hint="eastAsia"/>
            </w:rPr>
            <w:t xml:space="preserve">第七条 </w:t>
          </w:r>
          <w:r>
            <w:t xml:space="preserve"> </w:t>
          </w:r>
          <w:r>
            <w:rPr>
              <w:rFonts w:hint="eastAsia"/>
            </w:rPr>
            <w:t>消费者权益保护</w:t>
          </w:r>
          <w:r>
            <w:tab/>
          </w:r>
          <w:r>
            <w:fldChar w:fldCharType="begin"/>
          </w:r>
          <w:r>
            <w:instrText xml:space="preserve"> PAGEREF _Toc29352 \h </w:instrText>
          </w:r>
          <w:r>
            <w:fldChar w:fldCharType="separate"/>
          </w:r>
          <w:r>
            <w:t>14</w:t>
          </w:r>
          <w:r>
            <w:fldChar w:fldCharType="end"/>
          </w:r>
          <w:r>
            <w:fldChar w:fldCharType="end"/>
          </w:r>
        </w:p>
        <w:p w14:paraId="5F49E6F0">
          <w:pPr>
            <w:spacing w:line="360" w:lineRule="auto"/>
          </w:pPr>
          <w:r>
            <w:rPr>
              <w:bCs/>
              <w:lang w:val="zh-CN"/>
            </w:rPr>
            <w:fldChar w:fldCharType="end"/>
          </w:r>
        </w:p>
      </w:sdtContent>
    </w:sdt>
    <w:p w14:paraId="5CD8C8E2">
      <w:pPr>
        <w:widowControl/>
        <w:jc w:val="left"/>
        <w:rPr>
          <w:rFonts w:ascii="宋体" w:hAnsi="宋体" w:cs="仿宋_GB2312"/>
          <w:b/>
          <w:kern w:val="0"/>
          <w:sz w:val="18"/>
          <w:szCs w:val="18"/>
        </w:rPr>
      </w:pPr>
      <w:r>
        <w:rPr>
          <w:rFonts w:ascii="宋体" w:hAnsi="宋体" w:cs="仿宋_GB2312"/>
          <w:b/>
          <w:kern w:val="0"/>
          <w:sz w:val="18"/>
          <w:szCs w:val="18"/>
        </w:rPr>
        <w:br w:type="page"/>
      </w:r>
    </w:p>
    <w:p w14:paraId="19608AE8">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14:paraId="33B79F49">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14:paraId="734B7856">
      <w:pPr>
        <w:spacing w:line="360" w:lineRule="auto"/>
      </w:pPr>
    </w:p>
    <w:bookmarkEnd w:id="12"/>
    <w:bookmarkEnd w:id="13"/>
    <w:bookmarkEnd w:id="14"/>
    <w:bookmarkEnd w:id="15"/>
    <w:p w14:paraId="2EC31226">
      <w:pPr>
        <w:pStyle w:val="2"/>
        <w:spacing w:before="0" w:after="0"/>
        <w:jc w:val="center"/>
        <w:rPr>
          <w:rFonts w:ascii="Times New Roman"/>
          <w:color w:val="auto"/>
          <w:sz w:val="30"/>
        </w:rPr>
      </w:pPr>
      <w:bookmarkStart w:id="21" w:name="_Toc23386"/>
      <w:bookmarkStart w:id="22" w:name="_Toc123112268"/>
      <w:bookmarkStart w:id="23" w:name="_Toc30935"/>
      <w:bookmarkStart w:id="24" w:name="_Toc141703880"/>
      <w:bookmarkStart w:id="25" w:name="_Toc8727"/>
      <w:bookmarkStart w:id="26" w:name="_Toc123701389"/>
      <w:bookmarkStart w:id="27" w:name="_Toc123112229"/>
      <w:bookmarkStart w:id="28" w:name="_Toc4867"/>
      <w:bookmarkStart w:id="29" w:name="_Toc26897"/>
      <w:bookmarkStart w:id="30" w:name="_Toc4966"/>
      <w:bookmarkStart w:id="31" w:name="_Toc6306"/>
      <w:bookmarkStart w:id="32" w:name="_Toc15517"/>
      <w:bookmarkStart w:id="33" w:name="_Toc139991730"/>
      <w:bookmarkStart w:id="34" w:name="_Toc32639"/>
      <w:bookmarkStart w:id="35" w:name="_Toc29629"/>
      <w:bookmarkStart w:id="36" w:name="_Toc11962"/>
      <w:bookmarkStart w:id="37" w:name="_Toc74065738"/>
      <w:bookmarkStart w:id="38" w:name="_Toc233456271"/>
      <w:r>
        <w:rPr>
          <w:rFonts w:hint="eastAsia" w:ascii="Times New Roman"/>
          <w:color w:val="auto"/>
          <w:sz w:val="30"/>
        </w:rPr>
        <w:t>第一条</w:t>
      </w:r>
      <w:r>
        <w:rPr>
          <w:rFonts w:ascii="Times New Roman"/>
          <w:color w:val="auto"/>
          <w:sz w:val="30"/>
        </w:rPr>
        <w:t xml:space="preserve">  </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Start w:id="39" w:name="_Toc21301"/>
      <w:bookmarkStart w:id="40" w:name="_Toc819"/>
      <w:bookmarkStart w:id="41" w:name="_Toc3224"/>
      <w:bookmarkStart w:id="42" w:name="_Toc258829399"/>
      <w:bookmarkStart w:id="43" w:name="_Toc24860"/>
      <w:bookmarkStart w:id="44" w:name="_Toc22864"/>
      <w:bookmarkStart w:id="45" w:name="_Toc13020"/>
      <w:bookmarkStart w:id="46" w:name="_Toc6617"/>
      <w:bookmarkStart w:id="47" w:name="_Toc15067"/>
      <w:bookmarkStart w:id="48" w:name="_Toc19592"/>
      <w:bookmarkStart w:id="49" w:name="_Toc2465"/>
      <w:r>
        <w:rPr>
          <w:rFonts w:hint="eastAsia" w:ascii="Times New Roman"/>
          <w:color w:val="auto"/>
          <w:sz w:val="30"/>
        </w:rPr>
        <w:t>前言</w:t>
      </w:r>
      <w:bookmarkEnd w:id="36"/>
    </w:p>
    <w:p w14:paraId="417060C2">
      <w:pPr>
        <w:pStyle w:val="14"/>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14:paraId="2F7519B4">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.订立本投资协议书的目的是保护投资人合法权益，明确投资协议书当事人的权利义务，规范理财产品运作。</w:t>
      </w:r>
    </w:p>
    <w:p w14:paraId="421FC745">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订立本投资协议书的依据是《中华人民共和国民法典》等法律法规、《关于规范金融机构资产管理业务的指导意见》（银发</w:t>
      </w:r>
      <w:r>
        <w:rPr>
          <w:rFonts w:ascii="宋体" w:hAnsi="宋体"/>
          <w:sz w:val="18"/>
          <w:szCs w:val="18"/>
        </w:rPr>
        <w:t>[2018]106</w:t>
      </w:r>
      <w:r>
        <w:rPr>
          <w:rFonts w:hint="eastAsia" w:ascii="宋体" w:hAnsi="宋体"/>
          <w:sz w:val="18"/>
          <w:szCs w:val="18"/>
        </w:rPr>
        <w:t>号）、《商业银行理财业务监督管理办法》（银保监会令2018年第</w:t>
      </w:r>
      <w:r>
        <w:rPr>
          <w:rFonts w:ascii="宋体" w:hAnsi="宋体"/>
          <w:sz w:val="18"/>
          <w:szCs w:val="18"/>
        </w:rPr>
        <w:t>6</w:t>
      </w:r>
      <w:r>
        <w:rPr>
          <w:rFonts w:hint="eastAsia" w:ascii="宋体" w:hAnsi="宋体"/>
          <w:sz w:val="18"/>
          <w:szCs w:val="18"/>
        </w:rPr>
        <w:t>号）、</w:t>
      </w:r>
      <w:bookmarkStart w:id="50" w:name="_Toc59965743"/>
      <w:r>
        <w:rPr>
          <w:rFonts w:hint="eastAsia" w:ascii="宋体" w:hAnsi="宋体"/>
          <w:sz w:val="18"/>
          <w:szCs w:val="18"/>
        </w:rPr>
        <w:t>《商业银行理财子公司管理办法》</w:t>
      </w:r>
      <w:bookmarkEnd w:id="50"/>
      <w:r>
        <w:rPr>
          <w:rFonts w:hint="eastAsia" w:ascii="宋体" w:hAnsi="宋体"/>
          <w:sz w:val="18"/>
          <w:szCs w:val="18"/>
        </w:rPr>
        <w:t>（银保监会令2018年第7号）、《理财公司理财产品销售管理暂行办法》（银保监会令2021年第4号）等监管规定及其他有关规定。</w:t>
      </w:r>
    </w:p>
    <w:p w14:paraId="45E09534">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.订立本投资协议书的原则是平等自愿、诚实信用、充分保护投资人合法权益。</w:t>
      </w:r>
    </w:p>
    <w:p w14:paraId="2CDDE218">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14:paraId="66F4C272">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bookmarkEnd w:id="37"/>
    <w:p w14:paraId="4B342328">
      <w:pPr>
        <w:widowControl/>
        <w:spacing w:line="360" w:lineRule="auto"/>
        <w:jc w:val="left"/>
      </w:pPr>
      <w:r>
        <w:br w:type="page"/>
      </w:r>
    </w:p>
    <w:p w14:paraId="0CAC3C04">
      <w:pPr>
        <w:pStyle w:val="2"/>
        <w:spacing w:before="0" w:after="0"/>
        <w:jc w:val="center"/>
        <w:rPr>
          <w:rFonts w:ascii="Times New Roman"/>
          <w:color w:val="auto"/>
          <w:sz w:val="30"/>
        </w:rPr>
      </w:pPr>
      <w:bookmarkStart w:id="51" w:name="_Toc12429"/>
      <w:bookmarkStart w:id="52" w:name="_Toc74065739"/>
      <w:r>
        <w:rPr>
          <w:rFonts w:ascii="Times New Roman"/>
          <w:color w:val="auto"/>
          <w:sz w:val="30"/>
        </w:rPr>
        <w:t>第</w:t>
      </w:r>
      <w:r>
        <w:rPr>
          <w:rFonts w:hint="eastAsia" w:ascii="Times New Roman"/>
          <w:color w:val="auto"/>
          <w:sz w:val="30"/>
        </w:rPr>
        <w:t xml:space="preserve">二条 </w:t>
      </w:r>
      <w:r>
        <w:rPr>
          <w:rFonts w:ascii="Times New Roman"/>
          <w:color w:val="auto"/>
          <w:sz w:val="30"/>
        </w:rPr>
        <w:t xml:space="preserve"> </w:t>
      </w:r>
      <w:r>
        <w:rPr>
          <w:rFonts w:hint="eastAsia" w:ascii="Times New Roman"/>
          <w:color w:val="auto"/>
          <w:sz w:val="30"/>
        </w:rPr>
        <w:t>双方</w:t>
      </w:r>
      <w:r>
        <w:rPr>
          <w:rFonts w:ascii="Times New Roman"/>
          <w:color w:val="auto"/>
          <w:sz w:val="30"/>
        </w:rPr>
        <w:t>权利义务</w:t>
      </w:r>
      <w:bookmarkEnd w:id="51"/>
    </w:p>
    <w:p w14:paraId="2CF3D8EA">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14:paraId="1D4BFDC0">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确认：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14:paraId="2B83BA65">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14:paraId="5AB846F5">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14:paraId="63F131A6">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14:paraId="7D31C067">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14:paraId="1B7785B8">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w:t>
      </w:r>
    </w:p>
    <w:p w14:paraId="7A28E54D">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14:paraId="6FFD8C87">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14:paraId="788E237F">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黑体" w:hAnsi="黑体" w:eastAsia="黑体"/>
          <w:sz w:val="18"/>
          <w:szCs w:val="18"/>
        </w:rPr>
        <w:t>投资者承诺由此产生的相关风险由投资者承担</w:t>
      </w:r>
      <w:r>
        <w:rPr>
          <w:rFonts w:ascii="黑体" w:hAnsi="黑体" w:eastAsia="黑体"/>
          <w:sz w:val="18"/>
          <w:szCs w:val="18"/>
        </w:rPr>
        <w:t>。</w:t>
      </w:r>
    </w:p>
    <w:p w14:paraId="3FFF8BE9">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14:paraId="24D3DDF9">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14:paraId="46A529B0">
      <w:pPr>
        <w:tabs>
          <w:tab w:val="left" w:pos="704"/>
          <w:tab w:val="left" w:pos="1995"/>
        </w:tabs>
        <w:autoSpaceDE w:val="0"/>
        <w:autoSpaceDN w:val="0"/>
        <w:adjustRightInd w:val="0"/>
        <w:snapToGrid w:val="0"/>
        <w:spacing w:line="360" w:lineRule="auto"/>
        <w:ind w:firstLine="360" w:firstLineChars="200"/>
        <w:rPr>
          <w:rFonts w:ascii="黑体" w:hAnsi="黑体"/>
          <w:sz w:val="18"/>
        </w:rPr>
      </w:pPr>
      <w:r>
        <w:rPr>
          <w:rFonts w:ascii="黑体" w:hAnsi="黑体"/>
          <w:sz w:val="18"/>
        </w:rPr>
        <w:t>10.</w:t>
      </w:r>
      <w:r>
        <w:rPr>
          <w:rFonts w:hint="eastAsia" w:ascii="黑体" w:hAnsi="黑体" w:eastAsia="黑体"/>
          <w:sz w:val="18"/>
          <w:szCs w:val="18"/>
        </w:rPr>
        <w:t>★若投资者以本产品项下的任何权利、利益、权益（包括单独和整体）为投资者和任何第三人的债务设定担保或其他权益的，应由投资者与其他相关主体对前述行为负责（包括但不限于前述行为的合法有效性、权利享有和义务承担、争议解决等），产品管理人仅依据销售文件约定承担产品管理人的职责，不对前述行为承担任何责任</w:t>
      </w:r>
      <w:r>
        <w:rPr>
          <w:rFonts w:hint="eastAsia" w:ascii="黑体" w:hAnsi="黑体"/>
          <w:sz w:val="18"/>
        </w:rPr>
        <w:t>。</w:t>
      </w:r>
    </w:p>
    <w:p w14:paraId="2DBD618C">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w:t>
      </w:r>
    </w:p>
    <w:p w14:paraId="3DF0087E">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14:paraId="7ACF8AFA">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14:paraId="54C83CAA">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14:paraId="6057879C">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14:paraId="77BE91AC">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hint="eastAsia" w:ascii="宋体" w:hAnsi="宋体"/>
          <w:sz w:val="18"/>
          <w:szCs w:val="18"/>
        </w:rPr>
        <w:t>3.</w:t>
      </w:r>
      <w:r>
        <w:rPr>
          <w:rFonts w:ascii="宋体" w:hAnsi="宋体"/>
          <w:sz w:val="18"/>
          <w:szCs w:val="18"/>
        </w:rPr>
        <w:t>产品管理人应按照约定披露产品相关信息。</w:t>
      </w:r>
    </w:p>
    <w:p w14:paraId="74C78A17">
      <w:pPr>
        <w:tabs>
          <w:tab w:val="left" w:pos="704"/>
          <w:tab w:val="left" w:pos="1995"/>
        </w:tabs>
        <w:autoSpaceDE w:val="0"/>
        <w:autoSpaceDN w:val="0"/>
        <w:adjustRightInd w:val="0"/>
        <w:snapToGrid w:val="0"/>
        <w:spacing w:line="360" w:lineRule="auto"/>
        <w:ind w:firstLine="360" w:firstLineChars="200"/>
        <w:rPr>
          <w:rFonts w:ascii="黑体" w:hAnsi="黑体" w:eastAsia="黑体" w:cs="黑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按照《产品说明书》约定向投资者进行理财产品份额的利益分配并将对应资金划入投资者指定账户后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即视为产品管理人已向投资者完成利益分配和资金的清算分配。因投资者指定账户冻结、挂失、换卡、销户、长期不动户等原因造成账户变更或异常</w:t>
      </w:r>
      <w:r>
        <w:rPr>
          <w:rFonts w:ascii="宋体" w:hAnsi="宋体"/>
          <w:sz w:val="18"/>
          <w:szCs w:val="18"/>
        </w:rPr>
        <w:t>,</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w:t>
      </w:r>
      <w:r>
        <w:rPr>
          <w:rFonts w:hint="eastAsia" w:ascii="黑体" w:hAnsi="黑体" w:eastAsia="黑体" w:cs="黑体"/>
          <w:sz w:val="18"/>
          <w:szCs w:val="18"/>
        </w:rPr>
        <w:t>如因投资者未及时办理变更手续而造成产品管理人及</w:t>
      </w:r>
      <w:r>
        <w:rPr>
          <w:rFonts w:ascii="黑体" w:hAnsi="黑体" w:eastAsia="黑体" w:cs="黑体"/>
          <w:sz w:val="18"/>
          <w:szCs w:val="18"/>
        </w:rPr>
        <w:t>/或</w:t>
      </w:r>
      <w:r>
        <w:rPr>
          <w:rFonts w:hint="eastAsia" w:ascii="黑体" w:hAnsi="黑体" w:eastAsia="黑体" w:cs="黑体"/>
          <w:sz w:val="18"/>
          <w:szCs w:val="18"/>
        </w:rPr>
        <w:t>销售机构无法向投资者进行正常利益分配和资金清算分配</w:t>
      </w:r>
      <w:r>
        <w:rPr>
          <w:rFonts w:ascii="黑体" w:hAnsi="黑体" w:eastAsia="黑体" w:cs="黑体"/>
          <w:sz w:val="18"/>
          <w:szCs w:val="18"/>
        </w:rPr>
        <w:t>,</w:t>
      </w:r>
      <w:r>
        <w:rPr>
          <w:rFonts w:hint="eastAsia" w:ascii="黑体" w:hAnsi="黑体" w:eastAsia="黑体" w:cs="黑体"/>
          <w:sz w:val="18"/>
          <w:szCs w:val="18"/>
        </w:rPr>
        <w:t>由此导致投资者损失的由投资者自行承担</w:t>
      </w:r>
      <w:r>
        <w:rPr>
          <w:rFonts w:ascii="黑体" w:hAnsi="黑体" w:eastAsia="黑体" w:cs="黑体"/>
          <w:sz w:val="18"/>
          <w:szCs w:val="18"/>
        </w:rPr>
        <w:t xml:space="preserve">, </w:t>
      </w:r>
      <w:r>
        <w:rPr>
          <w:rFonts w:hint="eastAsia" w:ascii="黑体" w:hAnsi="黑体" w:eastAsia="黑体" w:cs="黑体"/>
          <w:sz w:val="18"/>
          <w:szCs w:val="18"/>
        </w:rPr>
        <w:t>产品管理人不承担责任。</w:t>
      </w:r>
    </w:p>
    <w:p w14:paraId="56F63EE9">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14:paraId="2D797AA8">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有权机关、自律组织要求和本协议的约定，处理投资者信息。</w:t>
      </w:r>
    </w:p>
    <w:p w14:paraId="1A4CB1F7">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有权机关和自律组织要求，本产品的投资合作机构（包括但不限于本产品所投资的信托计划、资管计划、基金的受托人或管理人、相关投资顾问等，下同）、销售机构、投资交易相关方、中介服务机构等有可能需要向监管机构、有权机关、自律组织等报送投资者信息，产品管理人将应投资合作机构、销售机构、投资交易相关方、中介服务机构等的申请，在必要范围内向监管机构、有权机关或自律组织提供相关信息，并要求上述信息接收方按照法律法规规定履行投资者信息保密义务。</w:t>
      </w:r>
    </w:p>
    <w:p w14:paraId="7325AB5C">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14:paraId="6C4BFE14">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在理财产品投资过程中发生任何争议，产品管理人有权以管理人的名义代表理财产品进行维权，行使包括但不限于提起诉讼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14:paraId="288C76A2">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14:paraId="2AB2A144">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hint="eastAsia" w:ascii="黑体" w:hAnsi="黑体" w:eastAsia="黑体"/>
          <w:sz w:val="18"/>
          <w:szCs w:val="18"/>
        </w:rPr>
        <w:t>产品管理人有权提前终止本协议，造成投资者损失的，产品管理人不承担责任。</w:t>
      </w:r>
    </w:p>
    <w:p w14:paraId="794C4C22">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14:paraId="5FE37DC9">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p>
    <w:p w14:paraId="5D7FD617">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14:paraId="0904A7E2">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产品管理人有权根据符合条件的申请，受理并办理继承、承继、捐赠、司法强制执行和经理财产品登记机构认可的其他情况下的非交易过户。</w:t>
      </w:r>
    </w:p>
    <w:p w14:paraId="7E7D60C8">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.其他在本产品所对应理财产品销售文件中约定的产品管理人的权利与义务。</w:t>
      </w:r>
    </w:p>
    <w:p w14:paraId="089F23BA">
      <w:pPr>
        <w:widowControl/>
        <w:spacing w:line="360" w:lineRule="auto"/>
        <w:jc w:val="left"/>
        <w:rPr>
          <w:b/>
          <w:kern w:val="0"/>
          <w:sz w:val="30"/>
        </w:rPr>
      </w:pPr>
      <w:r>
        <w:rPr>
          <w:sz w:val="30"/>
        </w:rPr>
        <w:br w:type="page"/>
      </w:r>
    </w:p>
    <w:bookmarkEnd w:id="38"/>
    <w:bookmarkEnd w:id="39"/>
    <w:bookmarkEnd w:id="40"/>
    <w:bookmarkEnd w:id="41"/>
    <w:bookmarkEnd w:id="42"/>
    <w:bookmarkEnd w:id="43"/>
    <w:bookmarkEnd w:id="44"/>
    <w:bookmarkEnd w:id="45"/>
    <w:bookmarkEnd w:id="46"/>
    <w:bookmarkEnd w:id="47"/>
    <w:bookmarkEnd w:id="48"/>
    <w:bookmarkEnd w:id="49"/>
    <w:bookmarkEnd w:id="52"/>
    <w:p w14:paraId="62F234E9">
      <w:pPr>
        <w:pStyle w:val="2"/>
        <w:spacing w:before="0" w:after="0"/>
        <w:jc w:val="center"/>
        <w:rPr>
          <w:rFonts w:ascii="Times New Roman"/>
          <w:sz w:val="30"/>
        </w:rPr>
      </w:pPr>
      <w:bookmarkStart w:id="53" w:name="_Toc706"/>
      <w:bookmarkStart w:id="54" w:name="_Toc733"/>
      <w:bookmarkStart w:id="55" w:name="_Toc22708"/>
      <w:bookmarkStart w:id="56" w:name="_Toc13288"/>
      <w:bookmarkStart w:id="57" w:name="_Toc20627"/>
      <w:bookmarkStart w:id="58" w:name="_Toc20318"/>
      <w:bookmarkStart w:id="59" w:name="_Toc74065740"/>
      <w:bookmarkStart w:id="60" w:name="_Toc6149"/>
      <w:bookmarkStart w:id="61" w:name="_Toc6683"/>
      <w:bookmarkStart w:id="62" w:name="_Toc24571"/>
      <w:bookmarkStart w:id="63" w:name="_Toc545"/>
      <w:bookmarkStart w:id="64" w:name="_Toc18631"/>
      <w:bookmarkStart w:id="65" w:name="_Toc233456272"/>
      <w:bookmarkStart w:id="66" w:name="_Toc258829400"/>
      <w:r>
        <w:rPr>
          <w:rFonts w:hint="eastAsia" w:ascii="Times New Roman"/>
          <w:color w:val="auto"/>
          <w:sz w:val="30"/>
        </w:rPr>
        <w:t>第三条</w:t>
      </w:r>
      <w:r>
        <w:rPr>
          <w:rFonts w:ascii="Times New Roman"/>
          <w:color w:val="auto"/>
          <w:sz w:val="30"/>
        </w:rPr>
        <w:t xml:space="preserve">  不可抗力</w:t>
      </w:r>
      <w:bookmarkEnd w:id="53"/>
    </w:p>
    <w:bookmarkEnd w:id="54"/>
    <w:bookmarkEnd w:id="55"/>
    <w:bookmarkEnd w:id="56"/>
    <w:bookmarkEnd w:id="57"/>
    <w:bookmarkEnd w:id="58"/>
    <w:bookmarkEnd w:id="59"/>
    <w:bookmarkEnd w:id="60"/>
    <w:bookmarkEnd w:id="61"/>
    <w:bookmarkEnd w:id="62"/>
    <w:bookmarkEnd w:id="63"/>
    <w:bookmarkEnd w:id="64"/>
    <w:p w14:paraId="7089777E">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14:paraId="6FBBDDE5">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14:paraId="436468D0">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14:paraId="76CE0AD9">
      <w:pPr>
        <w:pStyle w:val="2"/>
        <w:spacing w:before="0" w:after="0"/>
        <w:jc w:val="center"/>
        <w:rPr>
          <w:rFonts w:ascii="Times New Roman"/>
          <w:b w:val="0"/>
          <w:sz w:val="30"/>
        </w:rPr>
      </w:pPr>
      <w:bookmarkStart w:id="67" w:name="_Toc265"/>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7"/>
    </w:p>
    <w:p w14:paraId="1B1775C4">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14:paraId="19DC102F">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14:paraId="5B3A678B">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14:paraId="51E70A77">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.本协议书中涉及的相关到期日或分配日如遇节假日，将顺延至下一个工作日，由此产生的风险及损失双方当事人互不承担责任；</w:t>
      </w:r>
    </w:p>
    <w:p w14:paraId="4BC24241">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14:paraId="7D0CA7B5">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14:paraId="5E8A2045">
      <w:pPr>
        <w:pStyle w:val="2"/>
        <w:spacing w:before="0" w:after="0"/>
        <w:jc w:val="center"/>
        <w:rPr>
          <w:rFonts w:ascii="Times New Roman"/>
          <w:b w:val="0"/>
          <w:sz w:val="30"/>
        </w:rPr>
      </w:pPr>
      <w:bookmarkStart w:id="68" w:name="_Toc29618"/>
      <w:r>
        <w:rPr>
          <w:rFonts w:hint="eastAsia" w:ascii="Times New Roman"/>
          <w:color w:val="auto"/>
          <w:sz w:val="30"/>
        </w:rPr>
        <w:t>第五条</w:t>
      </w:r>
      <w:r>
        <w:rPr>
          <w:rFonts w:ascii="Times New Roman"/>
          <w:color w:val="auto"/>
          <w:sz w:val="30"/>
        </w:rPr>
        <w:t xml:space="preserve">  法律适用和争议解决</w:t>
      </w:r>
      <w:bookmarkEnd w:id="68"/>
    </w:p>
    <w:p w14:paraId="74927A26">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（一）法律适用</w:t>
      </w:r>
    </w:p>
    <w:p w14:paraId="64C4293D">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本协议的订立、生效、履行、解除、解释及争议的解决等均适用中华人民共和国法律（为本合同之目的，不包括香港特别行政区、澳门特别行政区和台湾地区的法律）。</w:t>
      </w:r>
    </w:p>
    <w:p w14:paraId="24FC4FE4">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（二）★争议解决</w:t>
      </w:r>
    </w:p>
    <w:p w14:paraId="32F9FDFA">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宋体" w:hAnsi="宋体" w:cs="仿宋_GB2312"/>
          <w:kern w:val="0"/>
          <w:sz w:val="18"/>
          <w:szCs w:val="18"/>
        </w:rPr>
        <w:t>双方在本协议书的执行过程中发生的任何争议，应通过友好协商解决。</w:t>
      </w:r>
      <w:r>
        <w:rPr>
          <w:rFonts w:hint="eastAsia" w:ascii="黑体" w:hAnsi="黑体" w:eastAsia="黑体" w:cs="黑体"/>
          <w:kern w:val="0"/>
          <w:sz w:val="18"/>
          <w:szCs w:val="18"/>
        </w:rPr>
        <w:t>如友好协商不成的，双方均同意以如下第【壹】种方式解决：</w:t>
      </w:r>
    </w:p>
    <w:p w14:paraId="3E20A238">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（壹）向产品管理人住所地之人民法院提起诉讼。</w:t>
      </w:r>
    </w:p>
    <w:p w14:paraId="626D0A30">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14:paraId="0D39206F">
      <w:pPr>
        <w:widowControl/>
        <w:spacing w:line="360" w:lineRule="auto"/>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br w:type="page"/>
      </w:r>
    </w:p>
    <w:p w14:paraId="498E3DE5">
      <w:pPr>
        <w:pStyle w:val="2"/>
        <w:spacing w:before="0" w:after="0"/>
        <w:jc w:val="center"/>
        <w:rPr>
          <w:rFonts w:ascii="Times New Roman"/>
          <w:b w:val="0"/>
          <w:sz w:val="30"/>
        </w:rPr>
      </w:pPr>
      <w:bookmarkStart w:id="69" w:name="_Toc11943"/>
      <w:r>
        <w:rPr>
          <w:rFonts w:hint="eastAsia" w:ascii="Times New Roman"/>
          <w:color w:val="auto"/>
          <w:sz w:val="30"/>
        </w:rPr>
        <w:t xml:space="preserve">第六条 </w:t>
      </w:r>
      <w:r>
        <w:rPr>
          <w:rFonts w:ascii="Times New Roman"/>
          <w:color w:val="auto"/>
          <w:sz w:val="30"/>
        </w:rPr>
        <w:t xml:space="preserve"> 协议的签署和</w:t>
      </w:r>
      <w:r>
        <w:rPr>
          <w:rFonts w:hint="eastAsia" w:ascii="Times New Roman"/>
          <w:color w:val="auto"/>
          <w:sz w:val="30"/>
        </w:rPr>
        <w:t>效力</w:t>
      </w:r>
      <w:bookmarkEnd w:id="69"/>
    </w:p>
    <w:p w14:paraId="643EEF54">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14:paraId="7A590B86">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，本协议自投资者签名/盖章后则为签署</w:t>
      </w:r>
      <w:r>
        <w:rPr>
          <w:rFonts w:ascii="黑体" w:hAnsi="黑体" w:eastAsia="黑体"/>
          <w:sz w:val="18"/>
          <w:szCs w:val="18"/>
        </w:rPr>
        <w:t>。</w:t>
      </w:r>
    </w:p>
    <w:p w14:paraId="73F638D8">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14:paraId="399AAB7A">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14:paraId="5D0DEAAD">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14:paraId="41BF18BF">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14:paraId="71A24FEE">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14:paraId="14A519F1">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14:paraId="30663E79">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14:paraId="334993DB">
      <w:pPr>
        <w:pStyle w:val="2"/>
        <w:spacing w:before="0" w:after="0"/>
        <w:jc w:val="center"/>
        <w:rPr>
          <w:rFonts w:ascii="Times New Roman"/>
          <w:b w:val="0"/>
          <w:sz w:val="30"/>
        </w:rPr>
      </w:pPr>
      <w:bookmarkStart w:id="70" w:name="_Toc29352"/>
      <w:bookmarkStart w:id="71" w:name="_Toc77953869"/>
      <w:r>
        <w:rPr>
          <w:rFonts w:hint="eastAsia" w:ascii="Times New Roman"/>
          <w:color w:val="auto"/>
          <w:sz w:val="30"/>
        </w:rPr>
        <w:t xml:space="preserve">第七条 </w:t>
      </w:r>
      <w:r>
        <w:rPr>
          <w:rFonts w:ascii="Times New Roman"/>
          <w:color w:val="auto"/>
          <w:sz w:val="30"/>
        </w:rPr>
        <w:t xml:space="preserve"> </w:t>
      </w:r>
      <w:r>
        <w:rPr>
          <w:rFonts w:hint="eastAsia" w:ascii="Times New Roman"/>
          <w:color w:val="auto"/>
          <w:sz w:val="30"/>
        </w:rPr>
        <w:t>消费者权益保护</w:t>
      </w:r>
      <w:bookmarkEnd w:id="70"/>
      <w:bookmarkEnd w:id="71"/>
      <w:r>
        <w:rPr>
          <w:rFonts w:hint="eastAsia" w:ascii="Times New Roman"/>
          <w:color w:val="auto"/>
          <w:sz w:val="30"/>
        </w:rPr>
        <w:t xml:space="preserve"> </w:t>
      </w:r>
    </w:p>
    <w:p w14:paraId="0EFEDDDD">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14:paraId="753F23CF">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14:paraId="27F2F5E2">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14:paraId="654D0A83">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72" w:name="_Hlk64707831"/>
      <w:r>
        <w:rPr>
          <w:rFonts w:hint="eastAsia" w:ascii="黑体" w:hAnsi="黑体" w:eastAsia="黑体"/>
          <w:sz w:val="18"/>
          <w:szCs w:val="18"/>
        </w:rPr>
        <w:t>1.产品管理人：兴银理财有限责任公司</w:t>
      </w:r>
    </w:p>
    <w:p w14:paraId="34016E77">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72"/>
    </w:p>
    <w:p w14:paraId="05583D3F">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2.销售机构</w:t>
      </w:r>
    </w:p>
    <w:p w14:paraId="496C32AC">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销售机构的联络方式，具体以《（代理）销售协议书》《投资者权益须知》等销售文件的内容为准。 </w:t>
      </w:r>
    </w:p>
    <w:p w14:paraId="57A00BD1">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14:paraId="16593026">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65"/>
    <w:bookmarkEnd w:id="66"/>
    <w:tbl>
      <w:tblPr>
        <w:tblStyle w:val="8"/>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14:paraId="69B3730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4" w:type="dxa"/>
            <w:gridSpan w:val="5"/>
          </w:tcPr>
          <w:p w14:paraId="2AD071E8">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交易信息栏</w:t>
            </w:r>
          </w:p>
        </w:tc>
      </w:tr>
      <w:tr w14:paraId="2A99548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14:paraId="4E9060BA">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理财产品名称</w:t>
            </w:r>
          </w:p>
        </w:tc>
        <w:tc>
          <w:tcPr>
            <w:tcW w:w="7121" w:type="dxa"/>
            <w:gridSpan w:val="3"/>
            <w:vAlign w:val="center"/>
          </w:tcPr>
          <w:p w14:paraId="2D3EE5CE">
            <w:pPr>
              <w:autoSpaceDE w:val="0"/>
              <w:autoSpaceDN w:val="0"/>
              <w:adjustRightInd w:val="0"/>
              <w:snapToGrid w:val="0"/>
              <w:spacing w:line="360" w:lineRule="auto"/>
              <w:jc w:val="left"/>
              <w:rPr>
                <w:rFonts w:ascii="宋体" w:hAnsi="宋体" w:cs="宋体"/>
                <w:bCs/>
                <w:sz w:val="18"/>
                <w:szCs w:val="18"/>
              </w:rPr>
            </w:pPr>
            <w:r>
              <w:rPr>
                <w:rFonts w:hint="eastAsia" w:ascii="宋体" w:hAnsi="宋体" w:cs="宋体"/>
                <w:bCs/>
                <w:sz w:val="18"/>
                <w:szCs w:val="18"/>
              </w:rPr>
              <w:t>【】</w:t>
            </w:r>
          </w:p>
        </w:tc>
      </w:tr>
      <w:tr w14:paraId="2B4B93B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14:paraId="10985CA2">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产品份额</w:t>
            </w:r>
            <w:r>
              <w:rPr>
                <w:rFonts w:ascii="宋体" w:hAnsi="宋体"/>
                <w:b/>
                <w:sz w:val="18"/>
                <w:szCs w:val="18"/>
              </w:rPr>
              <w:t>类别</w:t>
            </w:r>
          </w:p>
        </w:tc>
        <w:tc>
          <w:tcPr>
            <w:tcW w:w="7121" w:type="dxa"/>
            <w:gridSpan w:val="3"/>
            <w:vAlign w:val="center"/>
          </w:tcPr>
          <w:p w14:paraId="16C06042">
            <w:pPr>
              <w:autoSpaceDE w:val="0"/>
              <w:autoSpaceDN w:val="0"/>
              <w:adjustRightInd w:val="0"/>
              <w:snapToGrid w:val="0"/>
              <w:spacing w:line="360" w:lineRule="auto"/>
              <w:jc w:val="left"/>
              <w:rPr>
                <w:rFonts w:ascii="宋体" w:hAnsi="宋体" w:cs="宋体"/>
                <w:bCs/>
                <w:sz w:val="18"/>
                <w:szCs w:val="18"/>
              </w:rPr>
            </w:pPr>
            <w:r>
              <w:rPr>
                <w:rFonts w:hint="eastAsia" w:ascii="宋体" w:hAnsi="宋体" w:cs="宋体"/>
                <w:bCs/>
                <w:sz w:val="18"/>
                <w:szCs w:val="18"/>
              </w:rPr>
              <w:t>【】类</w:t>
            </w:r>
            <w:r>
              <w:rPr>
                <w:rFonts w:ascii="宋体" w:hAnsi="宋体" w:cs="宋体"/>
                <w:bCs/>
                <w:sz w:val="18"/>
                <w:szCs w:val="18"/>
              </w:rPr>
              <w:t>份额</w:t>
            </w:r>
          </w:p>
        </w:tc>
      </w:tr>
      <w:tr w14:paraId="48572E4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14:paraId="1F5820CA">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14:paraId="599A53D2">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认购</w:t>
            </w:r>
          </w:p>
        </w:tc>
        <w:tc>
          <w:tcPr>
            <w:tcW w:w="5987" w:type="dxa"/>
            <w:vAlign w:val="center"/>
          </w:tcPr>
          <w:p w14:paraId="6597A991">
            <w:pPr>
              <w:autoSpaceDE w:val="0"/>
              <w:autoSpaceDN w:val="0"/>
              <w:adjustRightInd w:val="0"/>
              <w:snapToGrid w:val="0"/>
              <w:spacing w:line="360" w:lineRule="auto"/>
              <w:jc w:val="left"/>
              <w:rPr>
                <w:rFonts w:ascii="宋体" w:hAnsi="宋体" w:cs="宋体"/>
                <w:bCs/>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rPr>
              <w:t>元整。</w:t>
            </w:r>
          </w:p>
        </w:tc>
      </w:tr>
      <w:tr w14:paraId="16BC488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14:paraId="7546848C">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14:paraId="1AEA03D6">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申购</w:t>
            </w:r>
          </w:p>
        </w:tc>
        <w:tc>
          <w:tcPr>
            <w:tcW w:w="5987" w:type="dxa"/>
            <w:vAlign w:val="center"/>
          </w:tcPr>
          <w:p w14:paraId="62A35304">
            <w:pPr>
              <w:autoSpaceDE w:val="0"/>
              <w:autoSpaceDN w:val="0"/>
              <w:adjustRightInd w:val="0"/>
              <w:snapToGrid w:val="0"/>
              <w:spacing w:line="360" w:lineRule="auto"/>
              <w:jc w:val="left"/>
              <w:rPr>
                <w:rFonts w:ascii="宋体" w:hAnsi="宋体"/>
                <w:bCs/>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rPr>
              <w:t>元整。</w:t>
            </w:r>
          </w:p>
        </w:tc>
      </w:tr>
      <w:tr w14:paraId="51495A7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14:paraId="21040136">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14:paraId="788103C7">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赎回</w:t>
            </w:r>
          </w:p>
        </w:tc>
        <w:tc>
          <w:tcPr>
            <w:tcW w:w="5987" w:type="dxa"/>
            <w:vAlign w:val="center"/>
          </w:tcPr>
          <w:p w14:paraId="2B822381">
            <w:pPr>
              <w:autoSpaceDE w:val="0"/>
              <w:autoSpaceDN w:val="0"/>
              <w:adjustRightInd w:val="0"/>
              <w:snapToGrid w:val="0"/>
              <w:spacing w:line="360" w:lineRule="auto"/>
              <w:rPr>
                <w:rFonts w:ascii="宋体" w:hAnsi="宋体"/>
                <w:bCs/>
                <w:sz w:val="18"/>
                <w:szCs w:val="18"/>
              </w:rPr>
            </w:pPr>
            <w:r>
              <w:rPr>
                <w:rFonts w:ascii="宋体" w:hAnsi="宋体"/>
                <w:bCs/>
                <w:sz w:val="18"/>
                <w:szCs w:val="18"/>
              </w:rPr>
              <w:t>份额：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rPr>
              <w:t>份。</w:t>
            </w:r>
          </w:p>
        </w:tc>
      </w:tr>
      <w:tr w14:paraId="532C4E9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14:paraId="0EB11F9C">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14:paraId="721960AB">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交易申请日</w:t>
            </w:r>
          </w:p>
        </w:tc>
        <w:tc>
          <w:tcPr>
            <w:tcW w:w="5987" w:type="dxa"/>
            <w:vAlign w:val="center"/>
          </w:tcPr>
          <w:p w14:paraId="09D77F3D">
            <w:pPr>
              <w:autoSpaceDE w:val="0"/>
              <w:autoSpaceDN w:val="0"/>
              <w:adjustRightInd w:val="0"/>
              <w:snapToGrid w:val="0"/>
              <w:spacing w:line="360" w:lineRule="auto"/>
              <w:jc w:val="center"/>
              <w:rPr>
                <w:rFonts w:ascii="宋体" w:hAnsi="宋体"/>
                <w:bCs/>
                <w:sz w:val="18"/>
                <w:szCs w:val="18"/>
              </w:rPr>
            </w:pPr>
            <w:r>
              <w:rPr>
                <w:rFonts w:hint="eastAsia" w:asciiTheme="minorEastAsia" w:hAnsiTheme="minorEastAsia"/>
                <w:bCs/>
                <w:sz w:val="18"/>
                <w:szCs w:val="18"/>
              </w:rPr>
              <w:t>【</w:t>
            </w:r>
            <w:r>
              <w:rPr>
                <w:rFonts w:asciiTheme="minorEastAsia" w:hAnsiTheme="minorEastAsia"/>
                <w:bCs/>
                <w:sz w:val="18"/>
                <w:szCs w:val="18"/>
              </w:rPr>
              <w:t xml:space="preserve"> 】年</w:t>
            </w:r>
            <w:r>
              <w:rPr>
                <w:rFonts w:hint="eastAsia" w:asciiTheme="minorEastAsia" w:hAnsiTheme="minorEastAsia"/>
                <w:bCs/>
                <w:sz w:val="18"/>
                <w:szCs w:val="18"/>
              </w:rPr>
              <w:t>【</w:t>
            </w:r>
            <w:r>
              <w:rPr>
                <w:rFonts w:asciiTheme="minorEastAsia" w:hAnsiTheme="minorEastAsia"/>
                <w:bCs/>
                <w:sz w:val="18"/>
                <w:szCs w:val="18"/>
              </w:rPr>
              <w:t xml:space="preserve"> </w:t>
            </w:r>
            <w:r>
              <w:rPr>
                <w:rFonts w:hint="eastAsia" w:asciiTheme="minorEastAsia" w:hAnsiTheme="minorEastAsia"/>
                <w:bCs/>
                <w:sz w:val="18"/>
                <w:szCs w:val="18"/>
              </w:rPr>
              <w:t>】月【</w:t>
            </w:r>
            <w:r>
              <w:rPr>
                <w:rFonts w:asciiTheme="minorEastAsia" w:hAnsiTheme="minorEastAsia"/>
                <w:bCs/>
                <w:sz w:val="18"/>
                <w:szCs w:val="18"/>
              </w:rPr>
              <w:t xml:space="preserve"> </w:t>
            </w:r>
            <w:r>
              <w:rPr>
                <w:rFonts w:hint="eastAsia" w:asciiTheme="minorEastAsia" w:hAnsiTheme="minorEastAsia"/>
                <w:bCs/>
                <w:sz w:val="18"/>
                <w:szCs w:val="18"/>
              </w:rPr>
              <w:t>】日</w:t>
            </w:r>
          </w:p>
        </w:tc>
      </w:tr>
      <w:tr w14:paraId="08D0963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14:paraId="768095BE">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签署栏</w:t>
            </w:r>
          </w:p>
        </w:tc>
      </w:tr>
      <w:tr w14:paraId="0FD6901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14:paraId="7B3A84F4">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14:paraId="19B037E9">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7849" w:type="dxa"/>
            <w:gridSpan w:val="4"/>
          </w:tcPr>
          <w:p w14:paraId="2C5A75E8">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w:t>
            </w:r>
            <w:r>
              <w:rPr>
                <w:rFonts w:ascii="黑体" w:hAnsi="黑体" w:eastAsia="黑体"/>
                <w:sz w:val="18"/>
                <w:szCs w:val="18"/>
              </w:rPr>
              <w:t>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14:paraId="7C05BE24">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ascii="黑体" w:hAnsi="黑体" w:eastAsia="黑体"/>
                <w:sz w:val="18"/>
                <w:szCs w:val="18"/>
              </w:rPr>
              <w:t>投资者认可本协议约定的信息披露途径，已清楚知悉投资者应注意查询的事项和信息披露方面的法律责任，同意产品管理人按照本协议约定进行相关通知和披露。</w:t>
            </w:r>
          </w:p>
          <w:p w14:paraId="7CA4BCE4">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14:paraId="3C6091B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88" w:hRule="exact"/>
        </w:trPr>
        <w:tc>
          <w:tcPr>
            <w:tcW w:w="675" w:type="dxa"/>
            <w:vMerge w:val="restart"/>
            <w:vAlign w:val="center"/>
          </w:tcPr>
          <w:p w14:paraId="3A15749B">
            <w:pPr>
              <w:spacing w:line="360" w:lineRule="auto"/>
              <w:jc w:val="center"/>
              <w:rPr>
                <w:b/>
                <w:sz w:val="18"/>
                <w:szCs w:val="18"/>
              </w:rPr>
            </w:pPr>
            <w:r>
              <w:rPr>
                <w:rFonts w:hint="eastAsia"/>
                <w:b/>
                <w:sz w:val="18"/>
                <w:szCs w:val="18"/>
              </w:rPr>
              <w:t>投资者签署栏</w:t>
            </w:r>
          </w:p>
        </w:tc>
        <w:tc>
          <w:tcPr>
            <w:tcW w:w="851" w:type="dxa"/>
            <w:gridSpan w:val="2"/>
          </w:tcPr>
          <w:p w14:paraId="7388C0E0">
            <w:pPr>
              <w:spacing w:line="360" w:lineRule="auto"/>
              <w:rPr>
                <w:sz w:val="18"/>
                <w:szCs w:val="18"/>
              </w:rPr>
            </w:pPr>
            <w:r>
              <w:rPr>
                <w:rFonts w:hint="eastAsia"/>
                <w:sz w:val="18"/>
                <w:szCs w:val="18"/>
              </w:rPr>
              <w:t>个人投资者适用</w:t>
            </w:r>
          </w:p>
        </w:tc>
        <w:tc>
          <w:tcPr>
            <w:tcW w:w="6998" w:type="dxa"/>
            <w:gridSpan w:val="2"/>
          </w:tcPr>
          <w:p w14:paraId="3A4F3DD0">
            <w:pPr>
              <w:spacing w:line="360" w:lineRule="auto"/>
              <w:rPr>
                <w:sz w:val="18"/>
                <w:szCs w:val="18"/>
              </w:rPr>
            </w:pPr>
            <w:r>
              <w:rPr>
                <w:rFonts w:hint="eastAsia"/>
                <w:sz w:val="18"/>
                <w:szCs w:val="18"/>
              </w:rPr>
              <w:t>投资者（</w:t>
            </w:r>
            <w:r>
              <w:rPr>
                <w:bCs/>
                <w:sz w:val="18"/>
                <w:szCs w:val="18"/>
              </w:rPr>
              <w:t>签名</w:t>
            </w:r>
            <w:r>
              <w:rPr>
                <w:rFonts w:hint="eastAsia"/>
                <w:bCs/>
                <w:sz w:val="18"/>
                <w:szCs w:val="18"/>
              </w:rPr>
              <w:t>/线上确认</w:t>
            </w:r>
            <w:r>
              <w:rPr>
                <w:rFonts w:hint="eastAsia"/>
                <w:sz w:val="18"/>
                <w:szCs w:val="18"/>
              </w:rPr>
              <w:t>）：</w:t>
            </w:r>
          </w:p>
          <w:p w14:paraId="662ECEF6">
            <w:pPr>
              <w:spacing w:line="360" w:lineRule="auto"/>
              <w:rPr>
                <w:b/>
                <w:sz w:val="18"/>
                <w:szCs w:val="18"/>
              </w:rPr>
            </w:pPr>
          </w:p>
          <w:p w14:paraId="728E005E">
            <w:pPr>
              <w:spacing w:line="360" w:lineRule="auto"/>
              <w:rPr>
                <w:b/>
                <w:sz w:val="18"/>
                <w:szCs w:val="18"/>
              </w:rPr>
            </w:pPr>
            <w:r>
              <w:rPr>
                <w:rFonts w:hint="eastAsia"/>
                <w:sz w:val="18"/>
                <w:szCs w:val="18"/>
              </w:rPr>
              <w:t>日期：</w:t>
            </w:r>
          </w:p>
        </w:tc>
      </w:tr>
      <w:tr w14:paraId="243CEAA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4" w:hRule="atLeast"/>
        </w:trPr>
        <w:tc>
          <w:tcPr>
            <w:tcW w:w="675" w:type="dxa"/>
            <w:vMerge w:val="continue"/>
          </w:tcPr>
          <w:p w14:paraId="473564C3">
            <w:pPr>
              <w:spacing w:line="360" w:lineRule="auto"/>
              <w:rPr>
                <w:b/>
                <w:sz w:val="18"/>
                <w:szCs w:val="18"/>
              </w:rPr>
            </w:pPr>
          </w:p>
        </w:tc>
        <w:tc>
          <w:tcPr>
            <w:tcW w:w="851" w:type="dxa"/>
            <w:gridSpan w:val="2"/>
          </w:tcPr>
          <w:p w14:paraId="5DF14B64">
            <w:pPr>
              <w:spacing w:line="360" w:lineRule="auto"/>
              <w:rPr>
                <w:sz w:val="18"/>
                <w:szCs w:val="18"/>
              </w:rPr>
            </w:pPr>
            <w:r>
              <w:rPr>
                <w:rFonts w:hint="eastAsia"/>
                <w:sz w:val="18"/>
                <w:szCs w:val="18"/>
              </w:rPr>
              <w:t>机构投资者适用</w:t>
            </w:r>
          </w:p>
        </w:tc>
        <w:tc>
          <w:tcPr>
            <w:tcW w:w="6998" w:type="dxa"/>
            <w:gridSpan w:val="2"/>
          </w:tcPr>
          <w:p w14:paraId="7FEF131A">
            <w:pPr>
              <w:spacing w:line="360" w:lineRule="auto"/>
              <w:rPr>
                <w:rFonts w:cs="Arial"/>
                <w:sz w:val="18"/>
                <w:szCs w:val="18"/>
              </w:rPr>
            </w:pPr>
            <w:r>
              <w:rPr>
                <w:rFonts w:hint="eastAsia"/>
                <w:sz w:val="18"/>
                <w:szCs w:val="18"/>
              </w:rPr>
              <w:t>投资者</w:t>
            </w:r>
            <w:r>
              <w:rPr>
                <w:rFonts w:hint="eastAsia" w:cs="Arial"/>
                <w:sz w:val="18"/>
                <w:szCs w:val="18"/>
              </w:rPr>
              <w:t>（盖章</w:t>
            </w:r>
            <w:r>
              <w:rPr>
                <w:rFonts w:hint="eastAsia" w:cs="Arial"/>
                <w:bCs/>
                <w:sz w:val="18"/>
                <w:szCs w:val="18"/>
              </w:rPr>
              <w:t>/线上确认</w:t>
            </w:r>
            <w:r>
              <w:rPr>
                <w:rFonts w:hint="eastAsia" w:cs="Arial"/>
                <w:sz w:val="18"/>
                <w:szCs w:val="18"/>
              </w:rPr>
              <w:t>）：</w:t>
            </w:r>
          </w:p>
          <w:p w14:paraId="0618C7ED">
            <w:pPr>
              <w:spacing w:line="360" w:lineRule="auto"/>
              <w:rPr>
                <w:rFonts w:cs="Arial"/>
                <w:sz w:val="18"/>
                <w:szCs w:val="18"/>
              </w:rPr>
            </w:pPr>
          </w:p>
          <w:p w14:paraId="5E6B37DB">
            <w:pPr>
              <w:spacing w:line="360" w:lineRule="auto"/>
              <w:rPr>
                <w:b/>
                <w:sz w:val="18"/>
                <w:szCs w:val="18"/>
              </w:rPr>
            </w:pPr>
            <w:r>
              <w:rPr>
                <w:rFonts w:hint="eastAsia" w:cs="Arial"/>
                <w:sz w:val="18"/>
                <w:szCs w:val="18"/>
              </w:rPr>
              <w:t>投资者法定代表人或授权代理人（</w:t>
            </w:r>
            <w:r>
              <w:rPr>
                <w:rFonts w:cs="Arial"/>
                <w:bCs/>
                <w:sz w:val="18"/>
                <w:szCs w:val="18"/>
              </w:rPr>
              <w:t>签名</w:t>
            </w:r>
            <w:r>
              <w:rPr>
                <w:rFonts w:hint="eastAsia" w:cs="Arial"/>
                <w:bCs/>
                <w:sz w:val="18"/>
                <w:szCs w:val="18"/>
              </w:rPr>
              <w:t>/盖章/线上确认</w:t>
            </w:r>
            <w:r>
              <w:rPr>
                <w:rFonts w:hint="eastAsia" w:cs="Arial"/>
                <w:sz w:val="18"/>
                <w:szCs w:val="18"/>
              </w:rPr>
              <w:t>）：</w:t>
            </w:r>
          </w:p>
          <w:p w14:paraId="294DFDAD">
            <w:pPr>
              <w:spacing w:line="360" w:lineRule="auto"/>
              <w:rPr>
                <w:sz w:val="18"/>
                <w:szCs w:val="18"/>
              </w:rPr>
            </w:pPr>
            <w:r>
              <w:rPr>
                <w:rFonts w:hint="eastAsia"/>
                <w:sz w:val="18"/>
                <w:szCs w:val="18"/>
              </w:rPr>
              <w:t>日期：</w:t>
            </w:r>
          </w:p>
        </w:tc>
      </w:tr>
    </w:tbl>
    <w:p w14:paraId="34B2659F">
      <w:pPr>
        <w:spacing w:line="360" w:lineRule="auto"/>
        <w:jc w:val="left"/>
        <w:rPr>
          <w:b/>
          <w:bCs/>
        </w:rPr>
      </w:pPr>
      <w:r>
        <w:rPr>
          <w:rFonts w:hint="eastAsia" w:ascii="宋体" w:hAnsi="宋体"/>
          <w:b/>
          <w:bCs/>
          <w:sz w:val="18"/>
          <w:szCs w:val="18"/>
        </w:rPr>
        <w:t>（本《投资协议书》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b/>
          <w:bCs/>
          <w:sz w:val="18"/>
          <w:szCs w:val="18"/>
        </w:rPr>
        <w:t>。）</w:t>
      </w:r>
    </w:p>
    <w:p w14:paraId="3A880DFB">
      <w:pPr>
        <w:sectPr>
          <w:headerReference r:id="rId3" w:type="default"/>
          <w:footerReference r:id="rId4" w:type="default"/>
          <w:pgSz w:w="11906" w:h="16838"/>
          <w:pgMar w:top="1440" w:right="1800" w:bottom="1440" w:left="1800" w:header="567" w:footer="964" w:gutter="0"/>
          <w:pgNumType w:start="1"/>
          <w:cols w:space="720" w:num="1"/>
          <w:docGrid w:type="lines" w:linePitch="312" w:charSpace="0"/>
        </w:sectPr>
      </w:pPr>
    </w:p>
    <w:p w14:paraId="5A6B3249">
      <w:pPr>
        <w:pStyle w:val="14"/>
        <w:spacing w:line="360" w:lineRule="auto"/>
        <w:rPr>
          <w:rFonts w:hAnsi="宋体"/>
          <w:sz w:val="18"/>
          <w:szCs w:val="18"/>
        </w:rPr>
      </w:pPr>
    </w:p>
    <w:p w14:paraId="2B1EB2A2">
      <w:pPr>
        <w:widowControl/>
        <w:spacing w:line="360" w:lineRule="auto"/>
        <w:jc w:val="center"/>
        <w:rPr>
          <w:rFonts w:ascii="宋体" w:hAnsi="宋体" w:cs="宋体"/>
          <w:sz w:val="30"/>
          <w:szCs w:val="30"/>
        </w:rPr>
      </w:pPr>
      <w:r>
        <w:rPr>
          <w:rFonts w:hint="eastAsia" w:ascii="宋体" w:hAnsi="宋体" w:cs="宋体"/>
          <w:b/>
          <w:sz w:val="30"/>
          <w:szCs w:val="30"/>
        </w:rPr>
        <w:t>理财非存款、产品有风险、投资须谨慎！</w:t>
      </w:r>
    </w:p>
    <w:p w14:paraId="4CFA7BBB">
      <w:pPr>
        <w:adjustRightInd w:val="0"/>
        <w:spacing w:line="360" w:lineRule="auto"/>
        <w:jc w:val="center"/>
        <w:rPr>
          <w:rFonts w:ascii="宋体" w:hAnsi="宋体" w:cs="宋体"/>
          <w:sz w:val="32"/>
          <w:szCs w:val="32"/>
        </w:rPr>
      </w:pPr>
    </w:p>
    <w:p w14:paraId="4E23D3CB">
      <w:pPr>
        <w:adjustRightInd w:val="0"/>
        <w:spacing w:line="360" w:lineRule="auto"/>
        <w:jc w:val="center"/>
        <w:rPr>
          <w:rFonts w:ascii="宋体" w:hAnsi="宋体" w:cs="宋体"/>
          <w:sz w:val="32"/>
          <w:szCs w:val="32"/>
        </w:rPr>
      </w:pPr>
    </w:p>
    <w:p w14:paraId="05B1853E">
      <w:pPr>
        <w:adjustRightInd w:val="0"/>
        <w:spacing w:line="360" w:lineRule="auto"/>
        <w:jc w:val="center"/>
        <w:rPr>
          <w:rFonts w:ascii="宋体" w:hAnsi="宋体" w:cs="宋体"/>
          <w:sz w:val="32"/>
          <w:szCs w:val="32"/>
        </w:rPr>
      </w:pPr>
      <w:r>
        <w:rPr>
          <w:rFonts w:ascii="黑体" w:hAnsi="黑体" w:eastAsia="黑体" w:cs="宋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14:paraId="3BAA37F2">
      <w:pPr>
        <w:adjustRightInd w:val="0"/>
        <w:spacing w:line="360" w:lineRule="auto"/>
        <w:jc w:val="center"/>
        <w:rPr>
          <w:rFonts w:ascii="宋体" w:hAnsi="宋体" w:cs="宋体"/>
          <w:sz w:val="32"/>
          <w:szCs w:val="32"/>
        </w:rPr>
      </w:pPr>
    </w:p>
    <w:p w14:paraId="749E8766">
      <w:pPr>
        <w:adjustRightInd w:val="0"/>
        <w:spacing w:line="360" w:lineRule="auto"/>
        <w:jc w:val="center"/>
        <w:rPr>
          <w:rFonts w:ascii="黑体" w:hAnsi="黑体" w:eastAsia="黑体" w:cs="宋体"/>
          <w:sz w:val="44"/>
          <w:szCs w:val="44"/>
        </w:rPr>
      </w:pPr>
      <w:r>
        <w:rPr>
          <w:rFonts w:hint="eastAsia" w:ascii="黑体" w:hAnsi="黑体" w:eastAsia="黑体"/>
          <w:b/>
          <w:bCs/>
          <w:sz w:val="44"/>
          <w:szCs w:val="44"/>
        </w:rPr>
        <w:t>兴银理财【稳添利最短持有期日开固收类】理财产品</w:t>
      </w:r>
    </w:p>
    <w:p w14:paraId="6D8C9E60">
      <w:pPr>
        <w:adjustRightInd w:val="0"/>
        <w:spacing w:line="360" w:lineRule="auto"/>
        <w:jc w:val="center"/>
        <w:rPr>
          <w:rFonts w:ascii="黑体" w:hAnsi="黑体" w:eastAsia="黑体" w:cs="宋体"/>
          <w:sz w:val="44"/>
          <w:szCs w:val="44"/>
        </w:rPr>
      </w:pPr>
      <w:r>
        <w:rPr>
          <w:rFonts w:hint="eastAsia" w:ascii="黑体" w:hAnsi="黑体" w:eastAsia="黑体"/>
          <w:b/>
          <w:bCs/>
          <w:sz w:val="44"/>
          <w:szCs w:val="44"/>
        </w:rPr>
        <w:t>产品说明书</w:t>
      </w:r>
    </w:p>
    <w:p w14:paraId="6E570DB3">
      <w:pPr>
        <w:adjustRightInd w:val="0"/>
        <w:spacing w:line="360" w:lineRule="auto"/>
        <w:jc w:val="center"/>
        <w:rPr>
          <w:rFonts w:ascii="宋体" w:hAnsi="宋体" w:cs="宋体"/>
          <w:sz w:val="32"/>
          <w:szCs w:val="32"/>
        </w:rPr>
      </w:pPr>
    </w:p>
    <w:p w14:paraId="54F6F304">
      <w:pPr>
        <w:adjustRightInd w:val="0"/>
        <w:spacing w:line="360" w:lineRule="auto"/>
        <w:jc w:val="center"/>
        <w:rPr>
          <w:rFonts w:ascii="黑体" w:hAnsi="黑体" w:eastAsia="黑体" w:cs="宋体"/>
          <w:bCs w:val="0"/>
          <w:sz w:val="28"/>
          <w:szCs w:val="28"/>
        </w:rPr>
      </w:pPr>
    </w:p>
    <w:p w14:paraId="73FA50FF">
      <w:pPr>
        <w:adjustRightInd w:val="0"/>
        <w:spacing w:line="360" w:lineRule="auto"/>
        <w:jc w:val="center"/>
        <w:rPr>
          <w:rFonts w:ascii="宋体" w:hAnsi="宋体" w:cs="Times New Roman"/>
          <w:sz w:val="32"/>
          <w:szCs w:val="32"/>
        </w:rPr>
      </w:pPr>
      <w:r>
        <w:rPr>
          <w:rFonts w:hint="eastAsia" w:ascii="宋体" w:hAnsi="宋体" w:cs="Times New Roman"/>
          <w:b/>
          <w:bCs/>
          <w:sz w:val="32"/>
          <w:szCs w:val="32"/>
        </w:rPr>
        <w:t>理财产品管理人：兴银理财有限责任公司</w:t>
      </w:r>
    </w:p>
    <w:p w14:paraId="070244E5">
      <w:pPr>
        <w:adjustRightInd w:val="0"/>
        <w:spacing w:line="360" w:lineRule="auto"/>
        <w:jc w:val="center"/>
        <w:rPr>
          <w:rFonts w:ascii="宋体" w:hAnsi="宋体" w:cs="宋体"/>
          <w:sz w:val="32"/>
          <w:szCs w:val="32"/>
        </w:rPr>
      </w:pPr>
    </w:p>
    <w:p w14:paraId="40C7E334">
      <w:pPr>
        <w:adjustRightInd w:val="0"/>
        <w:spacing w:line="360" w:lineRule="auto"/>
        <w:jc w:val="center"/>
        <w:rPr>
          <w:rFonts w:ascii="宋体" w:hAnsi="宋体" w:cs="宋体"/>
          <w:sz w:val="32"/>
          <w:szCs w:val="32"/>
        </w:rPr>
      </w:pPr>
    </w:p>
    <w:p w14:paraId="103B43D2">
      <w:pPr>
        <w:adjustRightInd w:val="0"/>
        <w:spacing w:line="360" w:lineRule="auto"/>
        <w:jc w:val="center"/>
        <w:rPr>
          <w:rFonts w:ascii="宋体" w:hAnsi="宋体" w:cs="Times New Roman"/>
          <w:sz w:val="32"/>
          <w:szCs w:val="32"/>
        </w:rPr>
      </w:pPr>
      <w:r>
        <w:rPr>
          <w:rFonts w:hint="eastAsia" w:ascii="宋体" w:hAnsi="宋体" w:cs="Times New Roman"/>
          <w:b/>
          <w:bCs/>
          <w:sz w:val="32"/>
          <w:szCs w:val="32"/>
        </w:rPr>
        <w:t>日期</w:t>
      </w:r>
      <w:r>
        <w:rPr>
          <w:rFonts w:ascii="宋体" w:hAnsi="宋体" w:cs="Times New Roman"/>
          <w:b/>
          <w:bCs/>
          <w:sz w:val="32"/>
          <w:szCs w:val="32"/>
        </w:rPr>
        <w:t>：</w:t>
      </w:r>
      <w:r>
        <w:rPr>
          <w:rFonts w:hint="eastAsia" w:ascii="宋体" w:hAnsi="宋体" w:cs="Times New Roman"/>
          <w:b/>
          <w:bCs/>
          <w:sz w:val="32"/>
          <w:szCs w:val="32"/>
        </w:rPr>
        <w:t>【</w:t>
      </w:r>
      <w:r>
        <w:rPr>
          <w:rFonts w:hint="eastAsia" w:ascii="宋体" w:hAnsi="宋体" w:cs="Times New Roman"/>
          <w:b/>
          <w:bCs/>
          <w:sz w:val="32"/>
          <w:szCs w:val="32"/>
          <w:lang w:eastAsia="zh-CN"/>
        </w:rPr>
        <w:t>2025</w:t>
      </w:r>
      <w:r>
        <w:rPr>
          <w:rFonts w:hint="eastAsia" w:ascii="宋体" w:hAnsi="宋体" w:cs="Times New Roman"/>
          <w:b/>
          <w:bCs/>
          <w:sz w:val="32"/>
          <w:szCs w:val="32"/>
        </w:rPr>
        <w:t>】年【</w:t>
      </w:r>
      <w:r>
        <w:rPr>
          <w:rFonts w:hint="eastAsia" w:ascii="宋体" w:hAnsi="宋体" w:cs="Times New Roman"/>
          <w:b/>
          <w:bCs/>
          <w:sz w:val="32"/>
          <w:szCs w:val="32"/>
          <w:lang w:eastAsia="zh-CN"/>
        </w:rPr>
        <w:t>1</w:t>
      </w:r>
      <w:r>
        <w:rPr>
          <w:rFonts w:hint="eastAsia" w:ascii="宋体" w:hAnsi="宋体" w:cs="Times New Roman"/>
          <w:b/>
          <w:bCs/>
          <w:sz w:val="32"/>
          <w:szCs w:val="32"/>
          <w:lang w:val="en-US" w:eastAsia="zh-CN"/>
        </w:rPr>
        <w:t>2</w:t>
      </w:r>
      <w:r>
        <w:rPr>
          <w:rFonts w:hint="eastAsia" w:ascii="宋体" w:hAnsi="宋体" w:cs="Times New Roman"/>
          <w:b/>
          <w:bCs/>
          <w:sz w:val="32"/>
          <w:szCs w:val="32"/>
        </w:rPr>
        <w:t>】月</w:t>
      </w:r>
    </w:p>
    <w:p w14:paraId="17574890">
      <w:pPr>
        <w:rPr>
          <w:rFonts w:ascii="宋体" w:hAnsi="宋体" w:cs="宋体"/>
          <w:sz w:val="32"/>
          <w:szCs w:val="32"/>
        </w:rPr>
      </w:pPr>
      <w:r>
        <w:rPr>
          <w:rFonts w:ascii="宋体" w:hAnsi="宋体"/>
          <w:b/>
          <w:bCs/>
          <w:sz w:val="32"/>
          <w:szCs w:val="32"/>
        </w:rPr>
        <w:br w:type="page"/>
      </w:r>
    </w:p>
    <w:sdt>
      <w:sdtPr>
        <w:rPr>
          <w:rFonts w:ascii="Calibri" w:hAnsi="Calibri" w:eastAsia="宋体" w:cs="宋体"/>
          <w:b w:val="0"/>
          <w:bCs w:val="0"/>
          <w:color w:val="auto"/>
          <w:kern w:val="2"/>
          <w:sz w:val="21"/>
          <w:szCs w:val="22"/>
          <w:lang w:val="zh-CN" w:eastAsia="zh-CN" w:bidi="ar-SA"/>
        </w:rPr>
        <w:id w:val="624888713"/>
        <w:docPartObj>
          <w:docPartGallery w:val="Table of Contents"/>
          <w:docPartUnique/>
        </w:docPartObj>
      </w:sdtPr>
      <w:sdtEndPr>
        <w:rPr>
          <w:rFonts w:ascii="Calibri" w:hAnsi="Calibri" w:eastAsia="宋体" w:cs="宋体"/>
          <w:b w:val="0"/>
          <w:bCs w:val="0"/>
          <w:color w:val="auto"/>
          <w:kern w:val="2"/>
          <w:sz w:val="21"/>
          <w:szCs w:val="22"/>
          <w:lang w:val="en-US" w:eastAsia="zh-CN" w:bidi="ar-SA"/>
        </w:rPr>
      </w:sdtEndPr>
      <w:sdtContent>
        <w:p w14:paraId="2300EEED">
          <w:pPr>
            <w:keepNext/>
            <w:keepLines/>
            <w:widowControl/>
            <w:spacing w:before="480" w:after="0" w:line="360" w:lineRule="auto"/>
            <w:jc w:val="center"/>
            <w:outlineLvl w:val="9"/>
            <w:rPr>
              <w:rFonts w:ascii="Cambria" w:hAnsi="Cambria" w:eastAsia="宋体" w:cs="Times New Roman"/>
              <w:b/>
              <w:bCs/>
              <w:color w:val="366091"/>
              <w:kern w:val="0"/>
              <w:sz w:val="28"/>
              <w:szCs w:val="28"/>
              <w:lang w:val="en-US" w:eastAsia="zh-CN" w:bidi="ar-SA"/>
            </w:rPr>
          </w:pPr>
          <w:bookmarkStart w:id="73" w:name="_Toc78276587"/>
          <w:r>
            <w:rPr>
              <w:rFonts w:ascii="Cambria" w:hAnsi="Cambria" w:eastAsia="宋体" w:cs="Times New Roman"/>
              <w:b/>
              <w:bCs/>
              <w:color w:val="366091"/>
              <w:kern w:val="0"/>
              <w:sz w:val="28"/>
              <w:szCs w:val="28"/>
              <w:lang w:val="zh-CN" w:eastAsia="zh-CN" w:bidi="ar-SA"/>
            </w:rPr>
            <w:t>目录</w:t>
          </w:r>
        </w:p>
        <w:p w14:paraId="69E35208">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TOC \o "1-3" \h \z \u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"_Toc32762"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 xml:space="preserve">一条 </w:t>
          </w:r>
          <w:r>
            <w:rPr>
              <w:rFonts w:ascii="Times New Roman" w:hAnsi="Calibri" w:eastAsia="宋体" w:cs="宋体"/>
              <w:kern w:val="0"/>
              <w:sz w:val="22"/>
              <w:szCs w:val="22"/>
              <w:lang w:val="en-US" w:eastAsia="zh-CN" w:bidi="ar-SA"/>
            </w:rPr>
            <w:t xml:space="preserve"> 释义</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_Toc32762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18</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6F3A3A56">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"_Toc1693" </w:instrText>
          </w:r>
          <w:r>
            <w:rPr>
              <w:rFonts w:ascii="Calibri" w:hAnsi="Calibri" w:eastAsia="宋体" w:cs="宋体"/>
              <w:kern w:val="0"/>
              <w:sz w:val="22"/>
              <w:szCs w:val="22"/>
              <w:lang w:val="en-US" w:eastAsia="zh-CN" w:bidi="ar-SA"/>
            </w:rPr>
            <w:fldChar w:fldCharType="separate"/>
          </w:r>
          <w:r>
            <w:rPr>
              <w:rFonts w:hint="eastAsia" w:ascii="Calibri" w:hAnsi="宋体" w:eastAsia="宋体" w:cs="宋体"/>
              <w:kern w:val="0"/>
              <w:sz w:val="22"/>
              <w:szCs w:val="28"/>
              <w:lang w:val="en-US" w:eastAsia="zh-CN" w:bidi="ar-SA"/>
            </w:rPr>
            <w:t xml:space="preserve">第二条  理财产品基本情况 </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_Toc1693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23</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532F7E10">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"_Toc10659"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三条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理财产品的认购</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_Toc10659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29</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33BFD5AF">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"_Toc32177" </w:instrText>
          </w:r>
          <w:r>
            <w:rPr>
              <w:rFonts w:ascii="Calibri" w:hAnsi="Calibri" w:eastAsia="宋体" w:cs="宋体"/>
              <w:kern w:val="0"/>
              <w:sz w:val="22"/>
              <w:szCs w:val="22"/>
              <w:lang w:val="en-US" w:eastAsia="zh-CN" w:bidi="ar-SA"/>
            </w:rPr>
            <w:fldChar w:fldCharType="separate"/>
          </w:r>
          <w:r>
            <w:rPr>
              <w:rFonts w:hint="eastAsia" w:ascii="Times New Roman" w:hAnsi="Calibri" w:eastAsia="宋体" w:cs="宋体"/>
              <w:kern w:val="0"/>
              <w:sz w:val="22"/>
              <w:szCs w:val="22"/>
              <w:lang w:val="en-US" w:eastAsia="zh-CN" w:bidi="ar-SA"/>
            </w:rPr>
            <w:t xml:space="preserve">第四条 </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理财产品的申购与赎回</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_Toc32177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31</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761815F7">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"_Toc25685"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五条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理财产品的投资</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_Toc25685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35</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6EE1255F">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"_Toc31087"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六条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理财产品的资产</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_Toc31087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38</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159095C1">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"_Toc19132" </w:instrText>
          </w:r>
          <w:r>
            <w:rPr>
              <w:rFonts w:ascii="Calibri" w:hAnsi="Calibri" w:eastAsia="宋体" w:cs="宋体"/>
              <w:kern w:val="0"/>
              <w:sz w:val="22"/>
              <w:szCs w:val="22"/>
              <w:lang w:val="en-US" w:eastAsia="zh-CN" w:bidi="ar-SA"/>
            </w:rPr>
            <w:fldChar w:fldCharType="separate"/>
          </w:r>
          <w:r>
            <w:rPr>
              <w:rFonts w:hint="eastAsia" w:ascii="Times New Roman" w:hAnsi="Calibri" w:eastAsia="宋体" w:cs="宋体"/>
              <w:kern w:val="0"/>
              <w:sz w:val="22"/>
              <w:szCs w:val="28"/>
              <w:lang w:val="en-US" w:eastAsia="zh-CN" w:bidi="ar-SA"/>
            </w:rPr>
            <w:t>第七条</w:t>
          </w:r>
          <w:r>
            <w:rPr>
              <w:rFonts w:ascii="Times New Roman" w:hAnsi="Calibri" w:eastAsia="宋体" w:cs="宋体"/>
              <w:kern w:val="0"/>
              <w:sz w:val="22"/>
              <w:szCs w:val="28"/>
              <w:lang w:val="en-US" w:eastAsia="zh-CN" w:bidi="ar-SA"/>
            </w:rPr>
            <w:t xml:space="preserve">  </w:t>
          </w:r>
          <w:r>
            <w:rPr>
              <w:rFonts w:hint="eastAsia" w:ascii="Times New Roman" w:hAnsi="Calibri" w:eastAsia="宋体" w:cs="宋体"/>
              <w:kern w:val="0"/>
              <w:sz w:val="22"/>
              <w:szCs w:val="28"/>
              <w:lang w:val="en-US" w:eastAsia="zh-CN" w:bidi="ar-SA"/>
            </w:rPr>
            <w:t>理财产品项下资产的估值</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_Toc19132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39</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18492D34">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"_Toc8695"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八条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理财产品的利益分配</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_Toc8695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43</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4393C9F0">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"_Toc1043"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九条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理财产品的费用与税收</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_Toc1043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44</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29137FAE">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"_Toc2757" </w:instrText>
          </w:r>
          <w:r>
            <w:rPr>
              <w:rFonts w:ascii="Calibri" w:hAnsi="Calibri" w:eastAsia="宋体" w:cs="宋体"/>
              <w:kern w:val="0"/>
              <w:sz w:val="22"/>
              <w:szCs w:val="22"/>
              <w:lang w:val="en-US" w:eastAsia="zh-CN" w:bidi="ar-SA"/>
            </w:rPr>
            <w:fldChar w:fldCharType="separate"/>
          </w:r>
          <w:r>
            <w:rPr>
              <w:rFonts w:hint="eastAsia" w:ascii="Calibri" w:hAnsi="Calibri" w:eastAsia="宋体" w:cs="宋体"/>
              <w:kern w:val="0"/>
              <w:sz w:val="22"/>
              <w:szCs w:val="22"/>
              <w:lang w:val="en-US" w:eastAsia="zh-CN" w:bidi="ar-SA"/>
            </w:rPr>
            <w:t>第十条</w:t>
          </w:r>
          <w:r>
            <w:rPr>
              <w:rFonts w:ascii="Calibri" w:hAnsi="Calibri" w:eastAsia="宋体" w:cs="宋体"/>
              <w:kern w:val="0"/>
              <w:sz w:val="22"/>
              <w:szCs w:val="22"/>
              <w:lang w:val="en-US" w:eastAsia="zh-CN" w:bidi="ar-SA"/>
            </w:rPr>
            <w:t xml:space="preserve">  </w:t>
          </w:r>
          <w:r>
            <w:rPr>
              <w:rFonts w:hint="eastAsia" w:ascii="Calibri" w:hAnsi="Calibri" w:eastAsia="宋体" w:cs="宋体"/>
              <w:kern w:val="0"/>
              <w:sz w:val="22"/>
              <w:szCs w:val="22"/>
              <w:lang w:val="en-US" w:eastAsia="zh-CN" w:bidi="ar-SA"/>
            </w:rPr>
            <w:t>理财产品的终止与清算</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_Toc2757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47</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11F95186">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"_Toc593" </w:instrText>
          </w:r>
          <w:r>
            <w:rPr>
              <w:rFonts w:ascii="Calibri" w:hAnsi="Calibri" w:eastAsia="宋体" w:cs="宋体"/>
              <w:kern w:val="0"/>
              <w:sz w:val="22"/>
              <w:szCs w:val="22"/>
              <w:lang w:val="en-US" w:eastAsia="zh-CN" w:bidi="ar-SA"/>
            </w:rPr>
            <w:fldChar w:fldCharType="separate"/>
          </w:r>
          <w:r>
            <w:rPr>
              <w:rFonts w:hint="eastAsia" w:ascii="Times New Roman" w:hAnsi="Calibri" w:eastAsia="宋体" w:cs="宋体"/>
              <w:kern w:val="0"/>
              <w:sz w:val="22"/>
              <w:szCs w:val="28"/>
              <w:lang w:val="en-US" w:eastAsia="zh-CN" w:bidi="ar-SA"/>
            </w:rPr>
            <w:t>第十一条</w:t>
          </w:r>
          <w:r>
            <w:rPr>
              <w:rFonts w:ascii="Times New Roman" w:hAnsi="Calibri" w:eastAsia="宋体" w:cs="宋体"/>
              <w:kern w:val="0"/>
              <w:sz w:val="22"/>
              <w:szCs w:val="28"/>
              <w:lang w:val="en-US" w:eastAsia="zh-CN" w:bidi="ar-SA"/>
            </w:rPr>
            <w:t xml:space="preserve">  </w:t>
          </w:r>
          <w:r>
            <w:rPr>
              <w:rFonts w:hint="eastAsia" w:ascii="Times New Roman" w:hAnsi="Calibri" w:eastAsia="宋体" w:cs="宋体"/>
              <w:kern w:val="0"/>
              <w:sz w:val="22"/>
              <w:szCs w:val="28"/>
              <w:lang w:val="en-US" w:eastAsia="zh-CN" w:bidi="ar-SA"/>
            </w:rPr>
            <w:t>理财产品的信息披露</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_Toc593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49</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164ECACF">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"_Toc184" </w:instrText>
          </w:r>
          <w:r>
            <w:rPr>
              <w:rFonts w:ascii="Calibri" w:hAnsi="Calibri" w:eastAsia="宋体" w:cs="宋体"/>
              <w:kern w:val="0"/>
              <w:sz w:val="22"/>
              <w:szCs w:val="22"/>
              <w:lang w:val="en-US" w:eastAsia="zh-CN" w:bidi="ar-SA"/>
            </w:rPr>
            <w:fldChar w:fldCharType="separate"/>
          </w:r>
          <w:r>
            <w:rPr>
              <w:rFonts w:hint="eastAsia" w:ascii="Times New Roman" w:hAnsi="Calibri" w:eastAsia="宋体" w:cs="宋体"/>
              <w:kern w:val="0"/>
              <w:sz w:val="22"/>
              <w:szCs w:val="22"/>
              <w:lang w:val="en-US" w:eastAsia="zh-CN" w:bidi="ar-SA"/>
            </w:rPr>
            <w:t>第十二条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w:t>
          </w:r>
          <w:r>
            <w:rPr>
              <w:rFonts w:ascii="Times New Roman" w:hAnsi="Calibri" w:eastAsia="宋体" w:cs="宋体"/>
              <w:kern w:val="0"/>
              <w:sz w:val="22"/>
              <w:szCs w:val="22"/>
              <w:lang w:val="en-US" w:eastAsia="zh-CN" w:bidi="ar-SA"/>
            </w:rPr>
            <w:t>的风险揭示</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_Toc184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51</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14:paraId="638F49FC">
          <w:pPr>
            <w:spacing w:line="360" w:lineRule="auto"/>
            <w:rPr>
              <w:rFonts w:ascii="Calibri" w:hAnsi="Calibri" w:cs="宋体"/>
              <w:szCs w:val="22"/>
            </w:rPr>
          </w:pPr>
          <w:r>
            <w:rPr>
              <w:rFonts w:ascii="Calibri" w:hAnsi="Calibri" w:cs="宋体"/>
              <w:szCs w:val="22"/>
            </w:rPr>
            <w:fldChar w:fldCharType="end"/>
          </w:r>
        </w:p>
      </w:sdtContent>
    </w:sdt>
    <w:p w14:paraId="5B24C707">
      <w:pPr>
        <w:rPr>
          <w:rFonts w:ascii="Times New Roman" w:hAnsi="Calibri" w:cs="宋体"/>
          <w:sz w:val="30"/>
          <w:szCs w:val="22"/>
        </w:rPr>
      </w:pPr>
      <w:r>
        <w:rPr>
          <w:rFonts w:ascii="Times New Roman" w:hAnsi="Calibri" w:cs="宋体"/>
          <w:sz w:val="30"/>
          <w:szCs w:val="22"/>
        </w:rPr>
        <w:br w:type="page"/>
      </w:r>
    </w:p>
    <w:p w14:paraId="3A5EBD20">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74" w:name="_Toc26572"/>
      <w:bookmarkStart w:id="75" w:name="_Toc32762"/>
      <w:bookmarkStart w:id="76" w:name="_Toc92377130"/>
      <w:bookmarkStart w:id="77" w:name="_Toc29814"/>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 xml:space="preserve">一条 </w:t>
      </w:r>
      <w:r>
        <w:rPr>
          <w:rFonts w:ascii="Times New Roman" w:hAnsi="Calibri" w:eastAsia="宋体" w:cs="宋体"/>
          <w:b/>
          <w:bCs/>
          <w:kern w:val="44"/>
          <w:sz w:val="30"/>
          <w:szCs w:val="44"/>
          <w:lang w:val="en-US" w:eastAsia="zh-CN" w:bidi="ar-SA"/>
        </w:rPr>
        <w:t xml:space="preserve"> 释义</w:t>
      </w:r>
      <w:bookmarkEnd w:id="73"/>
      <w:bookmarkEnd w:id="74"/>
      <w:bookmarkEnd w:id="75"/>
      <w:bookmarkEnd w:id="76"/>
      <w:bookmarkEnd w:id="77"/>
    </w:p>
    <w:p w14:paraId="122495E9">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（一）在本产品说明书中，除非上下文另有明确约定，下列用词</w:t>
      </w:r>
      <w:r>
        <w:rPr>
          <w:rFonts w:ascii="宋体" w:hAnsi="宋体" w:eastAsia="宋体" w:cs="宋体"/>
          <w:bCs/>
          <w:color w:val="auto"/>
          <w:sz w:val="18"/>
          <w:szCs w:val="18"/>
          <w:lang w:val="en-US" w:eastAsia="zh-CN" w:bidi="ar-SA"/>
        </w:rPr>
        <w:t>或简称</w:t>
      </w:r>
      <w:r>
        <w:rPr>
          <w:rFonts w:hint="eastAsia" w:ascii="宋体" w:hAnsi="宋体" w:eastAsia="宋体" w:cs="宋体"/>
          <w:bCs/>
          <w:color w:val="auto"/>
          <w:sz w:val="18"/>
          <w:szCs w:val="18"/>
          <w:lang w:val="en-US" w:eastAsia="zh-CN" w:bidi="ar-SA"/>
        </w:rPr>
        <w:t>具有如下含义：</w:t>
      </w:r>
      <w:r>
        <w:rPr>
          <w:rFonts w:ascii="宋体" w:hAnsi="宋体" w:eastAsia="宋体" w:cs="宋体"/>
          <w:bCs/>
          <w:color w:val="auto"/>
          <w:sz w:val="18"/>
          <w:szCs w:val="18"/>
          <w:lang w:val="en-US" w:eastAsia="zh-CN" w:bidi="ar-SA"/>
        </w:rPr>
        <w:t xml:space="preserve"> </w:t>
      </w:r>
    </w:p>
    <w:p w14:paraId="7F152FA1">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1.</w:t>
      </w:r>
      <w:r>
        <w:rPr>
          <w:rFonts w:hint="eastAsia" w:ascii="宋体" w:hAnsi="宋体" w:eastAsia="宋体" w:cs="宋体"/>
          <w:b/>
          <w:bCs/>
          <w:color w:val="auto"/>
          <w:sz w:val="18"/>
          <w:szCs w:val="18"/>
          <w:lang w:val="en-US" w:eastAsia="zh-CN" w:bidi="ar-SA"/>
        </w:rPr>
        <w:t>参与主体用语</w:t>
      </w:r>
      <w:r>
        <w:rPr>
          <w:rFonts w:ascii="宋体" w:hAnsi="宋体" w:eastAsia="宋体" w:cs="宋体"/>
          <w:b/>
          <w:bCs/>
          <w:color w:val="auto"/>
          <w:sz w:val="18"/>
          <w:szCs w:val="18"/>
          <w:lang w:val="en-US" w:eastAsia="zh-CN" w:bidi="ar-SA"/>
        </w:rPr>
        <w:t xml:space="preserve"> </w:t>
      </w:r>
    </w:p>
    <w:p w14:paraId="58D9273C">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黑体" w:hAnsi="黑体" w:eastAsia="黑体" w:cs="仿宋_GB2312"/>
          <w:bCs/>
          <w:color w:val="auto"/>
          <w:sz w:val="18"/>
          <w:szCs w:val="18"/>
          <w:lang w:val="en-US" w:eastAsia="zh-CN" w:bidi="ar-SA"/>
        </w:rPr>
        <w:t>★</w:t>
      </w:r>
      <w:r>
        <w:rPr>
          <w:rFonts w:hint="eastAsia" w:ascii="黑体" w:hAnsi="黑体" w:eastAsia="黑体" w:cs="宋体"/>
          <w:bCs/>
          <w:color w:val="auto"/>
          <w:sz w:val="18"/>
          <w:szCs w:val="18"/>
          <w:lang w:val="en-US" w:eastAsia="zh-CN" w:bidi="ar-SA"/>
        </w:rPr>
        <w:t>管理人</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产品管理人/理财产品</w:t>
      </w:r>
      <w:r>
        <w:rPr>
          <w:rFonts w:ascii="黑体" w:hAnsi="黑体" w:eastAsia="黑体" w:cs="宋体"/>
          <w:bCs/>
          <w:color w:val="auto"/>
          <w:sz w:val="18"/>
          <w:szCs w:val="18"/>
          <w:lang w:val="en-US" w:eastAsia="zh-CN" w:bidi="ar-SA"/>
        </w:rPr>
        <w:t>管理人</w:t>
      </w:r>
      <w:r>
        <w:rPr>
          <w:rFonts w:hint="eastAsia" w:ascii="黑体" w:hAnsi="黑体" w:eastAsia="黑体" w:cs="宋体"/>
          <w:bCs/>
          <w:color w:val="auto"/>
          <w:sz w:val="18"/>
          <w:szCs w:val="18"/>
          <w:lang w:val="en-US" w:eastAsia="zh-CN" w:bidi="ar-SA"/>
        </w:rPr>
        <w:t>：指兴银理财有限责任公司（以下简称</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兴银理财</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w:t>
      </w:r>
    </w:p>
    <w:p w14:paraId="431FA6E0">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2）</w:t>
      </w:r>
      <w:r>
        <w:rPr>
          <w:rFonts w:hint="eastAsia" w:ascii="宋体" w:hAnsi="宋体" w:eastAsia="宋体" w:cs="宋体"/>
          <w:bCs/>
          <w:color w:val="auto"/>
          <w:sz w:val="18"/>
          <w:szCs w:val="18"/>
          <w:lang w:val="en-US" w:eastAsia="zh-CN" w:bidi="ar-SA"/>
        </w:rPr>
        <w:t>托管人</w:t>
      </w:r>
      <w:r>
        <w:rPr>
          <w:rFonts w:ascii="宋体" w:hAnsi="宋体" w:eastAsia="宋体" w:cs="宋体"/>
          <w:bCs/>
          <w:color w:val="auto"/>
          <w:sz w:val="18"/>
          <w:szCs w:val="18"/>
          <w:lang w:val="en-US" w:eastAsia="zh-CN" w:bidi="ar-SA"/>
        </w:rPr>
        <w:t>/产品</w:t>
      </w:r>
      <w:r>
        <w:rPr>
          <w:rFonts w:hint="eastAsia" w:ascii="宋体" w:hAnsi="宋体" w:eastAsia="宋体" w:cs="宋体"/>
          <w:bCs/>
          <w:color w:val="auto"/>
          <w:sz w:val="18"/>
          <w:szCs w:val="18"/>
          <w:lang w:val="en-US" w:eastAsia="zh-CN" w:bidi="ar-SA"/>
        </w:rPr>
        <w:t>托管人/理财产品</w:t>
      </w:r>
      <w:r>
        <w:rPr>
          <w:rFonts w:ascii="宋体" w:hAnsi="宋体" w:eastAsia="宋体" w:cs="宋体"/>
          <w:bCs/>
          <w:color w:val="auto"/>
          <w:sz w:val="18"/>
          <w:szCs w:val="18"/>
          <w:lang w:val="en-US" w:eastAsia="zh-CN" w:bidi="ar-SA"/>
        </w:rPr>
        <w:t>托管人</w:t>
      </w:r>
      <w:r>
        <w:rPr>
          <w:rFonts w:hint="eastAsia" w:ascii="宋体" w:hAnsi="宋体" w:eastAsia="宋体" w:cs="宋体"/>
          <w:bCs/>
          <w:color w:val="auto"/>
          <w:sz w:val="18"/>
          <w:szCs w:val="18"/>
          <w:lang w:val="en-US" w:eastAsia="zh-CN" w:bidi="ar-SA"/>
        </w:rPr>
        <w:t>：指兴业银行股份有限公司（以下简称</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兴业银行</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）。兴业银行成立于</w:t>
      </w:r>
      <w:r>
        <w:rPr>
          <w:rFonts w:ascii="宋体" w:hAnsi="宋体" w:eastAsia="宋体" w:cs="宋体"/>
          <w:bCs/>
          <w:color w:val="auto"/>
          <w:sz w:val="18"/>
          <w:szCs w:val="18"/>
          <w:lang w:val="en-US" w:eastAsia="zh-CN" w:bidi="ar-SA"/>
        </w:rPr>
        <w:t>1988年，于2005年开展资产托管业务，具备理财产品托管资格。</w:t>
      </w:r>
      <w:r>
        <w:rPr>
          <w:rFonts w:hint="eastAsia" w:ascii="宋体" w:hAnsi="宋体" w:eastAsia="宋体" w:cs="宋体"/>
          <w:bCs/>
          <w:color w:val="auto"/>
          <w:sz w:val="18"/>
          <w:szCs w:val="18"/>
          <w:lang w:val="en-US" w:eastAsia="zh-CN" w:bidi="ar-SA"/>
        </w:rPr>
        <w:t>托管人负责履行安全保管理财产品资金及其所投资的资产，办理清算、交割事宜，与管理人对账，监督理财产品投资运作等职责。</w:t>
      </w:r>
      <w:r>
        <w:rPr>
          <w:rFonts w:ascii="宋体" w:hAnsi="宋体" w:eastAsia="宋体" w:cs="宋体"/>
          <w:bCs/>
          <w:color w:val="auto"/>
          <w:sz w:val="18"/>
          <w:szCs w:val="18"/>
          <w:lang w:val="en-US" w:eastAsia="zh-CN" w:bidi="ar-SA"/>
        </w:rPr>
        <w:t xml:space="preserve"> </w:t>
      </w:r>
    </w:p>
    <w:p w14:paraId="221A7EA5">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（3）</w:t>
      </w:r>
      <w:r>
        <w:rPr>
          <w:rFonts w:hint="eastAsia" w:ascii="黑体" w:hAnsi="黑体" w:eastAsia="黑体" w:cs="宋体"/>
          <w:bCs/>
          <w:color w:val="auto"/>
          <w:sz w:val="18"/>
          <w:szCs w:val="18"/>
          <w:lang w:val="en-US" w:eastAsia="zh-CN" w:bidi="ar-SA"/>
        </w:rPr>
        <w:t>★销售机构：</w:t>
      </w:r>
      <w:r>
        <w:rPr>
          <w:rFonts w:hint="eastAsia" w:ascii="宋体" w:hAnsi="宋体" w:eastAsia="宋体" w:cs="宋体"/>
          <w:bCs/>
          <w:color w:val="000000"/>
          <w:sz w:val="18"/>
          <w:szCs w:val="18"/>
          <w:lang w:val="en-US" w:eastAsia="zh-CN" w:bidi="ar-SA"/>
        </w:rPr>
        <w:t>指具备理财产品</w:t>
      </w:r>
      <w:r>
        <w:rPr>
          <w:rFonts w:ascii="宋体" w:hAnsi="宋体" w:eastAsia="宋体" w:cs="宋体"/>
          <w:bCs/>
          <w:color w:val="000000"/>
          <w:sz w:val="18"/>
          <w:szCs w:val="18"/>
          <w:lang w:val="en-US" w:eastAsia="zh-CN" w:bidi="ar-SA"/>
        </w:rPr>
        <w:t>销售</w:t>
      </w:r>
      <w:r>
        <w:rPr>
          <w:rFonts w:hint="eastAsia" w:ascii="宋体" w:hAnsi="宋体" w:eastAsia="宋体" w:cs="宋体"/>
          <w:bCs/>
          <w:color w:val="000000"/>
          <w:sz w:val="18"/>
          <w:szCs w:val="18"/>
          <w:lang w:val="en-US" w:eastAsia="zh-CN" w:bidi="ar-SA"/>
        </w:rPr>
        <w:t>资格</w:t>
      </w:r>
      <w:r>
        <w:rPr>
          <w:rFonts w:ascii="宋体" w:hAnsi="宋体" w:eastAsia="宋体" w:cs="宋体"/>
          <w:bCs/>
          <w:color w:val="000000"/>
          <w:sz w:val="18"/>
          <w:szCs w:val="18"/>
          <w:lang w:val="en-US" w:eastAsia="zh-CN" w:bidi="ar-SA"/>
        </w:rPr>
        <w:t>的</w:t>
      </w:r>
      <w:r>
        <w:rPr>
          <w:rFonts w:hint="eastAsia" w:ascii="宋体" w:hAnsi="宋体" w:eastAsia="宋体" w:cs="宋体"/>
          <w:bCs/>
          <w:color w:val="000000"/>
          <w:sz w:val="18"/>
          <w:szCs w:val="18"/>
          <w:lang w:val="en-US" w:eastAsia="zh-CN" w:bidi="ar-SA"/>
        </w:rPr>
        <w:t>机构。按是否销售本公司发行的理财产品，销售机构可分为</w:t>
      </w:r>
      <w:r>
        <w:rPr>
          <w:rFonts w:hint="eastAsia" w:ascii="宋体" w:hAnsi="宋体" w:eastAsia="宋体" w:cs="宋体"/>
          <w:bCs/>
          <w:color w:val="auto"/>
          <w:sz w:val="18"/>
          <w:szCs w:val="18"/>
          <w:lang w:val="en-US" w:eastAsia="zh-CN" w:bidi="ar-SA"/>
        </w:rPr>
        <w:t>直销机构和代销机构，其中：直销机构指销售本公司发行理财产品的理财公司，代销机构指接受理财公司委托销售理财产品的代理销售机构。销售机构在其渠道开展向投资者宣传推介、销售产品管理人依法发行的资产管理产品的活动。</w:t>
      </w:r>
    </w:p>
    <w:p w14:paraId="4DD28BC1">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auto"/>
          <w:sz w:val="18"/>
          <w:szCs w:val="18"/>
          <w:lang w:val="en-US" w:eastAsia="zh-CN" w:bidi="ar-SA"/>
        </w:rPr>
        <w:t>“销售”是指面向投资者开展的以下部分或全部业务活动：</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）以展示、介绍、比较单只或多只理财产品部分或全部特征信息并直接或间接提供认购、申购、赎回服务等方式宣传推介理财产品；</w:t>
      </w:r>
      <w:r>
        <w:rPr>
          <w:rFonts w:ascii="宋体" w:hAnsi="宋体" w:eastAsia="宋体" w:cs="宋体"/>
          <w:bCs/>
          <w:color w:val="auto"/>
          <w:sz w:val="18"/>
          <w:szCs w:val="18"/>
          <w:lang w:val="en-US" w:eastAsia="zh-CN" w:bidi="ar-SA"/>
        </w:rPr>
        <w:t>2）提供单只或多只理财产品投资建议；3）为投资者办理理财产品认购、申购和赎回；4）</w:t>
      </w:r>
      <w:r>
        <w:rPr>
          <w:rFonts w:hint="eastAsia" w:ascii="宋体" w:hAnsi="宋体" w:eastAsia="宋体" w:cs="宋体"/>
          <w:bCs/>
          <w:color w:val="auto"/>
          <w:sz w:val="18"/>
          <w:szCs w:val="18"/>
          <w:lang w:val="en-US" w:eastAsia="zh-CN" w:bidi="ar-SA"/>
        </w:rPr>
        <w:t>监管部门</w:t>
      </w:r>
      <w:r>
        <w:rPr>
          <w:rFonts w:ascii="宋体" w:hAnsi="宋体" w:eastAsia="宋体" w:cs="宋体"/>
          <w:bCs/>
          <w:color w:val="auto"/>
          <w:sz w:val="18"/>
          <w:szCs w:val="18"/>
          <w:lang w:val="en-US" w:eastAsia="zh-CN" w:bidi="ar-SA"/>
        </w:rPr>
        <w:t>认定的其他业务活动。各</w:t>
      </w:r>
      <w:r>
        <w:rPr>
          <w:rFonts w:hint="eastAsia" w:ascii="宋体" w:hAnsi="宋体" w:eastAsia="宋体" w:cs="宋体"/>
          <w:bCs/>
          <w:color w:val="auto"/>
          <w:sz w:val="18"/>
          <w:szCs w:val="18"/>
          <w:lang w:val="en-US" w:eastAsia="zh-CN" w:bidi="ar-SA"/>
        </w:rPr>
        <w:t>销售机构的具体名单见产品管理人届时发布的相关公告及相关《（代理）销售协议书》中的约定。</w:t>
      </w:r>
    </w:p>
    <w:p w14:paraId="4D8978E3">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4）</w:t>
      </w:r>
      <w:r>
        <w:rPr>
          <w:rFonts w:hint="eastAsia" w:ascii="宋体" w:hAnsi="宋体" w:eastAsia="宋体" w:cs="宋体"/>
          <w:bCs/>
          <w:color w:val="000000"/>
          <w:sz w:val="18"/>
          <w:szCs w:val="18"/>
          <w:lang w:val="en-US" w:eastAsia="zh-CN" w:bidi="ar-SA"/>
        </w:rPr>
        <w:t>投资者：指符合相关法律法规、监管规定要求的，可以购买理财产品份额的自然人、法人或者依法成立的其他组织。</w:t>
      </w:r>
      <w:r>
        <w:rPr>
          <w:rFonts w:ascii="宋体" w:hAnsi="宋体" w:eastAsia="宋体" w:cs="宋体"/>
          <w:bCs/>
          <w:color w:val="000000"/>
          <w:sz w:val="18"/>
          <w:szCs w:val="18"/>
          <w:lang w:val="en-US" w:eastAsia="zh-CN" w:bidi="ar-SA"/>
        </w:rPr>
        <w:t xml:space="preserve"> </w:t>
      </w:r>
    </w:p>
    <w:p w14:paraId="1B98E7F3">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（5）合格投资者：合格投资者是指具备相应风险识别能力和风险承受能力，投资于单只理财产品不低于一定金额且符合下列条件的自然人、法人或者依法成立的其他组织：</w:t>
      </w:r>
    </w:p>
    <w:p w14:paraId="4E5B57CC">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1</w:t>
      </w: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 xml:space="preserve"> </w:t>
      </w:r>
      <w:r>
        <w:rPr>
          <w:rFonts w:hint="eastAsia" w:ascii="宋体" w:hAnsi="宋体" w:eastAsia="宋体" w:cs="宋体"/>
          <w:bCs/>
          <w:color w:val="000000"/>
          <w:sz w:val="18"/>
          <w:szCs w:val="18"/>
          <w:lang w:val="en-US" w:eastAsia="zh-CN" w:bidi="ar-SA"/>
        </w:rPr>
        <w:t>具有</w:t>
      </w:r>
      <w:r>
        <w:rPr>
          <w:rFonts w:ascii="宋体" w:hAnsi="宋体" w:eastAsia="宋体" w:cs="宋体"/>
          <w:bCs/>
          <w:color w:val="000000"/>
          <w:sz w:val="18"/>
          <w:szCs w:val="18"/>
          <w:lang w:val="en-US" w:eastAsia="zh-CN" w:bidi="ar-SA"/>
        </w:rPr>
        <w:t>2年以上投资经历，且满足家庭金融净资产不低于300万元人民币，或者家庭金融资产不低于500万元人民币，或者近3年本人年均收入不低于40万元人民币；</w:t>
      </w:r>
    </w:p>
    <w:p w14:paraId="1C1EDA40">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2）最近</w:t>
      </w:r>
      <w:r>
        <w:rPr>
          <w:rFonts w:ascii="宋体" w:hAnsi="宋体" w:eastAsia="宋体" w:cs="宋体"/>
          <w:bCs/>
          <w:color w:val="000000"/>
          <w:sz w:val="18"/>
          <w:szCs w:val="18"/>
          <w:lang w:val="en-US" w:eastAsia="zh-CN" w:bidi="ar-SA"/>
        </w:rPr>
        <w:t>1年末净资产不低于1000万元人民币的法人或者依法成立的其他组织；</w:t>
      </w:r>
    </w:p>
    <w:p w14:paraId="3755357E">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3）国务院银行业监督管理机构规定的其他情形。</w:t>
      </w:r>
    </w:p>
    <w:p w14:paraId="7E6B4D02">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（6）全国银行业理财信息登记系统：指供商业银行及商业银行理财公司进行理财产品电子化报告和信息登记的电子信息系统。</w:t>
      </w:r>
    </w:p>
    <w:p w14:paraId="63B32B3A">
      <w:pPr>
        <w:widowControl w:val="0"/>
        <w:autoSpaceDE w:val="0"/>
        <w:autoSpaceDN w:val="0"/>
        <w:adjustRightInd w:val="0"/>
        <w:spacing w:line="360" w:lineRule="auto"/>
        <w:ind w:firstLine="361" w:firstLineChars="200"/>
        <w:rPr>
          <w:rFonts w:ascii="宋体" w:hAnsi="宋体" w:eastAsia="宋体" w:cs="宋体"/>
          <w:bCs/>
          <w:color w:val="auto"/>
          <w:sz w:val="18"/>
          <w:szCs w:val="18"/>
          <w:lang w:val="en-US" w:eastAsia="zh-CN" w:bidi="ar-SA"/>
        </w:rPr>
      </w:pPr>
      <w:r>
        <w:rPr>
          <w:rFonts w:ascii="宋体" w:hAnsi="宋体" w:eastAsia="宋体" w:cs="宋体"/>
          <w:b/>
          <w:bCs/>
          <w:color w:val="auto"/>
          <w:sz w:val="18"/>
          <w:szCs w:val="18"/>
          <w:lang w:val="en-US" w:eastAsia="zh-CN" w:bidi="ar-SA"/>
        </w:rPr>
        <w:t xml:space="preserve">2. </w:t>
      </w:r>
      <w:r>
        <w:rPr>
          <w:rFonts w:hint="eastAsia" w:ascii="宋体" w:hAnsi="宋体" w:eastAsia="宋体" w:cs="宋体"/>
          <w:b/>
          <w:bCs/>
          <w:color w:val="auto"/>
          <w:sz w:val="18"/>
          <w:szCs w:val="18"/>
          <w:lang w:val="en-US" w:eastAsia="zh-CN" w:bidi="ar-SA"/>
        </w:rPr>
        <w:t>法律文件用语</w:t>
      </w:r>
      <w:r>
        <w:rPr>
          <w:rFonts w:ascii="宋体" w:hAnsi="宋体" w:eastAsia="宋体" w:cs="宋体"/>
          <w:b/>
          <w:bCs/>
          <w:color w:val="auto"/>
          <w:sz w:val="18"/>
          <w:szCs w:val="18"/>
          <w:lang w:val="en-US" w:eastAsia="zh-CN" w:bidi="ar-SA"/>
        </w:rPr>
        <w:t xml:space="preserve"> </w:t>
      </w:r>
    </w:p>
    <w:p w14:paraId="5056404E">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1）</w:t>
      </w:r>
      <w:r>
        <w:rPr>
          <w:rFonts w:hint="eastAsia" w:ascii="宋体" w:hAnsi="宋体" w:eastAsia="宋体" w:cs="宋体"/>
          <w:bCs/>
          <w:color w:val="000000"/>
          <w:sz w:val="18"/>
          <w:szCs w:val="18"/>
          <w:lang w:val="en-US" w:eastAsia="zh-CN" w:bidi="ar-SA"/>
        </w:rPr>
        <w:t>理财产品销售文件</w:t>
      </w:r>
      <w:r>
        <w:rPr>
          <w:rFonts w:ascii="宋体" w:hAnsi="宋体" w:eastAsia="宋体" w:cs="宋体"/>
          <w:bCs/>
          <w:color w:val="000000"/>
          <w:sz w:val="18"/>
          <w:szCs w:val="18"/>
          <w:lang w:val="en-US" w:eastAsia="zh-CN" w:bidi="ar-SA"/>
        </w:rPr>
        <w:t xml:space="preserve"> </w:t>
      </w:r>
      <w:r>
        <w:rPr>
          <w:rFonts w:hint="eastAsia" w:ascii="宋体" w:hAnsi="宋体" w:eastAsia="宋体" w:cs="宋体"/>
          <w:bCs/>
          <w:color w:val="000000"/>
          <w:sz w:val="18"/>
          <w:szCs w:val="18"/>
          <w:lang w:val="en-US" w:eastAsia="zh-CN" w:bidi="ar-SA"/>
        </w:rPr>
        <w:t>：指产品管理人向投资者提供的，用于描述产品特征，约定权利义务的文件。具体指《兴银理财【稳添利最短持有期日开固收类】理财产品销售文件》，包括《投资协议书》《产品说明书》《（代理）销售</w:t>
      </w:r>
      <w:r>
        <w:rPr>
          <w:rFonts w:ascii="宋体" w:hAnsi="宋体" w:eastAsia="宋体" w:cs="宋体"/>
          <w:bCs/>
          <w:color w:val="000000"/>
          <w:sz w:val="18"/>
          <w:szCs w:val="18"/>
          <w:lang w:val="en-US" w:eastAsia="zh-CN" w:bidi="ar-SA"/>
        </w:rPr>
        <w:t>协议书</w:t>
      </w:r>
      <w:r>
        <w:rPr>
          <w:rFonts w:hint="eastAsia" w:ascii="宋体" w:hAnsi="宋体" w:eastAsia="宋体" w:cs="宋体"/>
          <w:bCs/>
          <w:color w:val="000000"/>
          <w:sz w:val="18"/>
          <w:szCs w:val="18"/>
          <w:lang w:val="en-US" w:eastAsia="zh-CN" w:bidi="ar-SA"/>
        </w:rPr>
        <w:t>》《风险揭示书》《投资者权益须知》以及对该文件的有效修改或补充。上述文件共同构成一份完整且不可分割的理财产品销售文件。经</w:t>
      </w:r>
      <w:r>
        <w:rPr>
          <w:rFonts w:ascii="宋体" w:hAnsi="宋体" w:eastAsia="宋体" w:cs="宋体"/>
          <w:bCs/>
          <w:color w:val="000000"/>
          <w:sz w:val="18"/>
          <w:szCs w:val="18"/>
          <w:lang w:val="en-US" w:eastAsia="zh-CN" w:bidi="ar-SA"/>
        </w:rPr>
        <w:t>产品</w:t>
      </w:r>
      <w:r>
        <w:rPr>
          <w:rFonts w:hint="eastAsia" w:ascii="宋体" w:hAnsi="宋体" w:eastAsia="宋体" w:cs="宋体"/>
          <w:bCs/>
          <w:color w:val="000000"/>
          <w:sz w:val="18"/>
          <w:szCs w:val="18"/>
          <w:lang w:val="en-US" w:eastAsia="zh-CN" w:bidi="ar-SA"/>
        </w:rPr>
        <w:t>管理人</w:t>
      </w:r>
      <w:r>
        <w:rPr>
          <w:rFonts w:ascii="宋体" w:hAnsi="宋体" w:eastAsia="宋体" w:cs="宋体"/>
          <w:bCs/>
          <w:color w:val="000000"/>
          <w:sz w:val="18"/>
          <w:szCs w:val="18"/>
          <w:lang w:val="en-US" w:eastAsia="zh-CN" w:bidi="ar-SA"/>
        </w:rPr>
        <w:t>委托，代理销售机构可以编制</w:t>
      </w:r>
      <w:r>
        <w:rPr>
          <w:rFonts w:hint="eastAsia" w:ascii="宋体" w:hAnsi="宋体" w:eastAsia="宋体" w:cs="宋体"/>
          <w:bCs/>
          <w:color w:val="000000"/>
          <w:sz w:val="18"/>
          <w:szCs w:val="18"/>
          <w:lang w:val="en-US" w:eastAsia="zh-CN" w:bidi="ar-SA"/>
        </w:rPr>
        <w:t>《（代理）销售</w:t>
      </w:r>
      <w:r>
        <w:rPr>
          <w:rFonts w:ascii="宋体" w:hAnsi="宋体" w:eastAsia="宋体" w:cs="宋体"/>
          <w:bCs/>
          <w:color w:val="000000"/>
          <w:sz w:val="18"/>
          <w:szCs w:val="18"/>
          <w:lang w:val="en-US" w:eastAsia="zh-CN" w:bidi="ar-SA"/>
        </w:rPr>
        <w:t>协议书</w:t>
      </w:r>
      <w:r>
        <w:rPr>
          <w:rFonts w:hint="eastAsia" w:ascii="宋体" w:hAnsi="宋体" w:eastAsia="宋体" w:cs="宋体"/>
          <w:bCs/>
          <w:color w:val="000000"/>
          <w:sz w:val="18"/>
          <w:szCs w:val="18"/>
          <w:lang w:val="en-US" w:eastAsia="zh-CN" w:bidi="ar-SA"/>
        </w:rPr>
        <w:t>》《风险揭示书》《投资者权益须知》。</w:t>
      </w:r>
    </w:p>
    <w:p w14:paraId="0C3F763D">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2）</w:t>
      </w:r>
      <w:r>
        <w:rPr>
          <w:rFonts w:hint="eastAsia" w:ascii="宋体" w:hAnsi="宋体" w:eastAsia="宋体" w:cs="宋体"/>
          <w:bCs/>
          <w:color w:val="000000"/>
          <w:sz w:val="18"/>
          <w:szCs w:val="18"/>
          <w:lang w:val="en-US" w:eastAsia="zh-CN" w:bidi="ar-SA"/>
        </w:rPr>
        <w:t>《投资协议书》：指管理人统一编制的《兴银理财【稳添利最短持有期日开固收类】理财产品投资协议书》，以及对该文件的有效修改或补充。</w:t>
      </w:r>
    </w:p>
    <w:p w14:paraId="0A0EEB31">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3</w:t>
      </w:r>
      <w:r>
        <w:rPr>
          <w:rFonts w:hint="eastAsia" w:ascii="宋体" w:hAnsi="宋体" w:eastAsia="宋体" w:cs="宋体"/>
          <w:bCs/>
          <w:color w:val="000000"/>
          <w:sz w:val="18"/>
          <w:szCs w:val="18"/>
          <w:lang w:val="en-US" w:eastAsia="zh-CN" w:bidi="ar-SA"/>
        </w:rPr>
        <w:t>）《产品说明书》：指管理人统一编制的《兴银理财【稳添利最短持有期日开固收类】理财产品产品说明书》，以及对该文件的有效修改或补充。</w:t>
      </w:r>
    </w:p>
    <w:p w14:paraId="627E733E">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（4）《（代理）销售协议书》：指管理人统一编制的《兴银理财【稳添利最短持有期日开固收类】理财产品（代理）销售协议书》或</w:t>
      </w:r>
      <w:r>
        <w:rPr>
          <w:rFonts w:ascii="宋体" w:hAnsi="宋体" w:eastAsia="宋体" w:cs="宋体"/>
          <w:bCs/>
          <w:color w:val="000000"/>
          <w:sz w:val="18"/>
          <w:szCs w:val="18"/>
          <w:lang w:val="en-US" w:eastAsia="zh-CN" w:bidi="ar-SA"/>
        </w:rPr>
        <w:t>代理销售机构接受产品管理人委托</w:t>
      </w:r>
      <w:r>
        <w:rPr>
          <w:rFonts w:hint="eastAsia" w:ascii="宋体" w:hAnsi="宋体" w:eastAsia="宋体" w:cs="宋体"/>
          <w:bCs/>
          <w:color w:val="000000"/>
          <w:sz w:val="18"/>
          <w:szCs w:val="18"/>
          <w:lang w:val="en-US" w:eastAsia="zh-CN" w:bidi="ar-SA"/>
        </w:rPr>
        <w:t>自行</w:t>
      </w:r>
      <w:r>
        <w:rPr>
          <w:rFonts w:ascii="宋体" w:hAnsi="宋体" w:eastAsia="宋体" w:cs="宋体"/>
          <w:bCs/>
          <w:color w:val="000000"/>
          <w:sz w:val="18"/>
          <w:szCs w:val="18"/>
          <w:lang w:val="en-US" w:eastAsia="zh-CN" w:bidi="ar-SA"/>
        </w:rPr>
        <w:t>编制</w:t>
      </w:r>
      <w:r>
        <w:rPr>
          <w:rFonts w:hint="eastAsia" w:ascii="宋体" w:hAnsi="宋体" w:eastAsia="宋体" w:cs="宋体"/>
          <w:bCs/>
          <w:color w:val="000000"/>
          <w:sz w:val="18"/>
          <w:szCs w:val="18"/>
          <w:lang w:val="en-US" w:eastAsia="zh-CN" w:bidi="ar-SA"/>
        </w:rPr>
        <w:t>的《兴银理财【稳添利最短持有期日开固收类】理财产品（代理）销售协议书》（文件名称以代理销售机构实际编制为准），以及对该文件的有效修改或补充。</w:t>
      </w:r>
    </w:p>
    <w:p w14:paraId="290BAC16">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5</w:t>
      </w:r>
      <w:r>
        <w:rPr>
          <w:rFonts w:hint="eastAsia" w:ascii="宋体" w:hAnsi="宋体" w:eastAsia="宋体" w:cs="宋体"/>
          <w:bCs/>
          <w:color w:val="000000"/>
          <w:sz w:val="18"/>
          <w:szCs w:val="18"/>
          <w:lang w:val="en-US" w:eastAsia="zh-CN" w:bidi="ar-SA"/>
        </w:rPr>
        <w:t>）《风险揭示书》：指管理人统一编制的《兴银理财【稳添利最短持有期日开固收类】理财产品风险揭示书》或</w:t>
      </w:r>
      <w:r>
        <w:rPr>
          <w:rFonts w:ascii="宋体" w:hAnsi="宋体" w:eastAsia="宋体" w:cs="宋体"/>
          <w:bCs/>
          <w:color w:val="000000"/>
          <w:sz w:val="18"/>
          <w:szCs w:val="18"/>
          <w:lang w:val="en-US" w:eastAsia="zh-CN" w:bidi="ar-SA"/>
        </w:rPr>
        <w:t>代理销售机构接受产品管理人委托</w:t>
      </w:r>
      <w:r>
        <w:rPr>
          <w:rFonts w:hint="eastAsia" w:ascii="宋体" w:hAnsi="宋体" w:eastAsia="宋体" w:cs="宋体"/>
          <w:bCs/>
          <w:color w:val="000000"/>
          <w:sz w:val="18"/>
          <w:szCs w:val="18"/>
          <w:lang w:val="en-US" w:eastAsia="zh-CN" w:bidi="ar-SA"/>
        </w:rPr>
        <w:t>自行</w:t>
      </w:r>
      <w:r>
        <w:rPr>
          <w:rFonts w:ascii="宋体" w:hAnsi="宋体" w:eastAsia="宋体" w:cs="宋体"/>
          <w:bCs/>
          <w:color w:val="000000"/>
          <w:sz w:val="18"/>
          <w:szCs w:val="18"/>
          <w:lang w:val="en-US" w:eastAsia="zh-CN" w:bidi="ar-SA"/>
        </w:rPr>
        <w:t>编制</w:t>
      </w:r>
      <w:r>
        <w:rPr>
          <w:rFonts w:hint="eastAsia" w:ascii="宋体" w:hAnsi="宋体" w:eastAsia="宋体" w:cs="宋体"/>
          <w:bCs/>
          <w:color w:val="000000"/>
          <w:sz w:val="18"/>
          <w:szCs w:val="18"/>
          <w:lang w:val="en-US" w:eastAsia="zh-CN" w:bidi="ar-SA"/>
        </w:rPr>
        <w:t>的《兴银理财【稳添利最短持有期日开固收类】理财产品风险揭示书》（文件名称以代理销售机构实际编制为准），以及对该文件的有效修改或补充。</w:t>
      </w:r>
    </w:p>
    <w:p w14:paraId="3B384FAE">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6</w:t>
      </w:r>
      <w:r>
        <w:rPr>
          <w:rFonts w:hint="eastAsia" w:ascii="宋体" w:hAnsi="宋体" w:eastAsia="宋体" w:cs="宋体"/>
          <w:bCs/>
          <w:color w:val="000000"/>
          <w:sz w:val="18"/>
          <w:szCs w:val="18"/>
          <w:lang w:val="en-US" w:eastAsia="zh-CN" w:bidi="ar-SA"/>
        </w:rPr>
        <w:t>）《投资者权益须知》：指管理人统一编制的《兴银理财【稳添利最短持有期日开固收类】理财产品投资者权益须知》或</w:t>
      </w:r>
      <w:r>
        <w:rPr>
          <w:rFonts w:ascii="宋体" w:hAnsi="宋体" w:eastAsia="宋体" w:cs="宋体"/>
          <w:bCs/>
          <w:color w:val="000000"/>
          <w:sz w:val="18"/>
          <w:szCs w:val="18"/>
          <w:lang w:val="en-US" w:eastAsia="zh-CN" w:bidi="ar-SA"/>
        </w:rPr>
        <w:t>代理销售机构接受产品管理人委托</w:t>
      </w:r>
      <w:r>
        <w:rPr>
          <w:rFonts w:hint="eastAsia" w:ascii="宋体" w:hAnsi="宋体" w:eastAsia="宋体" w:cs="宋体"/>
          <w:bCs/>
          <w:color w:val="000000"/>
          <w:sz w:val="18"/>
          <w:szCs w:val="18"/>
          <w:lang w:val="en-US" w:eastAsia="zh-CN" w:bidi="ar-SA"/>
        </w:rPr>
        <w:t>自行编制</w:t>
      </w:r>
      <w:r>
        <w:rPr>
          <w:rFonts w:ascii="宋体" w:hAnsi="宋体" w:eastAsia="宋体" w:cs="宋体"/>
          <w:bCs/>
          <w:color w:val="000000"/>
          <w:sz w:val="18"/>
          <w:szCs w:val="18"/>
          <w:lang w:val="en-US" w:eastAsia="zh-CN" w:bidi="ar-SA"/>
        </w:rPr>
        <w:t>的</w:t>
      </w:r>
      <w:r>
        <w:rPr>
          <w:rFonts w:hint="eastAsia" w:ascii="宋体" w:hAnsi="宋体" w:eastAsia="宋体" w:cs="宋体"/>
          <w:bCs/>
          <w:color w:val="000000"/>
          <w:sz w:val="18"/>
          <w:szCs w:val="18"/>
          <w:lang w:val="en-US" w:eastAsia="zh-CN" w:bidi="ar-SA"/>
        </w:rPr>
        <w:t>《兴银理财【稳添利最短持有期日开固收类】理财产品投资者权益须知》（文件名称以代理销售机构实际编制为准），以及对该文件的有效修改或补充。</w:t>
      </w:r>
    </w:p>
    <w:p w14:paraId="7BA948BF">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 xml:space="preserve">3. </w:t>
      </w:r>
      <w:r>
        <w:rPr>
          <w:rFonts w:hint="eastAsia" w:ascii="宋体" w:hAnsi="宋体" w:eastAsia="宋体" w:cs="宋体"/>
          <w:b/>
          <w:bCs/>
          <w:color w:val="auto"/>
          <w:sz w:val="18"/>
          <w:szCs w:val="18"/>
          <w:lang w:val="en-US" w:eastAsia="zh-CN" w:bidi="ar-SA"/>
        </w:rPr>
        <w:t>理财产品用语</w:t>
      </w:r>
      <w:r>
        <w:rPr>
          <w:rFonts w:ascii="宋体" w:hAnsi="宋体" w:eastAsia="宋体" w:cs="宋体"/>
          <w:b/>
          <w:bCs/>
          <w:color w:val="auto"/>
          <w:sz w:val="18"/>
          <w:szCs w:val="18"/>
          <w:lang w:val="en-US" w:eastAsia="zh-CN" w:bidi="ar-SA"/>
        </w:rPr>
        <w:t xml:space="preserve"> </w:t>
      </w:r>
    </w:p>
    <w:p w14:paraId="346B013E">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1）理财产品登记编码：指本款理财产品</w:t>
      </w:r>
      <w:r>
        <w:rPr>
          <w:rFonts w:hint="eastAsia" w:ascii="宋体" w:hAnsi="宋体" w:eastAsia="宋体" w:cs="宋体"/>
          <w:bCs/>
          <w:color w:val="auto"/>
          <w:sz w:val="18"/>
          <w:szCs w:val="18"/>
          <w:lang w:val="en-US" w:eastAsia="zh-CN" w:bidi="ar-SA"/>
        </w:rPr>
        <w:t>在全国银行业理财信息登记系统</w:t>
      </w:r>
      <w:r>
        <w:rPr>
          <w:rFonts w:ascii="宋体" w:hAnsi="宋体" w:eastAsia="宋体" w:cs="宋体"/>
          <w:bCs/>
          <w:color w:val="auto"/>
          <w:sz w:val="18"/>
          <w:szCs w:val="18"/>
          <w:lang w:val="en-US" w:eastAsia="zh-CN" w:bidi="ar-SA"/>
        </w:rPr>
        <w:t>对理财产品进行信息登记后</w:t>
      </w:r>
      <w:r>
        <w:rPr>
          <w:rFonts w:hint="eastAsia" w:ascii="宋体" w:hAnsi="宋体" w:eastAsia="宋体" w:cs="宋体"/>
          <w:bCs/>
          <w:color w:val="auto"/>
          <w:sz w:val="18"/>
          <w:szCs w:val="18"/>
          <w:lang w:val="en-US" w:eastAsia="zh-CN" w:bidi="ar-SA"/>
        </w:rPr>
        <w:t>，由全国银行业理财信息登记系统发放的唯一性的理财产品编码。投资者可依据登记编码在中国理财网（w</w:t>
      </w:r>
      <w:r>
        <w:rPr>
          <w:rFonts w:ascii="宋体" w:hAnsi="宋体" w:eastAsia="宋体" w:cs="宋体"/>
          <w:bCs/>
          <w:color w:val="auto"/>
          <w:sz w:val="18"/>
          <w:szCs w:val="18"/>
          <w:lang w:val="en-US" w:eastAsia="zh-CN" w:bidi="ar-SA"/>
        </w:rPr>
        <w:t>ww.chinawealth.com.cn</w:t>
      </w:r>
      <w:r>
        <w:rPr>
          <w:rFonts w:hint="eastAsia" w:ascii="宋体" w:hAnsi="宋体" w:eastAsia="宋体" w:cs="宋体"/>
          <w:bCs/>
          <w:color w:val="auto"/>
          <w:sz w:val="18"/>
          <w:szCs w:val="18"/>
          <w:lang w:val="en-US" w:eastAsia="zh-CN" w:bidi="ar-SA"/>
        </w:rPr>
        <w:t>）查询产品信息。</w:t>
      </w:r>
    </w:p>
    <w:p w14:paraId="08B45C28">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2）理财</w:t>
      </w:r>
      <w:r>
        <w:rPr>
          <w:rFonts w:hint="eastAsia" w:ascii="宋体" w:hAnsi="宋体" w:eastAsia="宋体" w:cs="宋体"/>
          <w:bCs/>
          <w:color w:val="auto"/>
          <w:sz w:val="18"/>
          <w:szCs w:val="18"/>
          <w:lang w:val="en-US" w:eastAsia="zh-CN" w:bidi="ar-SA"/>
        </w:rPr>
        <w:t>产品代码</w:t>
      </w:r>
      <w:r>
        <w:rPr>
          <w:rFonts w:ascii="宋体" w:hAnsi="宋体" w:eastAsia="宋体" w:cs="宋体"/>
          <w:bCs/>
          <w:color w:val="auto"/>
          <w:sz w:val="18"/>
          <w:szCs w:val="18"/>
          <w:lang w:val="en-US" w:eastAsia="zh-CN" w:bidi="ar-SA"/>
        </w:rPr>
        <w:t>/产品代码</w:t>
      </w:r>
      <w:r>
        <w:rPr>
          <w:rFonts w:hint="eastAsia" w:ascii="宋体" w:hAnsi="宋体" w:eastAsia="宋体" w:cs="宋体"/>
          <w:bCs/>
          <w:color w:val="auto"/>
          <w:sz w:val="18"/>
          <w:szCs w:val="18"/>
          <w:lang w:val="en-US" w:eastAsia="zh-CN" w:bidi="ar-SA"/>
        </w:rPr>
        <w:t>：指产品管理人在全国银行业理财信息登记系统中为理财产品设置的内部识别码。</w:t>
      </w:r>
    </w:p>
    <w:p w14:paraId="323871D5">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（3）理财产品销售代码/销售代码</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指本款理财产品若设置不同</w:t>
      </w:r>
      <w:r>
        <w:rPr>
          <w:rFonts w:ascii="宋体" w:hAnsi="宋体" w:eastAsia="宋体" w:cs="宋体"/>
          <w:bCs/>
          <w:color w:val="auto"/>
          <w:sz w:val="18"/>
          <w:szCs w:val="18"/>
          <w:lang w:val="en-US" w:eastAsia="zh-CN" w:bidi="ar-SA"/>
        </w:rPr>
        <w:t>产品份额类别</w:t>
      </w:r>
      <w:r>
        <w:rPr>
          <w:rFonts w:hint="eastAsia" w:ascii="宋体" w:hAnsi="宋体" w:eastAsia="宋体" w:cs="宋体"/>
          <w:bCs/>
          <w:color w:val="auto"/>
          <w:sz w:val="18"/>
          <w:szCs w:val="18"/>
          <w:lang w:val="en-US" w:eastAsia="zh-CN" w:bidi="ar-SA"/>
        </w:rPr>
        <w:t>，为在理财产品销售管理</w:t>
      </w:r>
      <w:r>
        <w:rPr>
          <w:rFonts w:ascii="宋体" w:hAnsi="宋体" w:eastAsia="宋体" w:cs="宋体"/>
          <w:bCs/>
          <w:color w:val="auto"/>
          <w:sz w:val="18"/>
          <w:szCs w:val="18"/>
          <w:lang w:val="en-US" w:eastAsia="zh-CN" w:bidi="ar-SA"/>
        </w:rPr>
        <w:t>过程中</w:t>
      </w:r>
      <w:r>
        <w:rPr>
          <w:rFonts w:hint="eastAsia" w:ascii="宋体" w:hAnsi="宋体" w:eastAsia="宋体" w:cs="宋体"/>
          <w:bCs/>
          <w:color w:val="auto"/>
          <w:sz w:val="18"/>
          <w:szCs w:val="18"/>
          <w:lang w:val="en-US" w:eastAsia="zh-CN" w:bidi="ar-SA"/>
        </w:rPr>
        <w:t>区分不同产品份额类别，管理人</w:t>
      </w:r>
      <w:r>
        <w:rPr>
          <w:rFonts w:ascii="宋体" w:hAnsi="宋体" w:eastAsia="宋体" w:cs="宋体"/>
          <w:bCs/>
          <w:color w:val="auto"/>
          <w:sz w:val="18"/>
          <w:szCs w:val="18"/>
          <w:lang w:val="en-US" w:eastAsia="zh-CN" w:bidi="ar-SA"/>
        </w:rPr>
        <w:t>在同一</w:t>
      </w:r>
      <w:r>
        <w:rPr>
          <w:rFonts w:hint="eastAsia" w:ascii="宋体" w:hAnsi="宋体" w:eastAsia="宋体" w:cs="宋体"/>
          <w:bCs/>
          <w:color w:val="auto"/>
          <w:sz w:val="18"/>
          <w:szCs w:val="18"/>
          <w:lang w:val="en-US" w:eastAsia="zh-CN" w:bidi="ar-SA"/>
        </w:rPr>
        <w:t>理财</w:t>
      </w:r>
      <w:r>
        <w:rPr>
          <w:rFonts w:ascii="宋体" w:hAnsi="宋体" w:eastAsia="宋体" w:cs="宋体"/>
          <w:bCs/>
          <w:color w:val="auto"/>
          <w:sz w:val="18"/>
          <w:szCs w:val="18"/>
          <w:lang w:val="en-US" w:eastAsia="zh-CN" w:bidi="ar-SA"/>
        </w:rPr>
        <w:t>产品代码项下</w:t>
      </w:r>
      <w:r>
        <w:rPr>
          <w:rFonts w:hint="eastAsia" w:ascii="宋体" w:hAnsi="宋体" w:eastAsia="宋体" w:cs="宋体"/>
          <w:bCs/>
          <w:color w:val="auto"/>
          <w:sz w:val="18"/>
          <w:szCs w:val="18"/>
          <w:lang w:val="en-US" w:eastAsia="zh-CN" w:bidi="ar-SA"/>
        </w:rPr>
        <w:t>，为每类份额类别</w:t>
      </w:r>
      <w:r>
        <w:rPr>
          <w:rFonts w:ascii="宋体" w:hAnsi="宋体" w:eastAsia="宋体" w:cs="宋体"/>
          <w:bCs/>
          <w:color w:val="auto"/>
          <w:sz w:val="18"/>
          <w:szCs w:val="18"/>
          <w:lang w:val="en-US" w:eastAsia="zh-CN" w:bidi="ar-SA"/>
        </w:rPr>
        <w:t>设置</w:t>
      </w:r>
      <w:r>
        <w:rPr>
          <w:rFonts w:hint="eastAsia" w:ascii="宋体" w:hAnsi="宋体" w:eastAsia="宋体" w:cs="宋体"/>
          <w:bCs/>
          <w:color w:val="auto"/>
          <w:sz w:val="18"/>
          <w:szCs w:val="18"/>
          <w:lang w:val="en-US" w:eastAsia="zh-CN" w:bidi="ar-SA"/>
        </w:rPr>
        <w:t>的唯一性内部识别码。若本款理财产品不设置差异化产品份额类别，理财产品代码即为理财产品销售代码。</w:t>
      </w:r>
    </w:p>
    <w:p w14:paraId="22FAED78">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（4）理财产品风险等级：理财产品风险等级为产品管理人和销售机构经过审慎评估后确定的产品风险等级。</w:t>
      </w:r>
      <w:r>
        <w:rPr>
          <w:rFonts w:hint="eastAsia" w:ascii="宋体" w:hAnsi="宋体" w:eastAsia="宋体" w:cs="宋体"/>
          <w:bCs/>
          <w:color w:val="000000"/>
          <w:sz w:val="18"/>
          <w:szCs w:val="18"/>
          <w:lang w:val="en-US" w:eastAsia="zh-CN" w:bidi="ar-SA"/>
        </w:rPr>
        <w:t>若理财产品通过代理销售机构销售的，理财产品评级以代理销售机构最终披露的评级结果为准。产品管理人和代理销售机构对理财产品的风险等级评估结果不一致时，代理销售机构应采用对应较高风险的评级结果。</w:t>
      </w:r>
    </w:p>
    <w:p w14:paraId="184097E6">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（5）投资者风险承受能力评估：指销售机构对理财投资者的风险承受能力进行评价的过程。</w:t>
      </w:r>
    </w:p>
    <w:p w14:paraId="369AC1B7">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6</w:t>
      </w:r>
      <w:r>
        <w:rPr>
          <w:rFonts w:hint="eastAsia" w:ascii="宋体" w:hAnsi="宋体" w:eastAsia="宋体" w:cs="宋体"/>
          <w:bCs/>
          <w:color w:val="auto"/>
          <w:sz w:val="18"/>
          <w:szCs w:val="18"/>
          <w:lang w:val="en-US" w:eastAsia="zh-CN" w:bidi="ar-SA"/>
        </w:rPr>
        <w:t>）适合投资者：指适合购买理财产品的投资者类型。</w:t>
      </w:r>
    </w:p>
    <w:p w14:paraId="066B1B56">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7</w:t>
      </w:r>
      <w:r>
        <w:rPr>
          <w:rFonts w:hint="eastAsia" w:ascii="宋体" w:hAnsi="宋体" w:eastAsia="宋体" w:cs="宋体"/>
          <w:bCs/>
          <w:color w:val="auto"/>
          <w:sz w:val="18"/>
          <w:szCs w:val="18"/>
          <w:lang w:val="en-US" w:eastAsia="zh-CN" w:bidi="ar-SA"/>
        </w:rPr>
        <w:t>）理财产品份额/产品份额/理财份额：指投资者持有本理财产品的单位数额。投资者基于其所持有的理财产品单位数额享有理财产品利益、承担理财产品风险。理财</w:t>
      </w:r>
      <w:r>
        <w:rPr>
          <w:rFonts w:ascii="宋体" w:hAnsi="宋体" w:eastAsia="宋体" w:cs="宋体"/>
          <w:bCs/>
          <w:color w:val="auto"/>
          <w:sz w:val="18"/>
          <w:szCs w:val="18"/>
          <w:lang w:val="en-US" w:eastAsia="zh-CN" w:bidi="ar-SA"/>
        </w:rPr>
        <w:t>产品份额四舍五入保留2位小数</w:t>
      </w:r>
      <w:r>
        <w:rPr>
          <w:rFonts w:hint="eastAsia" w:ascii="宋体" w:hAnsi="宋体" w:eastAsia="宋体" w:cs="宋体"/>
          <w:bCs/>
          <w:color w:val="auto"/>
          <w:sz w:val="18"/>
          <w:szCs w:val="18"/>
          <w:lang w:val="en-US" w:eastAsia="zh-CN" w:bidi="ar-SA"/>
        </w:rPr>
        <w:t>。</w:t>
      </w:r>
    </w:p>
    <w:p w14:paraId="465240FA">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8</w:t>
      </w:r>
      <w:r>
        <w:rPr>
          <w:rFonts w:hint="eastAsia" w:ascii="宋体" w:hAnsi="宋体" w:eastAsia="宋体" w:cs="宋体"/>
          <w:bCs/>
          <w:color w:val="auto"/>
          <w:sz w:val="18"/>
          <w:szCs w:val="18"/>
          <w:lang w:val="en-US" w:eastAsia="zh-CN" w:bidi="ar-SA"/>
        </w:rPr>
        <w:t>）</w:t>
      </w:r>
      <w:r>
        <w:rPr>
          <w:rFonts w:hint="eastAsia" w:ascii="宋体" w:hAnsi="宋体" w:eastAsia="宋体" w:cs="宋体"/>
          <w:color w:val="auto"/>
          <w:sz w:val="18"/>
          <w:szCs w:val="18"/>
          <w:lang w:val="en-US" w:eastAsia="zh-CN" w:bidi="ar-SA"/>
        </w:rPr>
        <w:t>理财产品资产净值/理财资产净值/产品资产净值</w:t>
      </w:r>
      <w:r>
        <w:rPr>
          <w:rFonts w:hint="eastAsia" w:ascii="宋体" w:hAnsi="宋体" w:eastAsia="宋体" w:cs="宋体"/>
          <w:bCs/>
          <w:color w:val="auto"/>
          <w:sz w:val="18"/>
          <w:szCs w:val="18"/>
          <w:lang w:val="en-US" w:eastAsia="zh-CN" w:bidi="ar-SA"/>
        </w:rPr>
        <w:t>：理财产品资产净值</w:t>
      </w:r>
      <w:r>
        <w:rPr>
          <w:rFonts w:ascii="宋体" w:hAnsi="宋体" w:eastAsia="宋体" w:cs="宋体"/>
          <w:bCs/>
          <w:color w:val="auto"/>
          <w:sz w:val="18"/>
          <w:szCs w:val="18"/>
          <w:lang w:val="en-US" w:eastAsia="zh-CN" w:bidi="ar-SA"/>
        </w:rPr>
        <w:t>=理财</w:t>
      </w:r>
      <w:r>
        <w:rPr>
          <w:rFonts w:hint="eastAsia" w:ascii="宋体" w:hAnsi="宋体" w:eastAsia="宋体" w:cs="宋体"/>
          <w:bCs/>
          <w:color w:val="auto"/>
          <w:sz w:val="18"/>
          <w:szCs w:val="18"/>
          <w:lang w:val="en-US" w:eastAsia="zh-CN" w:bidi="ar-SA"/>
        </w:rPr>
        <w:t>产品资产总值</w:t>
      </w:r>
      <w:r>
        <w:rPr>
          <w:rFonts w:ascii="宋体" w:hAnsi="宋体" w:eastAsia="宋体" w:cs="宋体"/>
          <w:bCs/>
          <w:color w:val="auto"/>
          <w:sz w:val="18"/>
          <w:szCs w:val="18"/>
          <w:lang w:val="en-US" w:eastAsia="zh-CN" w:bidi="ar-SA"/>
        </w:rPr>
        <w:t>-理财</w:t>
      </w:r>
      <w:r>
        <w:rPr>
          <w:rFonts w:hint="eastAsia" w:ascii="宋体" w:hAnsi="宋体" w:eastAsia="宋体" w:cs="宋体"/>
          <w:bCs/>
          <w:color w:val="auto"/>
          <w:sz w:val="18"/>
          <w:szCs w:val="18"/>
          <w:lang w:val="en-US" w:eastAsia="zh-CN" w:bidi="ar-SA"/>
        </w:rPr>
        <w:t>产品负债总值。</w:t>
      </w:r>
    </w:p>
    <w:p w14:paraId="2ADA0335">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理财产品资产总值是指理财产品拥有的各类有价证券、银行存款、应收款项及其他资产的价值总和。</w:t>
      </w:r>
    </w:p>
    <w:p w14:paraId="0E4C5285">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理财产品负债总值是指理财产品运作及融资时形成的负债价值总和，包括融资资金本息、应付各项费用（包括托管费、销售服务费、固定管理费、计入负债的业绩报酬、其他费用等）、应付税金及其他应付款项等。</w:t>
      </w:r>
    </w:p>
    <w:p w14:paraId="5C3EE090">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9</w:t>
      </w:r>
      <w:r>
        <w:rPr>
          <w:rFonts w:hint="eastAsia" w:ascii="宋体" w:hAnsi="宋体" w:eastAsia="宋体" w:cs="宋体"/>
          <w:bCs/>
          <w:color w:val="auto"/>
          <w:sz w:val="18"/>
          <w:szCs w:val="18"/>
          <w:lang w:val="en-US" w:eastAsia="zh-CN" w:bidi="ar-SA"/>
        </w:rPr>
        <w:t>）理财产品份额净值/理财份额净值/产品份额净值：指理财产品份额的单位净值，即每</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份理财产品份额以人民币计价的价格。理财产品份额净值</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理财资产净值</w:t>
      </w:r>
      <w:r>
        <w:rPr>
          <w:rFonts w:ascii="宋体" w:hAnsi="宋体" w:eastAsia="宋体" w:cs="宋体"/>
          <w:bCs/>
          <w:color w:val="auto"/>
          <w:sz w:val="18"/>
          <w:szCs w:val="18"/>
          <w:lang w:val="en-US" w:eastAsia="zh-CN" w:bidi="ar-SA"/>
        </w:rPr>
        <w:t>/产品</w:t>
      </w:r>
      <w:r>
        <w:rPr>
          <w:rFonts w:hint="eastAsia" w:ascii="宋体" w:hAnsi="宋体" w:eastAsia="宋体" w:cs="宋体"/>
          <w:bCs/>
          <w:color w:val="auto"/>
          <w:sz w:val="18"/>
          <w:szCs w:val="18"/>
          <w:lang w:val="en-US" w:eastAsia="zh-CN" w:bidi="ar-SA"/>
        </w:rPr>
        <w:t>总</w:t>
      </w:r>
      <w:r>
        <w:rPr>
          <w:rFonts w:ascii="宋体" w:hAnsi="宋体" w:eastAsia="宋体" w:cs="宋体"/>
          <w:bCs/>
          <w:color w:val="auto"/>
          <w:sz w:val="18"/>
          <w:szCs w:val="18"/>
          <w:lang w:val="en-US" w:eastAsia="zh-CN" w:bidi="ar-SA"/>
        </w:rPr>
        <w:t>份额</w:t>
      </w:r>
      <w:r>
        <w:rPr>
          <w:rFonts w:hint="eastAsia" w:ascii="宋体" w:hAnsi="宋体" w:eastAsia="宋体" w:cs="宋体"/>
          <w:bCs/>
          <w:color w:val="auto"/>
          <w:sz w:val="18"/>
          <w:szCs w:val="18"/>
          <w:lang w:val="en-US" w:eastAsia="zh-CN" w:bidi="ar-SA"/>
        </w:rPr>
        <w:t>。投资者按该份额净值进行理财产品申购、赎回和终止时分配。理财</w:t>
      </w:r>
      <w:r>
        <w:rPr>
          <w:rFonts w:ascii="宋体" w:hAnsi="宋体" w:eastAsia="宋体" w:cs="宋体"/>
          <w:bCs/>
          <w:color w:val="auto"/>
          <w:sz w:val="18"/>
          <w:szCs w:val="18"/>
          <w:lang w:val="en-US" w:eastAsia="zh-CN" w:bidi="ar-SA"/>
        </w:rPr>
        <w:t>产品份额净值四舍五入保留5位小数。</w:t>
      </w:r>
    </w:p>
    <w:p w14:paraId="740080C2">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理财产品份额净值</w:t>
      </w:r>
      <w:r>
        <w:rPr>
          <w:rFonts w:hint="eastAsia" w:ascii="宋体" w:hAnsi="宋体" w:eastAsia="宋体" w:cs="宋体"/>
          <w:bCs/>
          <w:color w:val="auto"/>
          <w:sz w:val="18"/>
          <w:szCs w:val="18"/>
          <w:lang w:val="en-US" w:eastAsia="zh-CN" w:bidi="ar-SA"/>
        </w:rPr>
        <w:t>可以展示为</w:t>
      </w:r>
      <w:r>
        <w:rPr>
          <w:rFonts w:ascii="宋体" w:hAnsi="宋体" w:eastAsia="宋体" w:cs="宋体"/>
          <w:bCs/>
          <w:color w:val="auto"/>
          <w:sz w:val="18"/>
          <w:szCs w:val="18"/>
          <w:lang w:val="en-US" w:eastAsia="zh-CN" w:bidi="ar-SA"/>
        </w:rPr>
        <w:t>当前理财产品份额净值</w:t>
      </w:r>
      <w:r>
        <w:rPr>
          <w:rFonts w:hint="eastAsia" w:ascii="宋体" w:hAnsi="宋体" w:eastAsia="宋体" w:cs="宋体"/>
          <w:bCs/>
          <w:color w:val="auto"/>
          <w:sz w:val="18"/>
          <w:szCs w:val="18"/>
          <w:lang w:val="en-US" w:eastAsia="zh-CN" w:bidi="ar-SA"/>
        </w:rPr>
        <w:t>和累计理财产品份额净值。</w:t>
      </w:r>
    </w:p>
    <w:p w14:paraId="38F2FBFA">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当前理财产品份额净值，指</w:t>
      </w:r>
      <w:r>
        <w:rPr>
          <w:rFonts w:ascii="宋体" w:hAnsi="宋体" w:eastAsia="宋体" w:cs="宋体"/>
          <w:bCs/>
          <w:color w:val="auto"/>
          <w:sz w:val="18"/>
          <w:szCs w:val="18"/>
          <w:lang w:val="en-US" w:eastAsia="zh-CN" w:bidi="ar-SA"/>
        </w:rPr>
        <w:t>产品</w:t>
      </w:r>
      <w:r>
        <w:rPr>
          <w:rFonts w:hint="eastAsia" w:ascii="宋体" w:hAnsi="宋体" w:eastAsia="宋体" w:cs="宋体"/>
          <w:bCs/>
          <w:color w:val="auto"/>
          <w:sz w:val="18"/>
          <w:szCs w:val="18"/>
          <w:lang w:val="en-US" w:eastAsia="zh-CN" w:bidi="ar-SA"/>
        </w:rPr>
        <w:t>当前</w:t>
      </w:r>
      <w:r>
        <w:rPr>
          <w:rFonts w:ascii="宋体" w:hAnsi="宋体" w:eastAsia="宋体" w:cs="宋体"/>
          <w:bCs/>
          <w:color w:val="auto"/>
          <w:sz w:val="18"/>
          <w:szCs w:val="18"/>
          <w:lang w:val="en-US" w:eastAsia="zh-CN" w:bidi="ar-SA"/>
        </w:rPr>
        <w:t>的</w:t>
      </w:r>
      <w:r>
        <w:rPr>
          <w:rFonts w:hint="eastAsia" w:ascii="宋体" w:hAnsi="宋体" w:eastAsia="宋体" w:cs="宋体"/>
          <w:bCs/>
          <w:color w:val="auto"/>
          <w:sz w:val="18"/>
          <w:szCs w:val="18"/>
          <w:lang w:val="en-US" w:eastAsia="zh-CN" w:bidi="ar-SA"/>
        </w:rPr>
        <w:t>份额净值。</w:t>
      </w:r>
    </w:p>
    <w:p w14:paraId="366AECDA">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累计理财产品份额净值</w:t>
      </w: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指产品当前份额净值及产品成立到现在</w:t>
      </w:r>
      <w:r>
        <w:rPr>
          <w:rFonts w:hint="eastAsia" w:ascii="宋体" w:hAnsi="宋体" w:eastAsia="宋体" w:cs="宋体"/>
          <w:bCs/>
          <w:color w:val="auto"/>
          <w:sz w:val="18"/>
          <w:szCs w:val="18"/>
          <w:lang w:val="en-US" w:eastAsia="zh-CN" w:bidi="ar-SA"/>
        </w:rPr>
        <w:t>单位</w:t>
      </w:r>
      <w:r>
        <w:rPr>
          <w:rFonts w:ascii="宋体" w:hAnsi="宋体" w:eastAsia="宋体" w:cs="宋体"/>
          <w:bCs/>
          <w:color w:val="auto"/>
          <w:sz w:val="18"/>
          <w:szCs w:val="18"/>
          <w:lang w:val="en-US" w:eastAsia="zh-CN" w:bidi="ar-SA"/>
        </w:rPr>
        <w:t>理财产品</w:t>
      </w:r>
      <w:r>
        <w:rPr>
          <w:rFonts w:hint="eastAsia" w:ascii="宋体" w:hAnsi="宋体" w:eastAsia="宋体" w:cs="宋体"/>
          <w:bCs/>
          <w:color w:val="auto"/>
          <w:sz w:val="18"/>
          <w:szCs w:val="18"/>
          <w:lang w:val="en-US" w:eastAsia="zh-CN" w:bidi="ar-SA"/>
        </w:rPr>
        <w:t>份额</w:t>
      </w:r>
      <w:r>
        <w:rPr>
          <w:rFonts w:ascii="宋体" w:hAnsi="宋体" w:eastAsia="宋体" w:cs="宋体"/>
          <w:bCs/>
          <w:color w:val="auto"/>
          <w:sz w:val="18"/>
          <w:szCs w:val="18"/>
          <w:lang w:val="en-US" w:eastAsia="zh-CN" w:bidi="ar-SA"/>
        </w:rPr>
        <w:t>分红之和</w:t>
      </w:r>
      <w:r>
        <w:rPr>
          <w:rFonts w:hint="eastAsia" w:ascii="宋体" w:hAnsi="宋体" w:eastAsia="宋体" w:cs="宋体"/>
          <w:bCs/>
          <w:color w:val="auto"/>
          <w:sz w:val="18"/>
          <w:szCs w:val="18"/>
          <w:lang w:val="en-US" w:eastAsia="zh-CN" w:bidi="ar-SA"/>
        </w:rPr>
        <w:t>。</w:t>
      </w:r>
    </w:p>
    <w:p w14:paraId="37F749A2">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（注：若无特别说明，理财产品份额净值通常指当前理财产品份额净值）</w:t>
      </w:r>
    </w:p>
    <w:p w14:paraId="3BDDF091">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10</w:t>
      </w:r>
      <w:r>
        <w:rPr>
          <w:rFonts w:hint="eastAsia" w:ascii="宋体" w:hAnsi="宋体" w:eastAsia="宋体" w:cs="宋体"/>
          <w:bCs/>
          <w:color w:val="auto"/>
          <w:sz w:val="18"/>
          <w:szCs w:val="18"/>
          <w:lang w:val="en-US" w:eastAsia="zh-CN" w:bidi="ar-SA"/>
        </w:rPr>
        <w:t>）理财产品估值：指计算评估理财产品资产和理财产品负债的价值，以确定理财产品份额净值的过程。</w:t>
      </w:r>
    </w:p>
    <w:p w14:paraId="73EDDA72">
      <w:pPr>
        <w:widowControl w:val="0"/>
        <w:autoSpaceDE w:val="0"/>
        <w:autoSpaceDN w:val="0"/>
        <w:adjustRightInd w:val="0"/>
        <w:spacing w:line="360" w:lineRule="auto"/>
        <w:ind w:firstLine="360" w:firstLineChars="200"/>
        <w:rPr>
          <w:rFonts w:ascii="黑体" w:hAnsi="黑体" w:eastAsia="黑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1）</w:t>
      </w:r>
      <w:r>
        <w:rPr>
          <w:rFonts w:hint="eastAsia" w:ascii="黑体" w:hAnsi="黑体" w:eastAsia="黑体" w:cs="宋体"/>
          <w:bCs/>
          <w:color w:val="auto"/>
          <w:sz w:val="18"/>
          <w:szCs w:val="18"/>
          <w:lang w:val="en-US" w:eastAsia="zh-CN" w:bidi="ar-SA"/>
        </w:rPr>
        <w:t>★业绩比较基准：</w:t>
      </w:r>
      <w:r>
        <w:rPr>
          <w:rFonts w:hint="eastAsia" w:ascii="宋体" w:hAnsi="宋体" w:eastAsia="宋体" w:cs="宋体"/>
          <w:bCs/>
          <w:color w:val="auto"/>
          <w:sz w:val="18"/>
          <w:szCs w:val="18"/>
          <w:lang w:val="en-US" w:eastAsia="zh-CN" w:bidi="ar-SA"/>
        </w:rPr>
        <w:t>指管理人综合考虑市场环境、产品性质、投资策略、过往表现等因素，对理财产品设置的投资目标和相关解释说明。</w:t>
      </w:r>
      <w:r>
        <w:rPr>
          <w:rFonts w:hint="eastAsia" w:ascii="黑体" w:hAnsi="黑体" w:eastAsia="黑体" w:cs="宋体"/>
          <w:bCs/>
          <w:color w:val="auto"/>
          <w:sz w:val="18"/>
          <w:szCs w:val="18"/>
          <w:lang w:val="en-US" w:eastAsia="zh-CN" w:bidi="ar-SA"/>
        </w:rPr>
        <w:t>业绩比较基准不是预期收益率，不代表产品的未来表现和实际收益，</w:t>
      </w:r>
      <w:r>
        <w:rPr>
          <w:rFonts w:hint="eastAsia" w:ascii="黑体" w:hAnsi="黑体" w:eastAsia="宋体" w:cs="宋体"/>
          <w:color w:val="000000"/>
          <w:sz w:val="18"/>
          <w:szCs w:val="24"/>
          <w:lang w:val="en-US" w:eastAsia="zh-CN" w:bidi="ar-SA"/>
        </w:rPr>
        <w:t>不</w:t>
      </w:r>
      <w:r>
        <w:rPr>
          <w:rFonts w:hint="eastAsia" w:ascii="黑体" w:hAnsi="黑体" w:eastAsia="黑体" w:cs="宋体"/>
          <w:bCs/>
          <w:color w:val="000000"/>
          <w:sz w:val="18"/>
          <w:szCs w:val="18"/>
          <w:lang w:val="en-US" w:eastAsia="zh-CN" w:bidi="ar-SA"/>
        </w:rPr>
        <w:t>构成对</w:t>
      </w:r>
      <w:r>
        <w:rPr>
          <w:rFonts w:hint="eastAsia" w:ascii="黑体" w:hAnsi="黑体" w:eastAsia="宋体" w:cs="宋体"/>
          <w:color w:val="000000"/>
          <w:sz w:val="18"/>
          <w:szCs w:val="24"/>
          <w:lang w:val="en-US" w:eastAsia="zh-CN" w:bidi="ar-SA"/>
        </w:rPr>
        <w:t>产品收益的</w:t>
      </w:r>
      <w:r>
        <w:rPr>
          <w:rFonts w:hint="eastAsia" w:ascii="黑体" w:hAnsi="黑体" w:eastAsia="黑体" w:cs="宋体"/>
          <w:bCs/>
          <w:color w:val="000000"/>
          <w:sz w:val="18"/>
          <w:szCs w:val="18"/>
          <w:lang w:val="en-US" w:eastAsia="zh-CN" w:bidi="ar-SA"/>
        </w:rPr>
        <w:t>承诺</w:t>
      </w:r>
      <w:r>
        <w:rPr>
          <w:rFonts w:hint="eastAsia" w:ascii="黑体" w:hAnsi="黑体" w:eastAsia="宋体" w:cs="宋体"/>
          <w:color w:val="000000"/>
          <w:sz w:val="18"/>
          <w:szCs w:val="24"/>
          <w:lang w:val="en-US" w:eastAsia="zh-CN" w:bidi="ar-SA"/>
        </w:rPr>
        <w:t>，</w:t>
      </w:r>
      <w:r>
        <w:rPr>
          <w:rFonts w:hint="eastAsia" w:ascii="黑体" w:hAnsi="黑体" w:eastAsia="黑体" w:cs="宋体"/>
          <w:bCs/>
          <w:color w:val="auto"/>
          <w:sz w:val="18"/>
          <w:szCs w:val="18"/>
          <w:lang w:val="en-US" w:eastAsia="zh-CN" w:bidi="ar-SA"/>
        </w:rPr>
        <w:t>投资须谨慎。</w:t>
      </w:r>
    </w:p>
    <w:p w14:paraId="06D06567">
      <w:pPr>
        <w:widowControl w:val="0"/>
        <w:autoSpaceDE w:val="0"/>
        <w:autoSpaceDN w:val="0"/>
        <w:adjustRightInd w:val="0"/>
        <w:spacing w:line="360" w:lineRule="auto"/>
        <w:ind w:firstLine="360" w:firstLineChars="200"/>
        <w:rPr>
          <w:rFonts w:ascii="黑体" w:hAnsi="黑体" w:eastAsia="黑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2）</w:t>
      </w:r>
      <w:r>
        <w:rPr>
          <w:rFonts w:hint="eastAsia" w:ascii="黑体" w:hAnsi="黑体" w:eastAsia="黑体" w:cs="宋体"/>
          <w:bCs/>
          <w:color w:val="auto"/>
          <w:sz w:val="18"/>
          <w:szCs w:val="18"/>
          <w:lang w:val="en-US" w:eastAsia="zh-CN" w:bidi="ar-SA"/>
        </w:rPr>
        <w:t>★业绩报酬计提基准：</w:t>
      </w:r>
      <w:r>
        <w:rPr>
          <w:rFonts w:hint="eastAsia" w:ascii="宋体" w:hAnsi="宋体" w:eastAsia="宋体" w:cs="宋体"/>
          <w:bCs/>
          <w:color w:val="auto"/>
          <w:sz w:val="18"/>
          <w:szCs w:val="18"/>
          <w:lang w:val="en-US" w:eastAsia="zh-CN" w:bidi="ar-SA"/>
        </w:rPr>
        <w:t>指管理人计算超额业绩报酬的参照</w:t>
      </w:r>
      <w:r>
        <w:rPr>
          <w:rFonts w:ascii="宋体" w:hAnsi="宋体" w:eastAsia="宋体" w:cs="宋体"/>
          <w:bCs/>
          <w:color w:val="auto"/>
          <w:sz w:val="18"/>
          <w:szCs w:val="18"/>
          <w:lang w:val="en-US" w:eastAsia="zh-CN" w:bidi="ar-SA"/>
        </w:rPr>
        <w:t>标准</w:t>
      </w:r>
      <w:r>
        <w:rPr>
          <w:rFonts w:hint="eastAsia" w:ascii="宋体" w:hAnsi="宋体" w:eastAsia="宋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业绩报酬计提基准不是预期收益率，不代表产品的未来表现和实际收益，不构成对产品收益的承诺，投资须谨慎。</w:t>
      </w:r>
    </w:p>
    <w:p w14:paraId="71BCEF08">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13</w:t>
      </w:r>
      <w:r>
        <w:rPr>
          <w:rFonts w:hint="eastAsia" w:ascii="宋体" w:hAnsi="宋体" w:eastAsia="宋体" w:cs="宋体"/>
          <w:bCs/>
          <w:color w:val="auto"/>
          <w:sz w:val="18"/>
          <w:szCs w:val="18"/>
          <w:lang w:val="en-US" w:eastAsia="zh-CN" w:bidi="ar-SA"/>
        </w:rPr>
        <w:t>）理财产品利益/理财利益：指投资者因持有理财产品份额，按照销售文件约定取得或有权取得的理财产品管理人分配的理财产品资产。</w:t>
      </w:r>
    </w:p>
    <w:p w14:paraId="1DD4E554">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 xml:space="preserve">14）利益分配：指产品管理人向投资者进行理财产品利益分配。 </w:t>
      </w:r>
    </w:p>
    <w:p w14:paraId="1A9CB27A">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 xml:space="preserve">15）期间分配：指在理财产品终止日（不含当日）前的理财产品利益分配。 </w:t>
      </w:r>
    </w:p>
    <w:p w14:paraId="3ADCAD37">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16）终止分配：指在理财产品终止日当日及之后的理财产品利益分配。</w:t>
      </w:r>
    </w:p>
    <w:p w14:paraId="0E05B060">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17</w:t>
      </w:r>
      <w:r>
        <w:rPr>
          <w:rFonts w:hint="eastAsia" w:ascii="宋体" w:hAnsi="宋体" w:eastAsia="宋体" w:cs="宋体"/>
          <w:bCs/>
          <w:color w:val="auto"/>
          <w:sz w:val="18"/>
          <w:szCs w:val="18"/>
          <w:lang w:val="en-US" w:eastAsia="zh-CN" w:bidi="ar-SA"/>
        </w:rPr>
        <w:t>）认购：指投资者根据本销售文件约定在认购期</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募集期内申请购买理财产品份额的行为。</w:t>
      </w:r>
      <w:r>
        <w:rPr>
          <w:rFonts w:ascii="宋体" w:hAnsi="宋体" w:eastAsia="宋体" w:cs="宋体"/>
          <w:bCs/>
          <w:color w:val="auto"/>
          <w:sz w:val="18"/>
          <w:szCs w:val="18"/>
          <w:lang w:val="en-US" w:eastAsia="zh-CN" w:bidi="ar-SA"/>
        </w:rPr>
        <w:t xml:space="preserve"> </w:t>
      </w:r>
    </w:p>
    <w:p w14:paraId="7E161A4E">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18</w:t>
      </w:r>
      <w:r>
        <w:rPr>
          <w:rFonts w:hint="eastAsia" w:ascii="宋体" w:hAnsi="宋体" w:eastAsia="宋体" w:cs="宋体"/>
          <w:bCs/>
          <w:color w:val="auto"/>
          <w:sz w:val="18"/>
          <w:szCs w:val="18"/>
          <w:lang w:val="en-US" w:eastAsia="zh-CN" w:bidi="ar-SA"/>
        </w:rPr>
        <w:t>）申购：</w:t>
      </w:r>
      <w:r>
        <w:rPr>
          <w:rFonts w:hint="eastAsia" w:ascii="宋体" w:hAnsi="宋体" w:eastAsia="宋体" w:cs="宋体"/>
          <w:color w:val="auto"/>
          <w:sz w:val="18"/>
          <w:szCs w:val="18"/>
          <w:lang w:val="en-US" w:eastAsia="zh-CN" w:bidi="ar-SA"/>
        </w:rPr>
        <w:t>指开放式理财产品成立后，投资者申请购买理财产品份额的行为。</w:t>
      </w:r>
    </w:p>
    <w:p w14:paraId="05490B50">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首次申购，指未进行认购的投资者，在理财产品成立后申请购买理财产品份额的行为。</w:t>
      </w:r>
      <w:r>
        <w:rPr>
          <w:rFonts w:ascii="宋体" w:hAnsi="宋体" w:eastAsia="宋体" w:cs="宋体"/>
          <w:color w:val="auto"/>
          <w:sz w:val="18"/>
          <w:szCs w:val="18"/>
          <w:lang w:val="en-US" w:eastAsia="zh-CN" w:bidi="ar-SA"/>
        </w:rPr>
        <w:t>投资者全额赎回不再持有理财产品份额后再次申购</w:t>
      </w:r>
      <w:r>
        <w:rPr>
          <w:rFonts w:hint="eastAsia" w:ascii="宋体" w:hAnsi="宋体" w:eastAsia="宋体" w:cs="宋体"/>
          <w:color w:val="auto"/>
          <w:sz w:val="18"/>
          <w:szCs w:val="18"/>
          <w:lang w:val="en-US" w:eastAsia="zh-CN" w:bidi="ar-SA"/>
        </w:rPr>
        <w:t>的</w:t>
      </w:r>
      <w:r>
        <w:rPr>
          <w:rFonts w:ascii="宋体" w:hAnsi="宋体" w:eastAsia="宋体" w:cs="宋体"/>
          <w:color w:val="auto"/>
          <w:sz w:val="18"/>
          <w:szCs w:val="18"/>
          <w:lang w:val="en-US" w:eastAsia="zh-CN" w:bidi="ar-SA"/>
        </w:rPr>
        <w:t>，视同首次申购处理。</w:t>
      </w:r>
    </w:p>
    <w:p w14:paraId="3FF539C3">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追加申购，指已经完成认购或首次申购的投资者，在理财产品成立后申请购买理财产品份额的行为。</w:t>
      </w:r>
    </w:p>
    <w:p w14:paraId="34434094">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19</w:t>
      </w:r>
      <w:r>
        <w:rPr>
          <w:rFonts w:hint="eastAsia" w:ascii="宋体" w:hAnsi="宋体" w:eastAsia="宋体" w:cs="宋体"/>
          <w:bCs/>
          <w:color w:val="auto"/>
          <w:sz w:val="18"/>
          <w:szCs w:val="18"/>
          <w:lang w:val="en-US" w:eastAsia="zh-CN" w:bidi="ar-SA"/>
        </w:rPr>
        <w:t>）赎回：</w:t>
      </w:r>
      <w:r>
        <w:rPr>
          <w:rFonts w:hint="eastAsia" w:ascii="宋体" w:hAnsi="宋体" w:eastAsia="宋体" w:cs="宋体"/>
          <w:color w:val="auto"/>
          <w:sz w:val="18"/>
          <w:szCs w:val="18"/>
          <w:lang w:val="en-US" w:eastAsia="zh-CN" w:bidi="ar-SA"/>
        </w:rPr>
        <w:t>指开放式理财产品成立后，投资者申请赎回理财产品份额的行为，即投资者申请将理财产品份额兑换为现金。</w:t>
      </w:r>
    </w:p>
    <w:p w14:paraId="000D4170">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（20）巨额赎回：每个赎回日，本产品的净赎回申请（赎回申请份额总数扣除申购申请份额总数后的余额,下同）之和达到上一赎回日产品总份额的约定百分比，为巨额赎回。</w:t>
      </w:r>
    </w:p>
    <w:p w14:paraId="2637E603">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21）摆动定价机制：是指当开放式公募理财产品（现金管理类理财产品除外）遭遇大额申购或赎回时，通过调整理财产品份额净值的方式，将理财产品调整投资组合的市场冲击成本分配给实际申购、赎回的投资者，从而减少对存量理财产品份额持有人利益的不利影响。</w:t>
      </w:r>
    </w:p>
    <w:p w14:paraId="616F1646">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22）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14:paraId="16AE652A">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23）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14:paraId="2EA2BBA5">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 xml:space="preserve">4. </w:t>
      </w:r>
      <w:r>
        <w:rPr>
          <w:rFonts w:hint="eastAsia" w:ascii="宋体" w:hAnsi="宋体" w:eastAsia="宋体" w:cs="宋体"/>
          <w:b/>
          <w:bCs/>
          <w:color w:val="auto"/>
          <w:sz w:val="18"/>
          <w:szCs w:val="18"/>
          <w:lang w:val="en-US" w:eastAsia="zh-CN" w:bidi="ar-SA"/>
        </w:rPr>
        <w:t>期间与日期</w:t>
      </w:r>
      <w:r>
        <w:rPr>
          <w:rFonts w:ascii="宋体" w:hAnsi="宋体" w:eastAsia="宋体" w:cs="宋体"/>
          <w:b/>
          <w:bCs/>
          <w:color w:val="auto"/>
          <w:sz w:val="18"/>
          <w:szCs w:val="18"/>
          <w:lang w:val="en-US" w:eastAsia="zh-CN" w:bidi="ar-SA"/>
        </w:rPr>
        <w:t xml:space="preserve"> </w:t>
      </w:r>
    </w:p>
    <w:p w14:paraId="5B098A0F">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1）日</w:t>
      </w: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指自然日</w:t>
      </w:r>
      <w:r>
        <w:rPr>
          <w:rFonts w:hint="eastAsia" w:ascii="宋体" w:hAnsi="宋体" w:eastAsia="宋体" w:cs="宋体"/>
          <w:bCs/>
          <w:color w:val="auto"/>
          <w:sz w:val="18"/>
          <w:szCs w:val="18"/>
          <w:lang w:val="en-US" w:eastAsia="zh-CN" w:bidi="ar-SA"/>
        </w:rPr>
        <w:t>。</w:t>
      </w:r>
    </w:p>
    <w:p w14:paraId="4D27E203">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（2）交易日：指银行间市场、证券交易所市场的共同正常开盘交易日。</w:t>
      </w:r>
      <w:r>
        <w:rPr>
          <w:rFonts w:ascii="宋体" w:hAnsi="宋体" w:eastAsia="宋体" w:cs="宋体"/>
          <w:bCs/>
          <w:color w:val="auto"/>
          <w:sz w:val="18"/>
          <w:szCs w:val="18"/>
          <w:lang w:val="en-US" w:eastAsia="zh-CN" w:bidi="ar-SA"/>
        </w:rPr>
        <w:t xml:space="preserve"> </w:t>
      </w:r>
    </w:p>
    <w:p w14:paraId="398A535A">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3）</w:t>
      </w:r>
      <w:r>
        <w:rPr>
          <w:rFonts w:hint="eastAsia" w:ascii="宋体" w:hAnsi="宋体" w:eastAsia="宋体" w:cs="宋体"/>
          <w:bCs/>
          <w:color w:val="auto"/>
          <w:sz w:val="18"/>
          <w:szCs w:val="18"/>
          <w:lang w:val="en-US" w:eastAsia="zh-CN" w:bidi="ar-SA"/>
        </w:rPr>
        <w:t>工作日：指国家法定工作日。</w:t>
      </w:r>
      <w:r>
        <w:rPr>
          <w:rFonts w:ascii="宋体" w:hAnsi="宋体" w:eastAsia="宋体" w:cs="宋体"/>
          <w:bCs/>
          <w:color w:val="auto"/>
          <w:sz w:val="18"/>
          <w:szCs w:val="18"/>
          <w:lang w:val="en-US" w:eastAsia="zh-CN" w:bidi="ar-SA"/>
        </w:rPr>
        <w:t xml:space="preserve"> </w:t>
      </w:r>
    </w:p>
    <w:p w14:paraId="3FA0707B">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4</w:t>
      </w:r>
      <w:r>
        <w:rPr>
          <w:rFonts w:hint="eastAsia" w:ascii="宋体" w:hAnsi="Calibri" w:eastAsia="宋体" w:cs="宋体"/>
          <w:color w:val="auto"/>
          <w:sz w:val="18"/>
          <w:szCs w:val="18"/>
          <w:lang w:val="en-US" w:eastAsia="zh-CN" w:bidi="ar-SA"/>
        </w:rPr>
        <w:t>）成立日：指理财产品开始运作的日期。</w:t>
      </w:r>
    </w:p>
    <w:p w14:paraId="50CFDEF0">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5</w:t>
      </w:r>
      <w:r>
        <w:rPr>
          <w:rFonts w:hint="eastAsia" w:ascii="宋体" w:hAnsi="Calibri" w:eastAsia="宋体" w:cs="宋体"/>
          <w:color w:val="auto"/>
          <w:sz w:val="18"/>
          <w:szCs w:val="18"/>
          <w:lang w:val="en-US" w:eastAsia="zh-CN" w:bidi="ar-SA"/>
        </w:rPr>
        <w:t>）终止日：指理财产品终止的日期。</w:t>
      </w:r>
    </w:p>
    <w:p w14:paraId="67D4A997">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6</w:t>
      </w:r>
      <w:r>
        <w:rPr>
          <w:rFonts w:hint="eastAsia" w:ascii="宋体" w:hAnsi="Calibri" w:eastAsia="宋体" w:cs="宋体"/>
          <w:color w:val="auto"/>
          <w:sz w:val="18"/>
          <w:szCs w:val="18"/>
          <w:lang w:val="en-US" w:eastAsia="zh-CN" w:bidi="ar-SA"/>
        </w:rPr>
        <w:t>）估值日：指产品管理人对理财产品项下资产进行估值的日期。</w:t>
      </w:r>
    </w:p>
    <w:p w14:paraId="49F3340A">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7</w:t>
      </w:r>
      <w:r>
        <w:rPr>
          <w:rFonts w:hint="eastAsia" w:ascii="宋体" w:hAnsi="Calibri" w:eastAsia="宋体" w:cs="宋体"/>
          <w:color w:val="auto"/>
          <w:sz w:val="18"/>
          <w:szCs w:val="18"/>
          <w:lang w:val="en-US" w:eastAsia="zh-CN" w:bidi="ar-SA"/>
        </w:rPr>
        <w:t>）分配基准日：指本产品管理人以该</w:t>
      </w:r>
      <w:r>
        <w:rPr>
          <w:rFonts w:ascii="宋体" w:hAnsi="宋体" w:eastAsia="宋体" w:cs="宋体"/>
          <w:color w:val="auto"/>
          <w:sz w:val="18"/>
          <w:szCs w:val="18"/>
          <w:lang w:val="en-US" w:eastAsia="zh-CN" w:bidi="ar-SA"/>
        </w:rPr>
        <w:t>日</w:t>
      </w:r>
      <w:r>
        <w:rPr>
          <w:rFonts w:hint="eastAsia" w:ascii="宋体" w:hAnsi="宋体" w:eastAsia="宋体" w:cs="宋体"/>
          <w:color w:val="auto"/>
          <w:sz w:val="18"/>
          <w:szCs w:val="18"/>
          <w:lang w:val="en-US" w:eastAsia="zh-CN" w:bidi="ar-SA"/>
        </w:rPr>
        <w:t>日</w:t>
      </w:r>
      <w:r>
        <w:rPr>
          <w:rFonts w:ascii="宋体" w:hAnsi="宋体" w:eastAsia="宋体" w:cs="宋体"/>
          <w:color w:val="auto"/>
          <w:sz w:val="18"/>
          <w:szCs w:val="18"/>
          <w:lang w:val="en-US" w:eastAsia="zh-CN" w:bidi="ar-SA"/>
        </w:rPr>
        <w:t>终</w:t>
      </w:r>
      <w:r>
        <w:rPr>
          <w:rFonts w:hint="eastAsia" w:ascii="宋体" w:hAnsi="宋体" w:eastAsia="宋体" w:cs="宋体"/>
          <w:color w:val="auto"/>
          <w:sz w:val="18"/>
          <w:szCs w:val="18"/>
          <w:lang w:val="en-US" w:eastAsia="zh-CN" w:bidi="ar-SA"/>
        </w:rPr>
        <w:t>产品份额净值</w:t>
      </w:r>
      <w:r>
        <w:rPr>
          <w:rFonts w:ascii="宋体" w:hAnsi="宋体" w:eastAsia="宋体" w:cs="宋体"/>
          <w:color w:val="auto"/>
          <w:sz w:val="18"/>
          <w:szCs w:val="18"/>
          <w:lang w:val="en-US" w:eastAsia="zh-CN" w:bidi="ar-SA"/>
        </w:rPr>
        <w:t>计算</w:t>
      </w:r>
      <w:r>
        <w:rPr>
          <w:rFonts w:hint="eastAsia" w:ascii="宋体" w:hAnsi="宋体" w:eastAsia="宋体" w:cs="宋体"/>
          <w:color w:val="auto"/>
          <w:sz w:val="18"/>
          <w:szCs w:val="18"/>
          <w:lang w:val="en-US" w:eastAsia="zh-CN" w:bidi="ar-SA"/>
        </w:rPr>
        <w:t>并确定可供分配的</w:t>
      </w:r>
      <w:r>
        <w:rPr>
          <w:rFonts w:ascii="宋体" w:hAnsi="宋体" w:eastAsia="宋体" w:cs="宋体"/>
          <w:color w:val="auto"/>
          <w:sz w:val="18"/>
          <w:szCs w:val="18"/>
          <w:lang w:val="en-US" w:eastAsia="zh-CN" w:bidi="ar-SA"/>
        </w:rPr>
        <w:t>投资</w:t>
      </w:r>
      <w:r>
        <w:rPr>
          <w:rFonts w:hint="eastAsia" w:ascii="宋体" w:hAnsi="宋体" w:eastAsia="宋体" w:cs="宋体"/>
          <w:color w:val="auto"/>
          <w:sz w:val="18"/>
          <w:szCs w:val="18"/>
          <w:lang w:val="en-US" w:eastAsia="zh-CN" w:bidi="ar-SA"/>
        </w:rPr>
        <w:t>期间</w:t>
      </w:r>
      <w:r>
        <w:rPr>
          <w:rFonts w:ascii="宋体" w:hAnsi="宋体" w:eastAsia="宋体" w:cs="宋体"/>
          <w:color w:val="auto"/>
          <w:sz w:val="18"/>
          <w:szCs w:val="18"/>
          <w:lang w:val="en-US" w:eastAsia="zh-CN" w:bidi="ar-SA"/>
        </w:rPr>
        <w:t>理财利益</w:t>
      </w:r>
      <w:r>
        <w:rPr>
          <w:rFonts w:hint="eastAsia" w:ascii="宋体" w:hAnsi="宋体" w:eastAsia="宋体" w:cs="宋体"/>
          <w:color w:val="auto"/>
          <w:sz w:val="18"/>
          <w:szCs w:val="18"/>
          <w:lang w:val="en-US" w:eastAsia="zh-CN" w:bidi="ar-SA"/>
        </w:rPr>
        <w:t>的日期。</w:t>
      </w:r>
    </w:p>
    <w:p w14:paraId="4044B16C">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8</w:t>
      </w:r>
      <w:r>
        <w:rPr>
          <w:rFonts w:hint="eastAsia" w:ascii="宋体" w:hAnsi="宋体" w:eastAsia="宋体" w:cs="宋体"/>
          <w:bCs/>
          <w:color w:val="auto"/>
          <w:sz w:val="18"/>
          <w:szCs w:val="18"/>
          <w:lang w:val="en-US" w:eastAsia="zh-CN" w:bidi="ar-SA"/>
        </w:rPr>
        <w:t>）分配日：指</w:t>
      </w:r>
      <w:r>
        <w:rPr>
          <w:rFonts w:ascii="宋体" w:hAnsi="宋体" w:eastAsia="宋体" w:cs="宋体"/>
          <w:bCs/>
          <w:color w:val="auto"/>
          <w:sz w:val="18"/>
          <w:szCs w:val="18"/>
          <w:lang w:val="en-US" w:eastAsia="zh-CN" w:bidi="ar-SA"/>
        </w:rPr>
        <w:t>产品管理人向投资者进行理财产品利益分配</w:t>
      </w:r>
      <w:r>
        <w:rPr>
          <w:rFonts w:hint="eastAsia" w:ascii="宋体" w:hAnsi="宋体" w:eastAsia="宋体" w:cs="宋体"/>
          <w:bCs/>
          <w:color w:val="auto"/>
          <w:sz w:val="18"/>
          <w:szCs w:val="18"/>
          <w:lang w:val="en-US" w:eastAsia="zh-CN" w:bidi="ar-SA"/>
        </w:rPr>
        <w:t>的日期。</w:t>
      </w:r>
    </w:p>
    <w:p w14:paraId="647784CE">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9</w:t>
      </w:r>
      <w:r>
        <w:rPr>
          <w:rFonts w:hint="eastAsia" w:ascii="宋体" w:hAnsi="宋体" w:eastAsia="宋体" w:cs="宋体"/>
          <w:bCs/>
          <w:color w:val="auto"/>
          <w:sz w:val="18"/>
          <w:szCs w:val="18"/>
          <w:lang w:val="en-US" w:eastAsia="zh-CN" w:bidi="ar-SA"/>
        </w:rPr>
        <w:t>）募集期：指理财产品成立前，理财产品管理人接受理财产品认购的时间。</w:t>
      </w:r>
    </w:p>
    <w:p w14:paraId="0FA730F4">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（10）持有期：指自产品成立日/申购确认日起，投资者持有该产品份额的期间。</w:t>
      </w:r>
    </w:p>
    <w:p w14:paraId="5F94F680">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）★最短持有期:指自产品成立日/申购确认日起，投资者持有的产品份额被锁定持有的最短期间。</w:t>
      </w:r>
    </w:p>
    <w:p w14:paraId="4ED5B691">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（12）产品存续期：指自理财产品成立日起，至理财产品终止日的期间。</w:t>
      </w:r>
    </w:p>
    <w:p w14:paraId="2F068A8D">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（13）申购申请日：指投资者做出申购申请的当日。</w:t>
      </w:r>
    </w:p>
    <w:p w14:paraId="069ECBC2">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（14）赎回申请日：指投资者做出赎回申请的当日。</w:t>
      </w:r>
    </w:p>
    <w:p w14:paraId="45A78352">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5）申购日：指产品管理人接受投资者申购申请的当日。</w:t>
      </w:r>
    </w:p>
    <w:p w14:paraId="02449EFE">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6）赎回日：指产品管理人接受投资者赎回申请的当日。</w:t>
      </w:r>
    </w:p>
    <w:p w14:paraId="279599ED">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7）申购确认日：指产品管理人确认投资者申购</w:t>
      </w:r>
      <w:r>
        <w:rPr>
          <w:rFonts w:ascii="宋体" w:hAnsi="宋体" w:eastAsia="宋体" w:cs="宋体"/>
          <w:bCs/>
          <w:color w:val="auto"/>
          <w:sz w:val="18"/>
          <w:szCs w:val="18"/>
          <w:lang w:val="en-US" w:eastAsia="zh-CN" w:bidi="ar-SA"/>
        </w:rPr>
        <w:t>申请有效性</w:t>
      </w:r>
      <w:r>
        <w:rPr>
          <w:rFonts w:hint="eastAsia" w:ascii="宋体" w:hAnsi="宋体" w:eastAsia="宋体" w:cs="宋体"/>
          <w:bCs/>
          <w:color w:val="auto"/>
          <w:sz w:val="18"/>
          <w:szCs w:val="18"/>
          <w:lang w:val="en-US" w:eastAsia="zh-CN" w:bidi="ar-SA"/>
        </w:rPr>
        <w:t>的当日。</w:t>
      </w:r>
    </w:p>
    <w:p w14:paraId="452EF585">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8）赎回确认日：指产品管理人确认投资者赎回</w:t>
      </w:r>
      <w:r>
        <w:rPr>
          <w:rFonts w:ascii="宋体" w:hAnsi="宋体" w:eastAsia="宋体" w:cs="宋体"/>
          <w:bCs/>
          <w:color w:val="auto"/>
          <w:sz w:val="18"/>
          <w:szCs w:val="18"/>
          <w:lang w:val="en-US" w:eastAsia="zh-CN" w:bidi="ar-SA"/>
        </w:rPr>
        <w:t>申请有效性</w:t>
      </w:r>
      <w:r>
        <w:rPr>
          <w:rFonts w:hint="eastAsia" w:ascii="宋体" w:hAnsi="宋体" w:eastAsia="宋体" w:cs="宋体"/>
          <w:bCs/>
          <w:color w:val="auto"/>
          <w:sz w:val="18"/>
          <w:szCs w:val="18"/>
          <w:lang w:val="en-US" w:eastAsia="zh-CN" w:bidi="ar-SA"/>
        </w:rPr>
        <w:t>的当日。</w:t>
      </w:r>
    </w:p>
    <w:p w14:paraId="4BEC4164">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w:t>
      </w:r>
      <w:r>
        <w:rPr>
          <w:rFonts w:ascii="宋体" w:hAnsi="宋体" w:eastAsia="宋体" w:cs="宋体"/>
          <w:bCs/>
          <w:color w:val="auto"/>
          <w:sz w:val="18"/>
          <w:szCs w:val="18"/>
          <w:lang w:val="en-US" w:eastAsia="zh-CN" w:bidi="ar-SA"/>
        </w:rPr>
        <w:t>9</w:t>
      </w:r>
      <w:r>
        <w:rPr>
          <w:rFonts w:hint="eastAsia" w:ascii="宋体" w:hAnsi="宋体" w:eastAsia="宋体" w:cs="宋体"/>
          <w:bCs/>
          <w:color w:val="auto"/>
          <w:sz w:val="18"/>
          <w:szCs w:val="18"/>
          <w:lang w:val="en-US" w:eastAsia="zh-CN" w:bidi="ar-SA"/>
        </w:rPr>
        <w:t>）清算期：指自本理财产品终止日至投资者理财利益到账日之间的期间。</w:t>
      </w:r>
    </w:p>
    <w:p w14:paraId="121B80CF">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 xml:space="preserve">5. </w:t>
      </w:r>
      <w:r>
        <w:rPr>
          <w:rFonts w:hint="eastAsia" w:ascii="宋体" w:hAnsi="宋体" w:eastAsia="宋体" w:cs="宋体"/>
          <w:b/>
          <w:bCs/>
          <w:color w:val="auto"/>
          <w:sz w:val="18"/>
          <w:szCs w:val="18"/>
          <w:lang w:val="en-US" w:eastAsia="zh-CN" w:bidi="ar-SA"/>
        </w:rPr>
        <w:t>费用</w:t>
      </w:r>
    </w:p>
    <w:p w14:paraId="4C65D010">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w:t>
      </w:r>
      <w:r>
        <w:rPr>
          <w:rFonts w:hint="eastAsia" w:ascii="黑体" w:hAnsi="黑体" w:eastAsia="黑体" w:cs="仿宋_GB2312"/>
          <w:bCs/>
          <w:color w:val="auto"/>
          <w:sz w:val="18"/>
          <w:szCs w:val="18"/>
          <w:lang w:val="en-US" w:eastAsia="zh-CN" w:bidi="ar-SA"/>
        </w:rPr>
        <w:t>★</w:t>
      </w:r>
      <w:r>
        <w:rPr>
          <w:rFonts w:ascii="宋体" w:hAnsi="宋体" w:eastAsia="宋体" w:cs="宋体"/>
          <w:color w:val="000000"/>
          <w:sz w:val="18"/>
          <w:szCs w:val="18"/>
          <w:lang w:val="en-US" w:eastAsia="zh-CN" w:bidi="ar-SA"/>
        </w:rPr>
        <w:t>认购费：</w:t>
      </w:r>
      <w:r>
        <w:rPr>
          <w:rFonts w:hint="eastAsia" w:ascii="宋体" w:hAnsi="宋体" w:eastAsia="宋体" w:cs="宋体"/>
          <w:color w:val="000000"/>
          <w:sz w:val="18"/>
          <w:szCs w:val="18"/>
          <w:lang w:val="en-US" w:eastAsia="zh-CN" w:bidi="ar-SA"/>
        </w:rPr>
        <w:t>指</w:t>
      </w:r>
      <w:r>
        <w:rPr>
          <w:rFonts w:ascii="宋体" w:hAnsi="宋体" w:eastAsia="宋体" w:cs="宋体"/>
          <w:color w:val="000000"/>
          <w:sz w:val="18"/>
          <w:szCs w:val="18"/>
          <w:lang w:val="en-US" w:eastAsia="zh-CN" w:bidi="ar-SA"/>
        </w:rPr>
        <w:t>投资者认购产品时</w:t>
      </w:r>
      <w:r>
        <w:rPr>
          <w:rFonts w:hint="eastAsia" w:ascii="宋体" w:hAnsi="宋体" w:eastAsia="宋体" w:cs="宋体"/>
          <w:color w:val="000000"/>
          <w:sz w:val="18"/>
          <w:szCs w:val="18"/>
          <w:lang w:val="en-US" w:eastAsia="zh-CN" w:bidi="ar-SA"/>
        </w:rPr>
        <w:t>需缴纳的费用。</w:t>
      </w:r>
    </w:p>
    <w:p w14:paraId="76B56CF2">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（2）</w:t>
      </w:r>
      <w:r>
        <w:rPr>
          <w:rFonts w:hint="eastAsia" w:ascii="黑体" w:hAnsi="黑体" w:eastAsia="黑体" w:cs="仿宋_GB2312"/>
          <w:bCs/>
          <w:sz w:val="18"/>
          <w:szCs w:val="18"/>
        </w:rPr>
        <w:t>★</w:t>
      </w:r>
      <w:r>
        <w:rPr>
          <w:rFonts w:ascii="宋体" w:hAnsi="宋体" w:cs="宋体"/>
          <w:kern w:val="0"/>
          <w:sz w:val="18"/>
          <w:szCs w:val="18"/>
        </w:rPr>
        <w:t>申购费：</w:t>
      </w:r>
      <w:r>
        <w:rPr>
          <w:rFonts w:hint="eastAsia" w:ascii="宋体" w:hAnsi="宋体" w:cs="宋体"/>
          <w:kern w:val="0"/>
          <w:sz w:val="18"/>
          <w:szCs w:val="18"/>
        </w:rPr>
        <w:t>指</w:t>
      </w:r>
      <w:r>
        <w:rPr>
          <w:rFonts w:ascii="宋体" w:hAnsi="宋体" w:cs="宋体"/>
          <w:kern w:val="0"/>
          <w:sz w:val="18"/>
          <w:szCs w:val="18"/>
        </w:rPr>
        <w:t>投资者申购产品时</w:t>
      </w:r>
      <w:r>
        <w:rPr>
          <w:rFonts w:hint="eastAsia" w:ascii="宋体" w:hAnsi="宋体" w:cs="宋体"/>
          <w:kern w:val="0"/>
          <w:sz w:val="18"/>
          <w:szCs w:val="18"/>
        </w:rPr>
        <w:t>需缴纳的费用。</w:t>
      </w:r>
    </w:p>
    <w:p w14:paraId="2A265220">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（3）</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赎回费：指投资者赎回产品时需缴纳的费用。</w:t>
      </w:r>
    </w:p>
    <w:p w14:paraId="5E46FF2E">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（4）</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销售服务费：指因理财产品销售行为产生的费用。</w:t>
      </w:r>
    </w:p>
    <w:p w14:paraId="5FB44F80">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（5）</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投资管理费：指因理财产品投资管理产生的费用。</w:t>
      </w:r>
    </w:p>
    <w:p w14:paraId="243DD3D4">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（6）</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产品托管费：指因理财产品进行托管产生的费用。</w:t>
      </w:r>
    </w:p>
    <w:p w14:paraId="22ADF21A">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color w:val="000000"/>
          <w:sz w:val="18"/>
          <w:szCs w:val="18"/>
          <w:lang w:val="en-US" w:eastAsia="zh-CN" w:bidi="ar-SA"/>
        </w:rPr>
        <w:t>（7）</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超额业绩报酬/业绩报酬：指产品管理人依照理财产品销售</w:t>
      </w:r>
      <w:r>
        <w:rPr>
          <w:rFonts w:ascii="宋体" w:hAnsi="宋体" w:eastAsia="宋体" w:cs="宋体"/>
          <w:color w:val="000000"/>
          <w:sz w:val="18"/>
          <w:szCs w:val="18"/>
          <w:lang w:val="en-US" w:eastAsia="zh-CN" w:bidi="ar-SA"/>
        </w:rPr>
        <w:t>文件</w:t>
      </w:r>
      <w:r>
        <w:rPr>
          <w:rFonts w:hint="eastAsia" w:ascii="宋体" w:hAnsi="宋体" w:eastAsia="宋体" w:cs="宋体"/>
          <w:color w:val="000000"/>
          <w:sz w:val="18"/>
          <w:szCs w:val="18"/>
          <w:lang w:val="en-US" w:eastAsia="zh-CN" w:bidi="ar-SA"/>
        </w:rPr>
        <w:t>约定规则收取的浮动性质的管理费用。</w:t>
      </w:r>
    </w:p>
    <w:p w14:paraId="4B9B831B">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 xml:space="preserve">6. </w:t>
      </w:r>
      <w:r>
        <w:rPr>
          <w:rFonts w:hint="eastAsia" w:ascii="宋体" w:hAnsi="宋体" w:eastAsia="宋体" w:cs="宋体"/>
          <w:b/>
          <w:bCs/>
          <w:color w:val="auto"/>
          <w:sz w:val="18"/>
          <w:szCs w:val="18"/>
          <w:lang w:val="en-US" w:eastAsia="zh-CN" w:bidi="ar-SA"/>
        </w:rPr>
        <w:t>其他</w:t>
      </w:r>
      <w:r>
        <w:rPr>
          <w:rFonts w:ascii="宋体" w:hAnsi="宋体" w:eastAsia="宋体" w:cs="宋体"/>
          <w:b/>
          <w:bCs/>
          <w:color w:val="auto"/>
          <w:sz w:val="18"/>
          <w:szCs w:val="18"/>
          <w:lang w:val="en-US" w:eastAsia="zh-CN" w:bidi="ar-SA"/>
        </w:rPr>
        <w:t xml:space="preserve"> </w:t>
      </w:r>
    </w:p>
    <w:p w14:paraId="292F48D9">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元：指人民币元。</w:t>
      </w:r>
      <w:r>
        <w:rPr>
          <w:rFonts w:ascii="宋体" w:hAnsi="宋体" w:eastAsia="宋体" w:cs="宋体"/>
          <w:bCs/>
          <w:color w:val="auto"/>
          <w:sz w:val="18"/>
          <w:szCs w:val="18"/>
          <w:lang w:val="en-US" w:eastAsia="zh-CN" w:bidi="ar-SA"/>
        </w:rPr>
        <w:t xml:space="preserve"> </w:t>
      </w:r>
    </w:p>
    <w:p w14:paraId="5B6182B2">
      <w:pPr>
        <w:spacing w:line="360" w:lineRule="auto"/>
        <w:ind w:firstLine="360" w:firstLineChars="200"/>
        <w:rPr>
          <w:rFonts w:ascii="宋体" w:hAnsi="宋体" w:cs="宋体"/>
          <w:color w:val="000000"/>
          <w:kern w:val="0"/>
          <w:sz w:val="28"/>
          <w:szCs w:val="2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sz w:val="18"/>
          <w:szCs w:val="18"/>
        </w:rPr>
        <w:t>）适用法律：指在理财销售文件签署日和履行过程中，适用中华人民共和国法律（为本销售文件之目的，在此不包括香港、澳门特别行政区和台湾地区的法律），包括中国任何立法机构、政府部门、银行业</w:t>
      </w:r>
      <w:r>
        <w:rPr>
          <w:rFonts w:ascii="宋体" w:hAnsi="宋体" w:eastAsia="宋体" w:cs="宋体"/>
          <w:bCs/>
          <w:sz w:val="18"/>
          <w:szCs w:val="18"/>
        </w:rPr>
        <w:t>理财登记托管中心、</w:t>
      </w:r>
      <w:r>
        <w:rPr>
          <w:rFonts w:hint="eastAsia" w:ascii="宋体" w:hAnsi="宋体" w:eastAsia="宋体" w:cs="宋体"/>
          <w:bCs/>
          <w:sz w:val="18"/>
          <w:szCs w:val="18"/>
        </w:rPr>
        <w:t>银行间交易商协会、证券交易所、证券登记结算机构、相关</w:t>
      </w:r>
      <w:r>
        <w:rPr>
          <w:rFonts w:ascii="宋体" w:hAnsi="宋体" w:eastAsia="宋体" w:cs="宋体"/>
          <w:bCs/>
          <w:sz w:val="18"/>
          <w:szCs w:val="18"/>
        </w:rPr>
        <w:t>行</w:t>
      </w:r>
      <w:r>
        <w:rPr>
          <w:rFonts w:hint="eastAsia" w:ascii="宋体" w:hAnsi="宋体" w:eastAsia="宋体" w:cs="宋体"/>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ascii="Calibri" w:hAnsi="宋体" w:cs="宋体"/>
          <w:sz w:val="28"/>
          <w:szCs w:val="28"/>
        </w:rPr>
        <w:br w:type="page"/>
      </w:r>
    </w:p>
    <w:p w14:paraId="215E201E">
      <w:pPr>
        <w:keepNext/>
        <w:keepLines/>
        <w:widowControl w:val="0"/>
        <w:spacing w:before="0" w:after="0" w:line="360" w:lineRule="auto"/>
        <w:jc w:val="center"/>
        <w:outlineLvl w:val="0"/>
        <w:rPr>
          <w:rFonts w:ascii="Calibri" w:hAnsi="宋体" w:eastAsia="宋体" w:cs="宋体"/>
          <w:b/>
          <w:bCs/>
          <w:kern w:val="44"/>
          <w:sz w:val="28"/>
          <w:szCs w:val="28"/>
          <w:lang w:val="en-US" w:eastAsia="zh-CN" w:bidi="ar-SA"/>
        </w:rPr>
      </w:pPr>
      <w:bookmarkStart w:id="78" w:name="_Toc92377131"/>
      <w:bookmarkStart w:id="79" w:name="_Toc79154665"/>
      <w:bookmarkStart w:id="80" w:name="_Toc30087"/>
      <w:bookmarkStart w:id="81" w:name="_Toc1693"/>
      <w:bookmarkStart w:id="82" w:name="_Toc14559"/>
      <w:r>
        <w:rPr>
          <w:rFonts w:hint="eastAsia" w:ascii="Calibri" w:hAnsi="宋体" w:eastAsia="宋体" w:cs="宋体"/>
          <w:b/>
          <w:bCs/>
          <w:kern w:val="44"/>
          <w:sz w:val="28"/>
          <w:szCs w:val="28"/>
          <w:lang w:val="en-US" w:eastAsia="zh-CN" w:bidi="ar-SA"/>
        </w:rPr>
        <w:t>第二条  理财产品基本情况</w:t>
      </w:r>
      <w:bookmarkEnd w:id="78"/>
      <w:bookmarkEnd w:id="79"/>
      <w:r>
        <w:rPr>
          <w:rFonts w:hint="eastAsia" w:ascii="Calibri" w:hAnsi="宋体" w:eastAsia="宋体" w:cs="宋体"/>
          <w:b/>
          <w:bCs/>
          <w:kern w:val="44"/>
          <w:sz w:val="28"/>
          <w:szCs w:val="28"/>
          <w:lang w:val="en-US" w:eastAsia="zh-CN" w:bidi="ar-SA"/>
        </w:rPr>
        <w:t xml:space="preserve"> </w:t>
      </w:r>
      <w:bookmarkEnd w:id="80"/>
      <w:bookmarkEnd w:id="81"/>
      <w:bookmarkEnd w:id="82"/>
    </w:p>
    <w:tbl>
      <w:tblPr>
        <w:tblStyle w:val="7"/>
        <w:tblW w:w="964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45"/>
        <w:gridCol w:w="7704"/>
      </w:tblGrid>
      <w:tr w14:paraId="7CD368A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1" w:hRule="atLeast"/>
          <w:jc w:val="center"/>
        </w:trPr>
        <w:tc>
          <w:tcPr>
            <w:tcW w:w="1945" w:type="dxa"/>
            <w:shd w:val="solid" w:color="FFFFFF" w:fill="FFFFFF"/>
          </w:tcPr>
          <w:p w14:paraId="03A7653C">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cs="宋体"/>
                <w:b/>
                <w:bCs/>
                <w:sz w:val="18"/>
                <w:szCs w:val="18"/>
              </w:rPr>
              <w:t>理财产品名称</w:t>
            </w:r>
          </w:p>
        </w:tc>
        <w:tc>
          <w:tcPr>
            <w:tcW w:w="7704" w:type="dxa"/>
            <w:shd w:val="solid" w:color="FFFFFF" w:fill="FFFFFF"/>
          </w:tcPr>
          <w:p w14:paraId="678A828C">
            <w:pPr>
              <w:spacing w:line="360" w:lineRule="auto"/>
              <w:jc w:val="left"/>
              <w:rPr>
                <w:rFonts w:ascii="宋体" w:hAnsi="宋体" w:cs="宋体"/>
                <w:bCs/>
                <w:sz w:val="18"/>
                <w:szCs w:val="18"/>
              </w:rPr>
            </w:pPr>
            <w:r>
              <w:rPr>
                <w:rFonts w:hint="eastAsia" w:ascii="宋体" w:hAnsi="宋体" w:cs="宋体"/>
                <w:sz w:val="18"/>
                <w:szCs w:val="18"/>
              </w:rPr>
              <w:t>【</w:t>
            </w:r>
            <w:r>
              <w:rPr>
                <w:rFonts w:hint="eastAsia" w:ascii="宋体" w:hAnsi="宋体" w:cs="宋体"/>
                <w:sz w:val="18"/>
                <w:szCs w:val="18"/>
                <w:lang w:eastAsia="zh-CN"/>
              </w:rPr>
              <w:t>兴银理财稳添利周盈81号(7天最短持有期)日开固收类理财产品</w:t>
            </w:r>
            <w:r>
              <w:rPr>
                <w:rFonts w:hint="eastAsia" w:ascii="宋体" w:hAnsi="宋体" w:cs="宋体"/>
                <w:sz w:val="18"/>
                <w:szCs w:val="18"/>
              </w:rPr>
              <w:t>】</w:t>
            </w:r>
          </w:p>
        </w:tc>
      </w:tr>
      <w:tr w14:paraId="01493B6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945" w:type="dxa"/>
            <w:shd w:val="solid" w:color="FFFFFF" w:fill="FFFFFF"/>
          </w:tcPr>
          <w:p w14:paraId="4A7A59E4">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cs="宋体"/>
                <w:b/>
                <w:bCs/>
                <w:sz w:val="18"/>
                <w:szCs w:val="18"/>
              </w:rPr>
              <w:t>产品销售名称</w:t>
            </w:r>
          </w:p>
        </w:tc>
        <w:tc>
          <w:tcPr>
            <w:tcW w:w="7704" w:type="dxa"/>
            <w:shd w:val="solid" w:color="FFFFFF" w:fill="FFFFFF"/>
          </w:tcPr>
          <w:p w14:paraId="2B579D31">
            <w:pPr>
              <w:spacing w:line="360" w:lineRule="auto"/>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【稳添利周盈81号B】（适用【B】类份额）</w:t>
            </w:r>
          </w:p>
        </w:tc>
      </w:tr>
      <w:tr w14:paraId="4BF9F6A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tcPr>
          <w:p w14:paraId="7E01FF77">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cs="宋体"/>
                <w:b/>
                <w:bCs/>
                <w:sz w:val="18"/>
                <w:szCs w:val="18"/>
              </w:rPr>
              <w:t>产品登记编码</w:t>
            </w:r>
          </w:p>
        </w:tc>
        <w:tc>
          <w:tcPr>
            <w:tcW w:w="7704" w:type="dxa"/>
            <w:shd w:val="solid" w:color="FFFFFF" w:fill="FFFFFF"/>
          </w:tcPr>
          <w:p w14:paraId="3C7BA039">
            <w:pPr>
              <w:spacing w:line="360" w:lineRule="auto"/>
              <w:jc w:val="left"/>
              <w:rPr>
                <w:rFonts w:ascii="宋体" w:hAnsi="宋体" w:cs="宋体"/>
                <w:b/>
                <w:sz w:val="18"/>
                <w:szCs w:val="18"/>
              </w:rPr>
            </w:pPr>
            <w:r>
              <w:rPr>
                <w:rFonts w:hint="eastAsia" w:ascii="宋体" w:hAnsi="宋体" w:cs="宋体"/>
                <w:sz w:val="18"/>
                <w:szCs w:val="18"/>
              </w:rPr>
              <w:t>【</w:t>
            </w:r>
            <w:r>
              <w:rPr>
                <w:rFonts w:hint="eastAsia" w:ascii="宋体" w:hAnsi="宋体" w:cs="宋体"/>
                <w:sz w:val="18"/>
                <w:szCs w:val="18"/>
                <w:lang w:eastAsia="zh-CN"/>
              </w:rPr>
              <w:t>Z7002025001842</w:t>
            </w:r>
            <w:r>
              <w:rPr>
                <w:rFonts w:hint="eastAsia" w:ascii="宋体" w:hAnsi="宋体" w:cs="宋体"/>
                <w:sz w:val="18"/>
                <w:szCs w:val="18"/>
              </w:rPr>
              <w:t>】</w:t>
            </w:r>
            <w:r>
              <w:rPr>
                <w:rFonts w:hint="eastAsia" w:ascii="宋体" w:hAnsi="宋体" w:eastAsia="宋体" w:cs="宋体"/>
                <w:sz w:val="18"/>
                <w:szCs w:val="18"/>
              </w:rPr>
              <w:t>投资者可依据理财产品登记编码在中国理财网</w:t>
            </w:r>
            <w:r>
              <w:rPr>
                <w:rFonts w:ascii="宋体" w:hAnsi="宋体" w:eastAsia="宋体" w:cs="宋体"/>
                <w:sz w:val="18"/>
                <w:szCs w:val="18"/>
              </w:rPr>
              <w:t>(</w:t>
            </w:r>
            <w:r>
              <w:rPr>
                <w:rFonts w:ascii="Calibri" w:hAnsi="Calibri" w:cs="宋体"/>
                <w:szCs w:val="22"/>
              </w:rPr>
              <w:fldChar w:fldCharType="begin"/>
            </w:r>
            <w:r>
              <w:rPr>
                <w:rFonts w:ascii="Calibri" w:hAnsi="Calibri" w:cs="宋体"/>
                <w:szCs w:val="22"/>
              </w:rPr>
              <w:instrText xml:space="preserve"> HYPERLINK "http://www.chinawealth.com.cn" </w:instrText>
            </w:r>
            <w:r>
              <w:rPr>
                <w:rFonts w:ascii="Calibri" w:hAnsi="Calibri" w:cs="宋体"/>
                <w:szCs w:val="22"/>
              </w:rPr>
              <w:fldChar w:fldCharType="separate"/>
            </w:r>
            <w:r>
              <w:rPr>
                <w:rFonts w:ascii="宋体" w:hAnsi="宋体" w:eastAsia="宋体" w:cs="宋体"/>
                <w:sz w:val="18"/>
                <w:szCs w:val="18"/>
              </w:rPr>
              <w:t>www.chinawealth.com.cn</w:t>
            </w:r>
            <w:r>
              <w:rPr>
                <w:rFonts w:ascii="宋体" w:hAnsi="宋体" w:eastAsia="宋体" w:cs="宋体"/>
                <w:sz w:val="18"/>
                <w:szCs w:val="18"/>
              </w:rPr>
              <w:fldChar w:fldCharType="end"/>
            </w:r>
            <w:r>
              <w:rPr>
                <w:rFonts w:ascii="宋体" w:hAnsi="宋体" w:eastAsia="宋体" w:cs="宋体"/>
                <w:sz w:val="18"/>
                <w:szCs w:val="18"/>
              </w:rPr>
              <w:t>）</w:t>
            </w:r>
            <w:r>
              <w:rPr>
                <w:rFonts w:hint="eastAsia" w:ascii="宋体" w:hAnsi="宋体" w:eastAsia="宋体" w:cs="宋体"/>
                <w:sz w:val="18"/>
                <w:szCs w:val="18"/>
              </w:rPr>
              <w:t>查询产品信息。</w:t>
            </w:r>
          </w:p>
        </w:tc>
      </w:tr>
      <w:tr w14:paraId="01296A1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vAlign w:val="center"/>
          </w:tcPr>
          <w:p w14:paraId="7C5F5119">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cs="宋体"/>
                <w:b/>
                <w:bCs/>
                <w:sz w:val="18"/>
                <w:szCs w:val="18"/>
              </w:rPr>
              <w:t>产品代码</w:t>
            </w:r>
          </w:p>
        </w:tc>
        <w:tc>
          <w:tcPr>
            <w:tcW w:w="7704" w:type="dxa"/>
            <w:shd w:val="solid" w:color="FFFFFF" w:fill="FFFFFF"/>
            <w:vAlign w:val="center"/>
          </w:tcPr>
          <w:p w14:paraId="6D898317">
            <w:pPr>
              <w:spacing w:line="360" w:lineRule="auto"/>
              <w:jc w:val="left"/>
              <w:rPr>
                <w:rFonts w:ascii="宋体" w:hAnsi="宋体" w:cs="宋体"/>
                <w:bCs/>
                <w:sz w:val="18"/>
                <w:szCs w:val="18"/>
              </w:rPr>
            </w:pPr>
            <w:r>
              <w:rPr>
                <w:rFonts w:ascii="宋体" w:hAnsi="宋体" w:cs="宋体"/>
                <w:bCs/>
                <w:sz w:val="18"/>
                <w:szCs w:val="18"/>
              </w:rPr>
              <w:t>【</w:t>
            </w:r>
            <w:r>
              <w:rPr>
                <w:rFonts w:hint="eastAsia" w:ascii="宋体" w:hAnsi="宋体" w:cs="宋体"/>
                <w:bCs/>
                <w:sz w:val="18"/>
                <w:szCs w:val="18"/>
                <w:lang w:eastAsia="zh-CN"/>
              </w:rPr>
              <w:t>9K410810</w:t>
            </w:r>
            <w:r>
              <w:rPr>
                <w:rFonts w:hint="eastAsia" w:ascii="宋体" w:hAnsi="宋体" w:cs="宋体"/>
                <w:bCs/>
                <w:sz w:val="18"/>
                <w:szCs w:val="18"/>
              </w:rPr>
              <w:t>】</w:t>
            </w:r>
          </w:p>
        </w:tc>
      </w:tr>
      <w:tr w14:paraId="2512392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tcPr>
          <w:p w14:paraId="26CDC509">
            <w:pPr>
              <w:spacing w:line="360" w:lineRule="auto"/>
              <w:jc w:val="left"/>
              <w:rPr>
                <w:rFonts w:ascii="Calibri" w:hAnsi="宋体" w:cs="宋体"/>
                <w:b/>
                <w:sz w:val="18"/>
                <w:szCs w:val="18"/>
              </w:rPr>
            </w:pPr>
            <w:r>
              <w:rPr>
                <w:rFonts w:hint="eastAsia" w:ascii="Calibri" w:hAnsi="宋体" w:cs="宋体"/>
                <w:b/>
                <w:sz w:val="18"/>
                <w:szCs w:val="18"/>
              </w:rPr>
              <w:t>★销售代码</w:t>
            </w:r>
          </w:p>
        </w:tc>
        <w:tc>
          <w:tcPr>
            <w:tcW w:w="7704" w:type="dxa"/>
            <w:shd w:val="solid" w:color="FFFFFF" w:fill="FFFFFF"/>
          </w:tcPr>
          <w:p w14:paraId="352CA962">
            <w:pPr>
              <w:spacing w:line="360" w:lineRule="auto"/>
              <w:jc w:val="left"/>
              <w:rPr>
                <w:rFonts w:hint="eastAsia" w:ascii="宋体" w:hAnsi="宋体" w:eastAsia="宋体" w:cs="宋体"/>
                <w:sz w:val="18"/>
                <w:szCs w:val="18"/>
                <w:lang w:eastAsia="zh-CN"/>
              </w:rPr>
            </w:pPr>
            <w:r>
              <w:rPr>
                <w:rFonts w:hint="eastAsia" w:ascii="宋体" w:hAnsi="宋体" w:cs="宋体"/>
                <w:sz w:val="18"/>
                <w:szCs w:val="18"/>
                <w:lang w:eastAsia="zh-CN"/>
              </w:rPr>
              <w:t>【9K41081B】（适用【B】类份额）</w:t>
            </w:r>
          </w:p>
        </w:tc>
      </w:tr>
      <w:tr w14:paraId="43FF7D8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vAlign w:val="center"/>
          </w:tcPr>
          <w:p w14:paraId="5849CA93">
            <w:pPr>
              <w:spacing w:line="360" w:lineRule="auto"/>
              <w:jc w:val="left"/>
              <w:rPr>
                <w:rFonts w:ascii="Calibri" w:hAnsi="宋体" w:cs="宋体"/>
                <w:sz w:val="18"/>
                <w:szCs w:val="18"/>
              </w:rPr>
            </w:pPr>
            <w:r>
              <w:rPr>
                <w:rFonts w:hint="eastAsia" w:ascii="Calibri" w:hAnsi="宋体" w:cs="宋体"/>
                <w:sz w:val="18"/>
                <w:szCs w:val="18"/>
              </w:rPr>
              <w:t>★</w:t>
            </w:r>
            <w:r>
              <w:rPr>
                <w:rFonts w:hint="eastAsia" w:ascii="Calibri" w:hAnsi="宋体" w:cs="宋体"/>
                <w:b/>
                <w:sz w:val="18"/>
                <w:szCs w:val="18"/>
              </w:rPr>
              <w:t>产品</w:t>
            </w:r>
            <w:r>
              <w:rPr>
                <w:rFonts w:ascii="Calibri" w:hAnsi="宋体" w:cs="宋体"/>
                <w:b/>
                <w:sz w:val="18"/>
                <w:szCs w:val="18"/>
              </w:rPr>
              <w:t>份额类别</w:t>
            </w:r>
          </w:p>
        </w:tc>
        <w:tc>
          <w:tcPr>
            <w:tcW w:w="7704" w:type="dxa"/>
            <w:shd w:val="solid" w:color="FFFFFF" w:fill="FFFFFF"/>
            <w:vAlign w:val="center"/>
          </w:tcPr>
          <w:p w14:paraId="6D17F0F3">
            <w:pPr>
              <w:spacing w:line="360" w:lineRule="auto"/>
              <w:rPr>
                <w:rFonts w:ascii="宋体" w:hAnsi="宋体" w:cs="宋体"/>
                <w:bCs/>
                <w:sz w:val="18"/>
                <w:szCs w:val="18"/>
              </w:rPr>
            </w:pPr>
            <w:r>
              <w:rPr>
                <w:rFonts w:ascii="宋体" w:hAnsi="宋体" w:cs="宋体"/>
                <w:bCs/>
                <w:sz w:val="18"/>
                <w:szCs w:val="18"/>
              </w:rPr>
              <w:t>1</w:t>
            </w:r>
            <w:r>
              <w:rPr>
                <w:rFonts w:hint="eastAsia" w:ascii="宋体" w:hAnsi="宋体" w:cs="宋体"/>
                <w:bCs/>
                <w:sz w:val="18"/>
                <w:szCs w:val="18"/>
              </w:rPr>
              <w:t>.本产品根据投资者购买理财产品的金额、</w:t>
            </w:r>
            <w:r>
              <w:rPr>
                <w:rFonts w:ascii="宋体" w:hAnsi="宋体" w:cs="宋体"/>
                <w:bCs/>
                <w:sz w:val="18"/>
                <w:szCs w:val="18"/>
              </w:rPr>
              <w:t>投资者</w:t>
            </w:r>
            <w:r>
              <w:rPr>
                <w:rFonts w:hint="eastAsia" w:ascii="宋体" w:hAnsi="宋体" w:cs="宋体"/>
                <w:bCs/>
                <w:sz w:val="18"/>
                <w:szCs w:val="18"/>
              </w:rPr>
              <w:t>类型、</w:t>
            </w:r>
            <w:r>
              <w:rPr>
                <w:rFonts w:ascii="宋体" w:hAnsi="宋体" w:cs="宋体"/>
                <w:bCs/>
                <w:sz w:val="18"/>
                <w:szCs w:val="18"/>
              </w:rPr>
              <w:t>销售渠道</w:t>
            </w:r>
            <w:r>
              <w:rPr>
                <w:rFonts w:hint="eastAsia" w:ascii="宋体" w:hAnsi="宋体" w:cs="宋体"/>
                <w:bCs/>
                <w:sz w:val="18"/>
                <w:szCs w:val="18"/>
              </w:rPr>
              <w:t>等因素，对投资者所持有的理财产品份额设置不同的理财产品份额类别。</w:t>
            </w:r>
          </w:p>
          <w:p w14:paraId="2703C94A">
            <w:pPr>
              <w:spacing w:line="360" w:lineRule="auto"/>
              <w:rPr>
                <w:rFonts w:ascii="宋体" w:hAnsi="宋体" w:cs="宋体"/>
                <w:bCs/>
                <w:sz w:val="18"/>
                <w:szCs w:val="18"/>
              </w:rPr>
            </w:pPr>
            <w:r>
              <w:rPr>
                <w:rFonts w:ascii="宋体" w:hAnsi="宋体" w:cs="宋体"/>
                <w:bCs/>
                <w:sz w:val="18"/>
                <w:szCs w:val="18"/>
              </w:rPr>
              <w:t>2</w:t>
            </w:r>
            <w:r>
              <w:rPr>
                <w:rFonts w:hint="eastAsia" w:ascii="宋体" w:hAnsi="宋体" w:cs="宋体"/>
                <w:bCs/>
                <w:sz w:val="18"/>
                <w:szCs w:val="18"/>
              </w:rPr>
              <w:t>.本产品设置不同的理财产品份额，每类理财产品份额以下内容可能单独设置：</w:t>
            </w:r>
          </w:p>
          <w:p w14:paraId="7B31E3D3">
            <w:pPr>
              <w:spacing w:line="360" w:lineRule="auto"/>
              <w:rPr>
                <w:rFonts w:ascii="宋体" w:hAnsi="宋体" w:cs="宋体"/>
                <w:bCs/>
                <w:sz w:val="18"/>
                <w:szCs w:val="18"/>
              </w:rPr>
            </w:pPr>
            <w:r>
              <w:rPr>
                <w:rFonts w:hint="eastAsia" w:ascii="宋体" w:hAnsi="宋体" w:cs="宋体"/>
                <w:bCs/>
                <w:sz w:val="18"/>
                <w:szCs w:val="18"/>
              </w:rPr>
              <w:t>（1）销售名称</w:t>
            </w:r>
          </w:p>
          <w:p w14:paraId="409D8726">
            <w:pPr>
              <w:spacing w:line="360" w:lineRule="auto"/>
              <w:rPr>
                <w:rFonts w:ascii="宋体" w:hAnsi="宋体" w:cs="宋体"/>
                <w:bCs/>
                <w:sz w:val="18"/>
                <w:szCs w:val="18"/>
              </w:rPr>
            </w:pPr>
            <w:r>
              <w:rPr>
                <w:rFonts w:hint="eastAsia" w:ascii="宋体" w:hAnsi="宋体" w:cs="宋体"/>
                <w:bCs/>
                <w:sz w:val="18"/>
                <w:szCs w:val="18"/>
              </w:rPr>
              <w:t>（2）收费方式</w:t>
            </w:r>
          </w:p>
          <w:p w14:paraId="65F546ED">
            <w:pPr>
              <w:spacing w:line="360" w:lineRule="auto"/>
              <w:rPr>
                <w:rFonts w:ascii="宋体" w:hAnsi="宋体" w:cs="宋体"/>
                <w:bCs/>
                <w:sz w:val="18"/>
                <w:szCs w:val="18"/>
              </w:rPr>
            </w:pPr>
            <w:r>
              <w:rPr>
                <w:rFonts w:hint="eastAsia" w:ascii="宋体" w:hAnsi="宋体" w:cs="宋体"/>
                <w:bCs/>
                <w:sz w:val="18"/>
                <w:szCs w:val="18"/>
              </w:rPr>
              <w:t>（3）销售服务费</w:t>
            </w:r>
          </w:p>
          <w:p w14:paraId="26BCD01F">
            <w:pPr>
              <w:spacing w:line="360" w:lineRule="auto"/>
              <w:rPr>
                <w:rFonts w:ascii="宋体" w:hAnsi="宋体" w:cs="宋体"/>
                <w:bCs/>
                <w:sz w:val="18"/>
                <w:szCs w:val="18"/>
              </w:rPr>
            </w:pPr>
            <w:r>
              <w:rPr>
                <w:rFonts w:hint="eastAsia" w:ascii="宋体" w:hAnsi="宋体" w:cs="宋体"/>
                <w:bCs/>
                <w:sz w:val="18"/>
                <w:szCs w:val="18"/>
              </w:rPr>
              <w:t>（4）销售代码</w:t>
            </w:r>
          </w:p>
          <w:p w14:paraId="4CA9F171">
            <w:pPr>
              <w:spacing w:line="360" w:lineRule="auto"/>
              <w:rPr>
                <w:rFonts w:ascii="宋体" w:hAnsi="宋体" w:cs="宋体"/>
                <w:bCs/>
                <w:sz w:val="18"/>
                <w:szCs w:val="18"/>
              </w:rPr>
            </w:pPr>
            <w:r>
              <w:rPr>
                <w:rFonts w:hint="eastAsia" w:ascii="宋体" w:hAnsi="宋体" w:cs="宋体"/>
                <w:bCs/>
                <w:sz w:val="18"/>
                <w:szCs w:val="18"/>
              </w:rPr>
              <w:t>（5）销售对象</w:t>
            </w:r>
          </w:p>
          <w:p w14:paraId="78DA5B80">
            <w:pPr>
              <w:spacing w:line="360" w:lineRule="auto"/>
              <w:rPr>
                <w:rFonts w:ascii="宋体" w:hAnsi="宋体" w:cs="宋体"/>
                <w:bCs/>
                <w:sz w:val="18"/>
                <w:szCs w:val="18"/>
              </w:rPr>
            </w:pPr>
            <w:r>
              <w:rPr>
                <w:rFonts w:hint="eastAsia" w:ascii="宋体" w:hAnsi="宋体" w:cs="宋体"/>
                <w:bCs/>
                <w:sz w:val="18"/>
                <w:szCs w:val="18"/>
              </w:rPr>
              <w:t>（6）销售起点金额（认购、申购的起点金额）</w:t>
            </w:r>
          </w:p>
          <w:p w14:paraId="7A6FAF17">
            <w:pPr>
              <w:spacing w:line="360" w:lineRule="auto"/>
              <w:rPr>
                <w:rFonts w:ascii="宋体" w:hAnsi="宋体" w:cs="宋体"/>
                <w:bCs/>
                <w:sz w:val="18"/>
                <w:szCs w:val="18"/>
              </w:rPr>
            </w:pPr>
            <w:r>
              <w:rPr>
                <w:rFonts w:hint="eastAsia" w:ascii="宋体" w:hAnsi="宋体" w:cs="宋体"/>
                <w:bCs/>
                <w:sz w:val="18"/>
                <w:szCs w:val="18"/>
              </w:rPr>
              <w:t>（7）投资者认购、申购和赎回的数量限制</w:t>
            </w:r>
          </w:p>
          <w:p w14:paraId="485B7B92">
            <w:pPr>
              <w:spacing w:line="360" w:lineRule="auto"/>
              <w:rPr>
                <w:rFonts w:ascii="宋体" w:hAnsi="宋体" w:cs="宋体"/>
                <w:bCs/>
                <w:sz w:val="18"/>
                <w:szCs w:val="18"/>
              </w:rPr>
            </w:pPr>
            <w:r>
              <w:rPr>
                <w:rFonts w:hint="eastAsia" w:ascii="宋体" w:hAnsi="宋体" w:cs="宋体"/>
                <w:bCs/>
                <w:sz w:val="18"/>
                <w:szCs w:val="18"/>
              </w:rPr>
              <w:t>（8）投资者持有本产品的最高限额、最低限额</w:t>
            </w:r>
          </w:p>
          <w:p w14:paraId="7D884747">
            <w:pPr>
              <w:spacing w:line="360" w:lineRule="auto"/>
              <w:rPr>
                <w:rFonts w:ascii="宋体" w:hAnsi="宋体" w:cs="宋体"/>
                <w:bCs/>
                <w:sz w:val="18"/>
                <w:szCs w:val="18"/>
              </w:rPr>
            </w:pPr>
            <w:r>
              <w:rPr>
                <w:rFonts w:hint="eastAsia" w:ascii="宋体" w:hAnsi="宋体" w:cs="宋体"/>
                <w:bCs/>
                <w:sz w:val="18"/>
                <w:szCs w:val="18"/>
              </w:rPr>
              <w:t>（9）分别计算和公告产品份额净值</w:t>
            </w:r>
          </w:p>
          <w:p w14:paraId="60E55623">
            <w:pPr>
              <w:spacing w:line="360" w:lineRule="auto"/>
              <w:rPr>
                <w:rFonts w:ascii="宋体" w:hAnsi="宋体" w:cs="宋体"/>
                <w:bCs/>
                <w:sz w:val="18"/>
                <w:szCs w:val="18"/>
              </w:rPr>
            </w:pPr>
            <w:r>
              <w:rPr>
                <w:rFonts w:ascii="宋体" w:hAnsi="宋体" w:cs="宋体"/>
                <w:bCs/>
                <w:sz w:val="18"/>
                <w:szCs w:val="18"/>
              </w:rPr>
              <w:t>3</w:t>
            </w:r>
            <w:r>
              <w:rPr>
                <w:rFonts w:hint="eastAsia" w:ascii="宋体" w:hAnsi="宋体" w:cs="宋体"/>
                <w:bCs/>
                <w:sz w:val="18"/>
                <w:szCs w:val="18"/>
              </w:rPr>
              <w:t>.投资者可根据实际情况自行选择认购的产品份额类别。</w:t>
            </w:r>
          </w:p>
          <w:p w14:paraId="1100D9D4">
            <w:pPr>
              <w:spacing w:line="360" w:lineRule="auto"/>
              <w:rPr>
                <w:rFonts w:ascii="宋体" w:hAnsi="宋体" w:cs="宋体"/>
                <w:bCs/>
                <w:sz w:val="18"/>
                <w:szCs w:val="18"/>
              </w:rPr>
            </w:pPr>
            <w:r>
              <w:rPr>
                <w:rFonts w:hint="eastAsia" w:ascii="黑体" w:hAnsi="黑体" w:eastAsia="黑体" w:cs="宋体"/>
                <w:bCs/>
                <w:sz w:val="18"/>
                <w:szCs w:val="18"/>
              </w:rPr>
              <w:t>注：本产品说明书所列示产品份额类别仅为本产品项下某一类产品份额。其他类别的产品份额情况以产品管理人披露为准。</w:t>
            </w:r>
          </w:p>
        </w:tc>
      </w:tr>
      <w:tr w14:paraId="3B30270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33461A22">
            <w:pPr>
              <w:spacing w:line="360" w:lineRule="auto"/>
              <w:jc w:val="left"/>
              <w:rPr>
                <w:rFonts w:ascii="Calibri" w:hAnsi="宋体" w:cs="宋体"/>
                <w:sz w:val="18"/>
                <w:szCs w:val="18"/>
              </w:rPr>
            </w:pPr>
            <w:r>
              <w:rPr>
                <w:rFonts w:hint="eastAsia" w:ascii="Calibri" w:hAnsi="宋体" w:cs="宋体"/>
                <w:sz w:val="18"/>
                <w:szCs w:val="18"/>
              </w:rPr>
              <w:t>★</w:t>
            </w:r>
            <w:r>
              <w:rPr>
                <w:rFonts w:hint="eastAsia" w:ascii="宋体" w:hAnsi="宋体" w:eastAsia="宋体" w:cs="宋体"/>
                <w:b/>
                <w:sz w:val="18"/>
                <w:szCs w:val="18"/>
              </w:rPr>
              <w:t>产品基本类型</w:t>
            </w:r>
          </w:p>
        </w:tc>
        <w:tc>
          <w:tcPr>
            <w:tcW w:w="7704" w:type="dxa"/>
            <w:shd w:val="solid" w:color="FFFFFF" w:fill="FFFFFF"/>
            <w:vAlign w:val="center"/>
          </w:tcPr>
          <w:p w14:paraId="4D76E60B">
            <w:pPr>
              <w:adjustRightInd w:val="0"/>
              <w:snapToGrid w:val="0"/>
              <w:spacing w:line="276" w:lineRule="auto"/>
              <w:rPr>
                <w:rFonts w:ascii="黑体" w:hAnsi="黑体" w:eastAsia="黑体" w:cs="宋体"/>
                <w:bCs/>
                <w:sz w:val="18"/>
                <w:szCs w:val="18"/>
              </w:rPr>
            </w:pPr>
            <w:r>
              <w:rPr>
                <w:rFonts w:hint="eastAsia" w:ascii="黑体" w:hAnsi="黑体" w:eastAsia="黑体" w:cs="宋体"/>
                <w:sz w:val="18"/>
                <w:szCs w:val="18"/>
              </w:rPr>
              <w:t>公募</w:t>
            </w:r>
            <w:r>
              <w:rPr>
                <w:rFonts w:hint="eastAsia" w:ascii="黑体" w:hAnsi="黑体" w:eastAsia="黑体" w:cs="宋体"/>
                <w:bCs/>
                <w:sz w:val="18"/>
                <w:szCs w:val="18"/>
              </w:rPr>
              <w:t>、开放式、固定收益类、非保本浮动</w:t>
            </w:r>
            <w:r>
              <w:rPr>
                <w:rFonts w:ascii="黑体" w:hAnsi="黑体" w:eastAsia="黑体" w:cs="宋体"/>
                <w:bCs/>
                <w:sz w:val="18"/>
                <w:szCs w:val="18"/>
              </w:rPr>
              <w:t>收益</w:t>
            </w:r>
            <w:r>
              <w:rPr>
                <w:rFonts w:hint="eastAsia" w:ascii="黑体" w:hAnsi="黑体" w:eastAsia="黑体" w:cs="宋体"/>
                <w:bCs/>
                <w:sz w:val="18"/>
                <w:szCs w:val="18"/>
              </w:rPr>
              <w:t>、净值型</w:t>
            </w:r>
          </w:p>
        </w:tc>
      </w:tr>
      <w:tr w14:paraId="58E59C2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653693DD">
            <w:pPr>
              <w:spacing w:line="360" w:lineRule="auto"/>
              <w:jc w:val="left"/>
              <w:rPr>
                <w:rFonts w:ascii="宋体" w:hAnsi="宋体" w:cs="宋体"/>
                <w:b/>
                <w:bCs/>
                <w:sz w:val="18"/>
                <w:szCs w:val="18"/>
              </w:rPr>
            </w:pPr>
            <w:r>
              <w:rPr>
                <w:rFonts w:hint="eastAsia" w:ascii="宋体" w:hAnsi="宋体" w:eastAsia="宋体" w:cs="宋体"/>
                <w:b/>
                <w:sz w:val="18"/>
                <w:szCs w:val="18"/>
              </w:rPr>
              <w:t>产品募集方式</w:t>
            </w:r>
          </w:p>
        </w:tc>
        <w:tc>
          <w:tcPr>
            <w:tcW w:w="7704" w:type="dxa"/>
            <w:shd w:val="solid" w:color="FFFFFF" w:fill="FFFFFF"/>
            <w:vAlign w:val="center"/>
          </w:tcPr>
          <w:p w14:paraId="5FEE3866">
            <w:pPr>
              <w:spacing w:line="360" w:lineRule="auto"/>
              <w:rPr>
                <w:rFonts w:ascii="宋体" w:hAnsi="宋体" w:cs="宋体"/>
                <w:bCs/>
                <w:sz w:val="18"/>
                <w:szCs w:val="18"/>
              </w:rPr>
            </w:pPr>
            <w:r>
              <w:rPr>
                <w:rFonts w:hint="eastAsia" w:ascii="宋体" w:hAnsi="宋体" w:eastAsia="宋体" w:cs="宋体"/>
                <w:sz w:val="18"/>
                <w:szCs w:val="18"/>
              </w:rPr>
              <w:t>公募</w:t>
            </w:r>
          </w:p>
        </w:tc>
      </w:tr>
      <w:tr w14:paraId="15E84E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1BA9FC98">
            <w:pPr>
              <w:spacing w:line="360" w:lineRule="auto"/>
              <w:jc w:val="left"/>
              <w:rPr>
                <w:rFonts w:ascii="宋体" w:hAnsi="宋体" w:cs="宋体"/>
                <w:b/>
                <w:bCs/>
                <w:sz w:val="18"/>
                <w:szCs w:val="18"/>
              </w:rPr>
            </w:pPr>
            <w:r>
              <w:rPr>
                <w:rFonts w:hint="eastAsia" w:ascii="宋体" w:hAnsi="宋体" w:eastAsia="宋体" w:cs="宋体"/>
                <w:b/>
                <w:sz w:val="18"/>
                <w:szCs w:val="18"/>
              </w:rPr>
              <w:t>产品运作方式</w:t>
            </w:r>
          </w:p>
        </w:tc>
        <w:tc>
          <w:tcPr>
            <w:tcW w:w="7704" w:type="dxa"/>
            <w:shd w:val="solid" w:color="FFFFFF" w:fill="FFFFFF"/>
            <w:vAlign w:val="center"/>
          </w:tcPr>
          <w:p w14:paraId="0604CB00">
            <w:pPr>
              <w:spacing w:line="360" w:lineRule="auto"/>
              <w:rPr>
                <w:rFonts w:ascii="宋体" w:hAnsi="宋体" w:cs="宋体"/>
                <w:bCs/>
                <w:sz w:val="18"/>
                <w:szCs w:val="18"/>
              </w:rPr>
            </w:pPr>
            <w:r>
              <w:rPr>
                <w:rFonts w:hint="eastAsia" w:ascii="宋体" w:hAnsi="宋体" w:cs="宋体"/>
                <w:bCs/>
                <w:sz w:val="18"/>
                <w:szCs w:val="18"/>
              </w:rPr>
              <w:t>开放式</w:t>
            </w:r>
          </w:p>
        </w:tc>
      </w:tr>
      <w:tr w14:paraId="6A43EEA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31A6DE22">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eastAsia="宋体" w:cs="宋体"/>
                <w:b/>
                <w:sz w:val="18"/>
                <w:szCs w:val="18"/>
              </w:rPr>
              <w:t>产品投资性质</w:t>
            </w:r>
          </w:p>
        </w:tc>
        <w:tc>
          <w:tcPr>
            <w:tcW w:w="7704" w:type="dxa"/>
            <w:shd w:val="solid" w:color="FFFFFF" w:fill="FFFFFF"/>
            <w:vAlign w:val="center"/>
          </w:tcPr>
          <w:p w14:paraId="6C211FC6">
            <w:pPr>
              <w:adjustRightInd w:val="0"/>
              <w:snapToGrid w:val="0"/>
              <w:spacing w:line="360" w:lineRule="auto"/>
              <w:rPr>
                <w:rFonts w:ascii="黑体" w:hAnsi="黑体" w:eastAsia="黑体" w:cs="宋体"/>
                <w:bCs/>
                <w:sz w:val="18"/>
                <w:szCs w:val="18"/>
              </w:rPr>
            </w:pPr>
            <w:r>
              <w:rPr>
                <w:rFonts w:hint="eastAsia" w:ascii="黑体" w:hAnsi="黑体" w:eastAsia="黑体" w:cs="宋体"/>
                <w:bCs/>
                <w:sz w:val="18"/>
                <w:szCs w:val="18"/>
              </w:rPr>
              <w:t>固定收益类</w:t>
            </w:r>
          </w:p>
          <w:p w14:paraId="4C62F719">
            <w:pPr>
              <w:adjustRightInd w:val="0"/>
              <w:snapToGrid w:val="0"/>
              <w:spacing w:line="360" w:lineRule="auto"/>
              <w:rPr>
                <w:rFonts w:ascii="黑体" w:hAnsi="黑体" w:eastAsia="黑体" w:cs="宋体"/>
                <w:bCs/>
                <w:sz w:val="18"/>
                <w:szCs w:val="18"/>
              </w:rPr>
            </w:pPr>
            <w:r>
              <w:rPr>
                <w:rFonts w:hint="eastAsia" w:ascii="黑体" w:hAnsi="黑体" w:eastAsia="黑体" w:cs="宋体"/>
                <w:bCs/>
                <w:sz w:val="18"/>
                <w:szCs w:val="18"/>
              </w:rPr>
              <w:t>固定</w:t>
            </w:r>
            <w:r>
              <w:rPr>
                <w:rFonts w:ascii="黑体" w:hAnsi="黑体" w:eastAsia="黑体" w:cs="宋体"/>
                <w:bCs/>
                <w:sz w:val="18"/>
                <w:szCs w:val="18"/>
              </w:rPr>
              <w:t>收益</w:t>
            </w:r>
            <w:r>
              <w:rPr>
                <w:rFonts w:hint="eastAsia" w:ascii="黑体" w:hAnsi="黑体" w:eastAsia="黑体" w:cs="宋体"/>
                <w:bCs/>
                <w:sz w:val="18"/>
                <w:szCs w:val="18"/>
              </w:rPr>
              <w:t>类</w:t>
            </w:r>
            <w:r>
              <w:rPr>
                <w:rFonts w:ascii="黑体" w:hAnsi="黑体" w:eastAsia="黑体" w:cs="宋体"/>
                <w:bCs/>
                <w:sz w:val="18"/>
                <w:szCs w:val="18"/>
              </w:rPr>
              <w:t>产品是指根据监管</w:t>
            </w:r>
            <w:r>
              <w:rPr>
                <w:rFonts w:hint="eastAsia" w:ascii="黑体" w:hAnsi="黑体" w:eastAsia="黑体" w:cs="宋体"/>
                <w:bCs/>
                <w:sz w:val="18"/>
                <w:szCs w:val="18"/>
              </w:rPr>
              <w:t>相关规定</w:t>
            </w:r>
            <w:r>
              <w:rPr>
                <w:rFonts w:ascii="黑体" w:hAnsi="黑体" w:eastAsia="黑体" w:cs="宋体"/>
                <w:bCs/>
                <w:sz w:val="18"/>
                <w:szCs w:val="18"/>
              </w:rPr>
              <w:t>，投资于债权类资产的</w:t>
            </w:r>
            <w:r>
              <w:rPr>
                <w:rFonts w:hint="eastAsia" w:ascii="黑体" w:hAnsi="黑体" w:eastAsia="黑体" w:cs="宋体"/>
                <w:bCs/>
                <w:sz w:val="18"/>
                <w:szCs w:val="18"/>
              </w:rPr>
              <w:t>比例</w:t>
            </w:r>
            <w:r>
              <w:rPr>
                <w:rFonts w:ascii="黑体" w:hAnsi="黑体" w:eastAsia="黑体" w:cs="宋体"/>
                <w:bCs/>
                <w:sz w:val="18"/>
                <w:szCs w:val="18"/>
              </w:rPr>
              <w:t>不低于80%的产品</w:t>
            </w:r>
            <w:r>
              <w:rPr>
                <w:rFonts w:hint="eastAsia" w:ascii="黑体" w:hAnsi="黑体" w:eastAsia="黑体" w:cs="宋体"/>
                <w:bCs/>
                <w:sz w:val="18"/>
                <w:szCs w:val="18"/>
              </w:rPr>
              <w:t>。</w:t>
            </w:r>
          </w:p>
        </w:tc>
      </w:tr>
      <w:tr w14:paraId="0844B46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74EAD634">
            <w:pPr>
              <w:spacing w:line="360" w:lineRule="auto"/>
              <w:jc w:val="left"/>
              <w:rPr>
                <w:rFonts w:ascii="宋体" w:hAnsi="宋体" w:eastAsia="宋体" w:cs="宋体"/>
                <w:b/>
                <w:sz w:val="18"/>
                <w:szCs w:val="18"/>
              </w:rPr>
            </w:pPr>
            <w:r>
              <w:rPr>
                <w:rFonts w:hint="eastAsia" w:ascii="Calibri" w:hAnsi="宋体" w:cs="宋体"/>
                <w:sz w:val="18"/>
                <w:szCs w:val="18"/>
              </w:rPr>
              <w:t>★</w:t>
            </w:r>
            <w:r>
              <w:rPr>
                <w:rFonts w:hint="eastAsia" w:ascii="宋体" w:hAnsi="宋体" w:eastAsia="宋体" w:cs="宋体"/>
                <w:b/>
                <w:sz w:val="18"/>
                <w:szCs w:val="18"/>
              </w:rPr>
              <w:t>产品</w:t>
            </w:r>
            <w:r>
              <w:rPr>
                <w:rFonts w:ascii="宋体" w:hAnsi="宋体" w:eastAsia="宋体" w:cs="宋体"/>
                <w:b/>
                <w:sz w:val="18"/>
                <w:szCs w:val="18"/>
              </w:rPr>
              <w:t>收益特征</w:t>
            </w:r>
          </w:p>
        </w:tc>
        <w:tc>
          <w:tcPr>
            <w:tcW w:w="7704" w:type="dxa"/>
            <w:shd w:val="solid" w:color="FFFFFF" w:fill="FFFFFF"/>
            <w:vAlign w:val="center"/>
          </w:tcPr>
          <w:p w14:paraId="5ADBBEF1">
            <w:pPr>
              <w:adjustRightInd w:val="0"/>
              <w:snapToGrid w:val="0"/>
              <w:spacing w:line="360" w:lineRule="auto"/>
              <w:rPr>
                <w:rFonts w:ascii="黑体" w:hAnsi="黑体" w:eastAsia="黑体" w:cs="黑体"/>
                <w:bCs/>
                <w:sz w:val="18"/>
                <w:szCs w:val="18"/>
              </w:rPr>
            </w:pPr>
            <w:r>
              <w:rPr>
                <w:rFonts w:hint="eastAsia" w:ascii="黑体" w:hAnsi="黑体" w:eastAsia="黑体" w:cs="黑体"/>
                <w:bCs/>
                <w:sz w:val="18"/>
                <w:szCs w:val="18"/>
              </w:rPr>
              <w:t>非保本浮动收益</w:t>
            </w:r>
          </w:p>
          <w:p w14:paraId="2B4A8F84">
            <w:pPr>
              <w:adjustRightInd w:val="0"/>
              <w:snapToGrid w:val="0"/>
              <w:spacing w:line="360" w:lineRule="auto"/>
              <w:rPr>
                <w:rFonts w:ascii="黑体" w:hAnsi="黑体" w:eastAsia="黑体" w:cs="黑体"/>
                <w:bCs/>
                <w:sz w:val="18"/>
                <w:szCs w:val="18"/>
              </w:rPr>
            </w:pPr>
            <w:r>
              <w:rPr>
                <w:rFonts w:hint="eastAsia" w:ascii="黑体" w:hAnsi="黑体" w:eastAsia="黑体" w:cs="黑体"/>
                <w:bCs/>
                <w:sz w:val="18"/>
                <w:szCs w:val="18"/>
              </w:rPr>
              <w:t>本产品不保证本金且不保证收益。本产品的收益随投资收益浮动，投资者可能会因市场变动而蒙受损失。</w:t>
            </w:r>
          </w:p>
          <w:p w14:paraId="67F6989F">
            <w:pPr>
              <w:adjustRightInd w:val="0"/>
              <w:snapToGrid w:val="0"/>
              <w:spacing w:line="360" w:lineRule="auto"/>
              <w:rPr>
                <w:rFonts w:ascii="黑体" w:hAnsi="黑体" w:eastAsia="黑体" w:cs="黑体"/>
                <w:bCs/>
                <w:color w:val="000000"/>
                <w:sz w:val="18"/>
                <w:szCs w:val="18"/>
              </w:rPr>
            </w:pPr>
            <w:r>
              <w:rPr>
                <w:rFonts w:hint="eastAsia" w:ascii="黑体" w:hAnsi="黑体" w:eastAsia="黑体" w:cs="黑体"/>
                <w:bCs/>
                <w:sz w:val="18"/>
                <w:szCs w:val="18"/>
              </w:rPr>
              <w:t>产品管理人对本产品的本金并不提供保证，也不承诺任何固定收益。</w:t>
            </w:r>
          </w:p>
        </w:tc>
      </w:tr>
      <w:tr w14:paraId="02E4562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38DFF467">
            <w:pPr>
              <w:spacing w:line="360" w:lineRule="auto"/>
              <w:jc w:val="left"/>
              <w:rPr>
                <w:rFonts w:ascii="宋体" w:hAnsi="宋体" w:cs="宋体"/>
                <w:b/>
                <w:bCs/>
                <w:sz w:val="18"/>
                <w:szCs w:val="18"/>
              </w:rPr>
            </w:pPr>
            <w:r>
              <w:rPr>
                <w:rFonts w:hint="eastAsia" w:ascii="宋体" w:hAnsi="宋体" w:eastAsia="宋体" w:cs="宋体"/>
                <w:b/>
                <w:sz w:val="18"/>
                <w:szCs w:val="18"/>
              </w:rPr>
              <w:t>理财币种</w:t>
            </w:r>
          </w:p>
        </w:tc>
        <w:tc>
          <w:tcPr>
            <w:tcW w:w="7704" w:type="dxa"/>
            <w:shd w:val="solid" w:color="FFFFFF" w:fill="FFFFFF"/>
            <w:vAlign w:val="center"/>
          </w:tcPr>
          <w:p w14:paraId="3F44BF29">
            <w:pPr>
              <w:spacing w:line="360" w:lineRule="auto"/>
              <w:rPr>
                <w:rFonts w:ascii="宋体" w:hAnsi="宋体" w:cs="宋体"/>
                <w:bCs/>
                <w:sz w:val="18"/>
                <w:szCs w:val="18"/>
              </w:rPr>
            </w:pPr>
            <w:r>
              <w:rPr>
                <w:rFonts w:hint="eastAsia" w:ascii="宋体" w:hAnsi="宋体" w:eastAsia="宋体" w:cs="宋体"/>
                <w:sz w:val="18"/>
                <w:szCs w:val="18"/>
              </w:rPr>
              <w:t>人民币</w:t>
            </w:r>
          </w:p>
        </w:tc>
      </w:tr>
      <w:tr w14:paraId="1BFDB2A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605FE0EA">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eastAsia="宋体" w:cs="宋体"/>
                <w:b/>
                <w:bCs/>
                <w:sz w:val="18"/>
                <w:szCs w:val="18"/>
              </w:rPr>
              <w:t>产品风险评级</w:t>
            </w:r>
          </w:p>
        </w:tc>
        <w:tc>
          <w:tcPr>
            <w:tcW w:w="7704" w:type="dxa"/>
            <w:shd w:val="solid" w:color="FFFFFF" w:fill="FFFFFF"/>
          </w:tcPr>
          <w:p w14:paraId="58DA2AC3">
            <w:pPr>
              <w:spacing w:line="360" w:lineRule="auto"/>
              <w:rPr>
                <w:rFonts w:ascii="宋体" w:hAnsi="宋体" w:eastAsia="宋体" w:cs="宋体"/>
                <w:bCs/>
                <w:sz w:val="18"/>
                <w:szCs w:val="18"/>
              </w:rPr>
            </w:pPr>
            <w:r>
              <w:rPr>
                <w:rFonts w:hint="eastAsia" w:ascii="宋体" w:hAnsi="宋体" w:eastAsia="宋体" w:cs="宋体"/>
                <w:bCs/>
                <w:sz w:val="18"/>
                <w:szCs w:val="18"/>
              </w:rPr>
              <w:t xml:space="preserve">本产品属于【□ </w:t>
            </w:r>
            <w:r>
              <w:rPr>
                <w:rFonts w:ascii="宋体" w:hAnsi="宋体" w:eastAsia="宋体" w:cs="宋体"/>
                <w:bCs/>
                <w:sz w:val="18"/>
                <w:szCs w:val="18"/>
              </w:rPr>
              <w:t>R1、</w:t>
            </w:r>
            <w:r>
              <w:rPr>
                <w:rFonts w:hint="eastAsia" w:ascii="宋体" w:hAnsi="宋体" w:eastAsia="宋体" w:cs="宋体"/>
                <w:bCs/>
                <w:sz w:val="18"/>
                <w:szCs w:val="18"/>
              </w:rPr>
              <w:t xml:space="preserve">■ </w:t>
            </w:r>
            <w:r>
              <w:rPr>
                <w:rFonts w:ascii="宋体" w:hAnsi="宋体" w:eastAsia="宋体" w:cs="宋体"/>
                <w:bCs/>
                <w:sz w:val="18"/>
                <w:szCs w:val="18"/>
              </w:rPr>
              <w:t>R2、</w:t>
            </w:r>
            <w:r>
              <w:rPr>
                <w:rFonts w:hint="eastAsia" w:ascii="宋体" w:hAnsi="宋体" w:eastAsia="宋体" w:cs="宋体"/>
                <w:bCs/>
                <w:sz w:val="18"/>
                <w:szCs w:val="18"/>
              </w:rPr>
              <w:t xml:space="preserve">□ </w:t>
            </w:r>
            <w:r>
              <w:rPr>
                <w:rFonts w:ascii="宋体" w:hAnsi="宋体" w:eastAsia="宋体" w:cs="宋体"/>
                <w:bCs/>
                <w:sz w:val="18"/>
                <w:szCs w:val="18"/>
              </w:rPr>
              <w:t>R3、</w:t>
            </w:r>
            <w:r>
              <w:rPr>
                <w:rFonts w:hint="eastAsia" w:ascii="宋体" w:hAnsi="宋体" w:eastAsia="宋体" w:cs="宋体"/>
                <w:bCs/>
                <w:sz w:val="18"/>
                <w:szCs w:val="18"/>
              </w:rPr>
              <w:t>□</w:t>
            </w:r>
            <w:r>
              <w:rPr>
                <w:rFonts w:ascii="宋体" w:hAnsi="宋体" w:eastAsia="宋体" w:cs="宋体"/>
                <w:bCs/>
                <w:sz w:val="18"/>
                <w:szCs w:val="18"/>
              </w:rPr>
              <w:t xml:space="preserve"> R4、</w:t>
            </w:r>
            <w:r>
              <w:rPr>
                <w:rFonts w:hint="eastAsia" w:ascii="宋体" w:hAnsi="宋体" w:eastAsia="宋体" w:cs="宋体"/>
                <w:bCs/>
                <w:sz w:val="18"/>
                <w:szCs w:val="18"/>
              </w:rPr>
              <w:t>□</w:t>
            </w:r>
            <w:r>
              <w:rPr>
                <w:rFonts w:ascii="宋体" w:hAnsi="宋体" w:eastAsia="宋体" w:cs="宋体"/>
                <w:bCs/>
                <w:sz w:val="18"/>
                <w:szCs w:val="18"/>
              </w:rPr>
              <w:t xml:space="preserve"> R5】理财产品</w:t>
            </w:r>
            <w:r>
              <w:rPr>
                <w:rFonts w:hint="eastAsia" w:ascii="宋体" w:hAnsi="宋体" w:eastAsia="宋体" w:cs="宋体"/>
                <w:bCs/>
                <w:sz w:val="18"/>
                <w:szCs w:val="18"/>
              </w:rPr>
              <w:t>。</w:t>
            </w:r>
          </w:p>
          <w:p w14:paraId="0B7748C7">
            <w:pPr>
              <w:spacing w:line="360" w:lineRule="auto"/>
              <w:rPr>
                <w:rFonts w:ascii="黑体" w:hAnsi="黑体" w:eastAsia="黑体" w:cs="宋体"/>
                <w:sz w:val="18"/>
                <w:szCs w:val="18"/>
              </w:rPr>
            </w:pPr>
            <w:r>
              <w:rPr>
                <w:rFonts w:hint="eastAsia" w:ascii="黑体" w:hAnsi="黑体" w:eastAsia="黑体" w:cs="宋体"/>
                <w:sz w:val="18"/>
                <w:szCs w:val="18"/>
              </w:rPr>
              <w:t>本评级为理财产品管理人内部评级，仅供参考。</w:t>
            </w:r>
          </w:p>
          <w:p w14:paraId="588AC551">
            <w:pPr>
              <w:spacing w:line="360" w:lineRule="auto"/>
              <w:rPr>
                <w:rFonts w:ascii="宋体" w:hAnsi="宋体" w:cs="宋体"/>
                <w:bCs/>
                <w:sz w:val="18"/>
                <w:szCs w:val="18"/>
              </w:rPr>
            </w:pPr>
            <w:r>
              <w:rPr>
                <w:rFonts w:hint="eastAsia" w:ascii="黑体" w:hAnsi="黑体" w:eastAsia="黑体" w:cs="宋体"/>
                <w:sz w:val="18"/>
                <w:szCs w:val="18"/>
              </w:rPr>
              <w:t>注</w:t>
            </w:r>
            <w:r>
              <w:rPr>
                <w:rFonts w:ascii="黑体" w:hAnsi="黑体" w:eastAsia="黑体" w:cs="宋体"/>
                <w:sz w:val="18"/>
                <w:szCs w:val="18"/>
              </w:rPr>
              <w:t>：</w:t>
            </w:r>
            <w:r>
              <w:rPr>
                <w:rFonts w:hint="eastAsia" w:ascii="黑体" w:hAnsi="黑体" w:eastAsia="黑体" w:cs="宋体"/>
                <w:sz w:val="18"/>
                <w:szCs w:val="18"/>
              </w:rPr>
              <w:t>若本</w:t>
            </w:r>
            <w:r>
              <w:rPr>
                <w:rFonts w:ascii="黑体" w:hAnsi="黑体" w:eastAsia="黑体" w:cs="宋体"/>
                <w:sz w:val="18"/>
                <w:szCs w:val="18"/>
              </w:rPr>
              <w:t>产品通过代理销售机构销售的，</w:t>
            </w:r>
            <w:r>
              <w:rPr>
                <w:rFonts w:hint="eastAsia" w:ascii="黑体" w:hAnsi="黑体" w:eastAsia="黑体" w:cs="宋体"/>
                <w:sz w:val="18"/>
                <w:szCs w:val="18"/>
              </w:rPr>
              <w:t>理财产品</w:t>
            </w:r>
            <w:r>
              <w:rPr>
                <w:rFonts w:ascii="黑体" w:hAnsi="黑体" w:eastAsia="黑体" w:cs="宋体"/>
                <w:sz w:val="18"/>
                <w:szCs w:val="18"/>
              </w:rPr>
              <w:t>评级</w:t>
            </w:r>
            <w:r>
              <w:rPr>
                <w:rFonts w:hint="eastAsia" w:ascii="黑体" w:hAnsi="黑体" w:eastAsia="黑体" w:cs="宋体"/>
                <w:sz w:val="18"/>
                <w:szCs w:val="18"/>
              </w:rPr>
              <w:t>以</w:t>
            </w:r>
            <w:r>
              <w:rPr>
                <w:rFonts w:ascii="黑体" w:hAnsi="黑体" w:eastAsia="黑体" w:cs="宋体"/>
                <w:sz w:val="18"/>
                <w:szCs w:val="18"/>
              </w:rPr>
              <w:t>代理销售机构最终披露的评级结果为准。</w:t>
            </w:r>
          </w:p>
        </w:tc>
      </w:tr>
      <w:tr w14:paraId="0190391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49653246">
            <w:pPr>
              <w:spacing w:line="360" w:lineRule="auto"/>
              <w:jc w:val="left"/>
              <w:rPr>
                <w:rFonts w:ascii="Calibri" w:hAnsi="宋体" w:cs="宋体"/>
                <w:sz w:val="18"/>
                <w:szCs w:val="18"/>
              </w:rPr>
            </w:pPr>
            <w:r>
              <w:rPr>
                <w:rFonts w:hint="eastAsia" w:ascii="Calibri" w:hAnsi="宋体" w:cs="宋体"/>
                <w:sz w:val="18"/>
                <w:szCs w:val="18"/>
              </w:rPr>
              <w:t>★</w:t>
            </w:r>
            <w:r>
              <w:rPr>
                <w:rFonts w:hint="eastAsia" w:ascii="宋体" w:hAnsi="宋体" w:eastAsia="宋体" w:cs="宋体"/>
                <w:b/>
                <w:bCs/>
                <w:sz w:val="18"/>
                <w:szCs w:val="18"/>
              </w:rPr>
              <w:t>销售对象</w:t>
            </w:r>
          </w:p>
        </w:tc>
        <w:tc>
          <w:tcPr>
            <w:tcW w:w="7704" w:type="dxa"/>
            <w:shd w:val="solid" w:color="FFFFFF" w:fill="FFFFFF"/>
            <w:vAlign w:val="bottom"/>
          </w:tcPr>
          <w:p w14:paraId="6312C3DF">
            <w:pPr>
              <w:spacing w:line="360" w:lineRule="auto"/>
              <w:rPr>
                <w:rFonts w:ascii="宋体" w:hAnsi="宋体" w:eastAsia="宋体" w:cs="宋体"/>
                <w:bCs/>
                <w:color w:val="000000"/>
                <w:sz w:val="18"/>
                <w:szCs w:val="18"/>
              </w:rPr>
            </w:pPr>
            <w:r>
              <w:rPr>
                <w:rFonts w:hint="eastAsia" w:ascii="宋体" w:hAnsi="宋体" w:eastAsia="宋体" w:cs="宋体"/>
                <w:bCs/>
                <w:color w:val="000000"/>
                <w:sz w:val="18"/>
                <w:szCs w:val="18"/>
              </w:rPr>
              <w:t>本产品</w:t>
            </w:r>
            <w:r>
              <w:rPr>
                <w:rFonts w:ascii="宋体" w:hAnsi="宋体" w:eastAsia="宋体" w:cs="宋体"/>
                <w:bCs/>
                <w:color w:val="000000"/>
                <w:sz w:val="18"/>
                <w:szCs w:val="18"/>
              </w:rPr>
              <w:t>适合以下类型投资者：</w:t>
            </w:r>
            <w:r>
              <w:rPr>
                <w:rFonts w:hint="eastAsia" w:ascii="Calibri" w:hAnsi="宋体" w:cs="宋体"/>
                <w:sz w:val="18"/>
                <w:szCs w:val="18"/>
              </w:rPr>
              <w:t>（</w:t>
            </w:r>
            <w:r>
              <w:rPr>
                <w:rFonts w:hint="eastAsia" w:ascii="Calibri" w:hAnsi="宋体" w:cs="宋体"/>
                <w:sz w:val="18"/>
                <w:szCs w:val="18"/>
                <w:lang w:eastAsia="zh-CN"/>
              </w:rPr>
              <w:t>适用【B】类份额</w:t>
            </w:r>
            <w:r>
              <w:rPr>
                <w:rFonts w:hint="eastAsia" w:ascii="Calibri" w:hAnsi="宋体" w:cs="宋体"/>
                <w:sz w:val="18"/>
                <w:szCs w:val="18"/>
              </w:rPr>
              <w:t>）</w:t>
            </w:r>
          </w:p>
          <w:p w14:paraId="7EDFF51C">
            <w:pPr>
              <w:spacing w:line="360" w:lineRule="auto"/>
              <w:rPr>
                <w:rFonts w:hint="eastAsia" w:ascii="宋体" w:hAnsi="宋体" w:eastAsia="宋体" w:cs="宋体"/>
                <w:bCs/>
                <w:color w:val="000000"/>
                <w:sz w:val="18"/>
                <w:szCs w:val="18"/>
                <w:lang w:eastAsia="zh-CN"/>
              </w:rPr>
            </w:pPr>
            <w:bookmarkStart w:id="83" w:name="per_inv"/>
            <w:bookmarkEnd w:id="83"/>
            <w:r>
              <w:rPr>
                <w:rFonts w:hint="eastAsia" w:ascii="宋体" w:hAnsi="宋体" w:eastAsia="宋体" w:cs="宋体"/>
                <w:bCs/>
                <w:color w:val="000000"/>
                <w:sz w:val="18"/>
                <w:szCs w:val="18"/>
                <w:lang w:eastAsia="zh-CN"/>
              </w:rPr>
              <w:t>■个人投资者</w:t>
            </w:r>
          </w:p>
          <w:p w14:paraId="69C29639">
            <w:pPr>
              <w:spacing w:line="360" w:lineRule="auto"/>
              <w:rPr>
                <w:rFonts w:hint="eastAsia" w:ascii="宋体" w:hAnsi="宋体" w:eastAsia="宋体" w:cs="宋体"/>
                <w:bCs/>
                <w:sz w:val="18"/>
                <w:szCs w:val="18"/>
                <w:lang w:eastAsia="zh-CN"/>
              </w:rPr>
            </w:pPr>
            <w:bookmarkStart w:id="84" w:name="ins_inv"/>
            <w:bookmarkEnd w:id="84"/>
            <w:r>
              <w:rPr>
                <w:rFonts w:hint="eastAsia" w:ascii="宋体" w:hAnsi="宋体" w:eastAsia="宋体" w:cs="宋体"/>
                <w:bCs/>
                <w:sz w:val="18"/>
                <w:szCs w:val="18"/>
                <w:lang w:eastAsia="zh-CN"/>
              </w:rPr>
              <w:t>■机构投资者</w:t>
            </w:r>
          </w:p>
        </w:tc>
      </w:tr>
      <w:tr w14:paraId="5F6BDB0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7CA96585">
            <w:pPr>
              <w:spacing w:line="360" w:lineRule="auto"/>
              <w:jc w:val="left"/>
              <w:rPr>
                <w:rFonts w:ascii="Calibri" w:hAnsi="宋体" w:cs="宋体"/>
                <w:sz w:val="18"/>
                <w:szCs w:val="18"/>
              </w:rPr>
            </w:pPr>
            <w:r>
              <w:rPr>
                <w:rFonts w:hint="eastAsia" w:ascii="Calibri" w:hAnsi="宋体" w:cs="宋体"/>
                <w:sz w:val="18"/>
                <w:szCs w:val="18"/>
              </w:rPr>
              <w:t>★</w:t>
            </w:r>
            <w:r>
              <w:rPr>
                <w:rFonts w:hint="eastAsia" w:ascii="宋体" w:hAnsi="宋体" w:eastAsia="宋体" w:cs="宋体"/>
                <w:b/>
                <w:bCs/>
                <w:sz w:val="18"/>
                <w:szCs w:val="18"/>
              </w:rPr>
              <w:t>销售场景</w:t>
            </w:r>
          </w:p>
        </w:tc>
        <w:tc>
          <w:tcPr>
            <w:tcW w:w="7704" w:type="dxa"/>
            <w:shd w:val="solid" w:color="FFFFFF" w:fill="FFFFFF"/>
            <w:vAlign w:val="center"/>
          </w:tcPr>
          <w:p w14:paraId="519BFF12">
            <w:pPr>
              <w:spacing w:line="360" w:lineRule="auto"/>
              <w:rPr>
                <w:rFonts w:ascii="宋体" w:hAnsi="宋体" w:eastAsia="宋体" w:cs="宋体"/>
                <w:bCs/>
                <w:sz w:val="18"/>
                <w:szCs w:val="18"/>
              </w:rPr>
            </w:pPr>
            <w:r>
              <w:rPr>
                <w:rFonts w:hint="eastAsia" w:ascii="宋体" w:hAnsi="宋体" w:eastAsia="宋体" w:cs="宋体"/>
                <w:bCs/>
                <w:sz w:val="18"/>
                <w:szCs w:val="18"/>
              </w:rPr>
              <w:t>本产品可在销售机构线上渠道和线下渠道等场景进行销售。</w:t>
            </w:r>
          </w:p>
          <w:p w14:paraId="411970F4">
            <w:pPr>
              <w:spacing w:line="360" w:lineRule="auto"/>
              <w:rPr>
                <w:rFonts w:ascii="宋体" w:hAnsi="宋体" w:eastAsia="宋体" w:cs="宋体"/>
                <w:bCs/>
                <w:color w:val="000000"/>
                <w:sz w:val="18"/>
                <w:szCs w:val="18"/>
              </w:rPr>
            </w:pPr>
            <w:r>
              <w:rPr>
                <w:rFonts w:hint="eastAsia" w:ascii="黑体" w:hAnsi="黑体" w:eastAsia="黑体" w:cs="宋体"/>
                <w:bCs/>
                <w:sz w:val="18"/>
                <w:szCs w:val="18"/>
              </w:rPr>
              <w:t>注：当销售机构销售产品风险评级为</w:t>
            </w:r>
            <w:r>
              <w:rPr>
                <w:rFonts w:ascii="黑体" w:hAnsi="黑体" w:eastAsia="黑体" w:cs="宋体"/>
                <w:bCs/>
                <w:sz w:val="18"/>
                <w:szCs w:val="18"/>
              </w:rPr>
              <w:t>R4</w:t>
            </w:r>
            <w:r>
              <w:rPr>
                <w:rFonts w:hint="eastAsia" w:ascii="黑体" w:hAnsi="黑体" w:eastAsia="黑体" w:cs="宋体"/>
                <w:bCs/>
                <w:sz w:val="18"/>
                <w:szCs w:val="18"/>
              </w:rPr>
              <w:t>及</w:t>
            </w:r>
            <w:r>
              <w:rPr>
                <w:rFonts w:ascii="黑体" w:hAnsi="黑体" w:eastAsia="黑体" w:cs="宋体"/>
                <w:bCs/>
                <w:sz w:val="18"/>
                <w:szCs w:val="18"/>
              </w:rPr>
              <w:t>以上</w:t>
            </w:r>
            <w:r>
              <w:rPr>
                <w:rFonts w:hint="eastAsia" w:ascii="黑体" w:hAnsi="黑体" w:eastAsia="黑体" w:cs="宋体"/>
                <w:bCs/>
                <w:sz w:val="18"/>
                <w:szCs w:val="18"/>
              </w:rPr>
              <w:t>的理财产品时，可在销售机构的营业网点进行，也可依据销售机构的政策在营业网点之外的其他场景进行（具体政策以销售机构公布执行的为准）。</w:t>
            </w:r>
          </w:p>
        </w:tc>
      </w:tr>
      <w:tr w14:paraId="278F4A5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1983528A">
            <w:pPr>
              <w:spacing w:line="360" w:lineRule="auto"/>
              <w:jc w:val="left"/>
              <w:rPr>
                <w:rFonts w:ascii="Calibri" w:hAnsi="宋体" w:cs="宋体"/>
                <w:sz w:val="18"/>
                <w:szCs w:val="18"/>
              </w:rPr>
            </w:pPr>
            <w:r>
              <w:rPr>
                <w:rFonts w:hint="eastAsia" w:ascii="宋体" w:hAnsi="宋体" w:eastAsia="宋体" w:cs="宋体"/>
                <w:b/>
                <w:sz w:val="18"/>
                <w:szCs w:val="18"/>
              </w:rPr>
              <w:t>销售机构</w:t>
            </w:r>
          </w:p>
        </w:tc>
        <w:tc>
          <w:tcPr>
            <w:tcW w:w="7704" w:type="dxa"/>
            <w:shd w:val="solid" w:color="FFFFFF" w:fill="FFFFFF"/>
            <w:vAlign w:val="center"/>
          </w:tcPr>
          <w:p w14:paraId="5E3C5DF7">
            <w:pPr>
              <w:spacing w:line="360" w:lineRule="auto"/>
              <w:jc w:val="left"/>
              <w:rPr>
                <w:rFonts w:ascii="宋体" w:hAnsi="宋体" w:cs="宋体"/>
                <w:sz w:val="18"/>
                <w:szCs w:val="18"/>
              </w:rPr>
            </w:pPr>
            <w:r>
              <w:rPr>
                <w:rFonts w:hint="eastAsia" w:ascii="宋体" w:hAnsi="宋体" w:cs="宋体"/>
                <w:sz w:val="18"/>
                <w:szCs w:val="18"/>
              </w:rPr>
              <w:t>□ 直销适用</w:t>
            </w:r>
          </w:p>
          <w:p w14:paraId="0CA79AE0">
            <w:pPr>
              <w:spacing w:line="360" w:lineRule="auto"/>
              <w:jc w:val="left"/>
              <w:rPr>
                <w:rFonts w:ascii="宋体" w:hAnsi="宋体" w:cs="宋体"/>
                <w:sz w:val="18"/>
                <w:szCs w:val="18"/>
              </w:rPr>
            </w:pPr>
            <w:r>
              <w:rPr>
                <w:rFonts w:hint="eastAsia" w:ascii="宋体" w:hAnsi="宋体" w:cs="宋体"/>
                <w:sz w:val="18"/>
                <w:szCs w:val="18"/>
              </w:rPr>
              <w:t>本产品由产品管理人销售。</w:t>
            </w:r>
          </w:p>
          <w:p w14:paraId="19603BB4">
            <w:pPr>
              <w:spacing w:line="360" w:lineRule="auto"/>
              <w:jc w:val="left"/>
              <w:rPr>
                <w:rFonts w:ascii="宋体" w:hAnsi="宋体" w:cs="宋体"/>
                <w:sz w:val="18"/>
                <w:szCs w:val="18"/>
              </w:rPr>
            </w:pPr>
            <w:r>
              <w:rPr>
                <w:rFonts w:hint="eastAsia" w:ascii="宋体" w:hAnsi="宋体" w:eastAsia="宋体" w:cs="宋体"/>
                <w:bCs/>
                <w:sz w:val="18"/>
                <w:szCs w:val="18"/>
              </w:rPr>
              <w:t>■</w:t>
            </w:r>
            <w:r>
              <w:rPr>
                <w:rFonts w:hint="eastAsia" w:ascii="宋体" w:hAnsi="宋体" w:cs="宋体"/>
                <w:sz w:val="18"/>
                <w:szCs w:val="18"/>
              </w:rPr>
              <w:t xml:space="preserve"> 代销适用</w:t>
            </w:r>
          </w:p>
          <w:p w14:paraId="78E72278">
            <w:pPr>
              <w:spacing w:line="360" w:lineRule="auto"/>
              <w:jc w:val="left"/>
              <w:rPr>
                <w:rFonts w:ascii="宋体" w:hAnsi="宋体" w:cs="宋体"/>
                <w:sz w:val="18"/>
                <w:szCs w:val="18"/>
              </w:rPr>
            </w:pPr>
            <w:r>
              <w:rPr>
                <w:rFonts w:hint="eastAsia" w:ascii="宋体" w:hAnsi="宋体" w:cs="宋体"/>
                <w:sz w:val="18"/>
                <w:szCs w:val="18"/>
              </w:rPr>
              <w:t>本产品由代理销售机构</w:t>
            </w:r>
            <w:r>
              <w:rPr>
                <w:rFonts w:ascii="宋体" w:hAnsi="宋体" w:cs="宋体"/>
                <w:sz w:val="18"/>
                <w:szCs w:val="18"/>
              </w:rPr>
              <w:t>销售</w:t>
            </w:r>
            <w:r>
              <w:rPr>
                <w:rFonts w:hint="eastAsia" w:ascii="宋体" w:hAnsi="宋体" w:cs="宋体"/>
                <w:sz w:val="18"/>
                <w:szCs w:val="18"/>
              </w:rPr>
              <w:t>。</w:t>
            </w:r>
          </w:p>
          <w:p w14:paraId="5AFC575A">
            <w:pPr>
              <w:spacing w:line="360" w:lineRule="auto"/>
              <w:rPr>
                <w:rFonts w:ascii="宋体" w:hAnsi="宋体" w:eastAsia="宋体" w:cs="宋体"/>
                <w:bCs/>
                <w:sz w:val="18"/>
                <w:szCs w:val="18"/>
              </w:rPr>
            </w:pPr>
            <w:r>
              <w:rPr>
                <w:rFonts w:hint="eastAsia" w:ascii="宋体" w:hAnsi="宋体" w:cs="宋体"/>
                <w:sz w:val="18"/>
                <w:szCs w:val="18"/>
              </w:rPr>
              <w:t>代理销售</w:t>
            </w:r>
            <w:r>
              <w:rPr>
                <w:rFonts w:ascii="宋体" w:hAnsi="宋体" w:cs="宋体"/>
                <w:sz w:val="18"/>
                <w:szCs w:val="18"/>
              </w:rPr>
              <w:t>机构</w:t>
            </w:r>
            <w:r>
              <w:rPr>
                <w:rFonts w:hint="eastAsia" w:ascii="宋体" w:hAnsi="宋体" w:cs="宋体"/>
                <w:sz w:val="18"/>
                <w:szCs w:val="18"/>
              </w:rPr>
              <w:t>合作业务</w:t>
            </w:r>
            <w:r>
              <w:rPr>
                <w:rFonts w:ascii="宋体" w:hAnsi="宋体" w:cs="宋体"/>
                <w:sz w:val="18"/>
                <w:szCs w:val="18"/>
              </w:rPr>
              <w:t>情况</w:t>
            </w:r>
            <w:r>
              <w:rPr>
                <w:rFonts w:hint="eastAsia" w:ascii="宋体" w:hAnsi="宋体" w:cs="宋体"/>
                <w:sz w:val="18"/>
                <w:szCs w:val="18"/>
              </w:rPr>
              <w:t>以</w:t>
            </w:r>
            <w:r>
              <w:rPr>
                <w:rFonts w:ascii="宋体" w:hAnsi="宋体" w:cs="宋体"/>
                <w:sz w:val="18"/>
                <w:szCs w:val="18"/>
              </w:rPr>
              <w:t>产品管理人</w:t>
            </w:r>
            <w:r>
              <w:rPr>
                <w:rFonts w:hint="eastAsia" w:ascii="宋体" w:hAnsi="宋体" w:cs="宋体"/>
                <w:sz w:val="18"/>
                <w:szCs w:val="18"/>
              </w:rPr>
              <w:t>公告为准，</w:t>
            </w:r>
            <w:r>
              <w:rPr>
                <w:rFonts w:ascii="宋体" w:hAnsi="宋体" w:cs="宋体"/>
                <w:sz w:val="18"/>
                <w:szCs w:val="18"/>
              </w:rPr>
              <w:t>具体代理</w:t>
            </w:r>
            <w:r>
              <w:rPr>
                <w:rFonts w:hint="eastAsia" w:ascii="宋体" w:hAnsi="宋体" w:cs="宋体"/>
                <w:sz w:val="18"/>
                <w:szCs w:val="18"/>
              </w:rPr>
              <w:t>销售机构</w:t>
            </w:r>
            <w:r>
              <w:rPr>
                <w:rFonts w:ascii="宋体" w:hAnsi="宋体" w:cs="宋体"/>
                <w:sz w:val="18"/>
                <w:szCs w:val="18"/>
              </w:rPr>
              <w:t>以《</w:t>
            </w:r>
            <w:r>
              <w:rPr>
                <w:rFonts w:hint="eastAsia" w:ascii="宋体" w:hAnsi="宋体" w:cs="宋体"/>
                <w:sz w:val="18"/>
                <w:szCs w:val="18"/>
              </w:rPr>
              <w:t>（代理）</w:t>
            </w:r>
            <w:r>
              <w:rPr>
                <w:rFonts w:ascii="宋体" w:hAnsi="宋体" w:cs="宋体"/>
                <w:sz w:val="18"/>
                <w:szCs w:val="18"/>
              </w:rPr>
              <w:t>销售协议书》</w:t>
            </w:r>
            <w:r>
              <w:rPr>
                <w:rFonts w:hint="eastAsia" w:ascii="宋体" w:hAnsi="宋体" w:cs="宋体"/>
                <w:sz w:val="18"/>
                <w:szCs w:val="18"/>
              </w:rPr>
              <w:t>为准</w:t>
            </w:r>
            <w:r>
              <w:rPr>
                <w:rFonts w:ascii="宋体" w:hAnsi="宋体" w:cs="宋体"/>
                <w:sz w:val="18"/>
                <w:szCs w:val="18"/>
              </w:rPr>
              <w:t>。</w:t>
            </w:r>
          </w:p>
        </w:tc>
      </w:tr>
      <w:tr w14:paraId="1CF6212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04C5B9CD">
            <w:pPr>
              <w:spacing w:line="360" w:lineRule="auto"/>
              <w:jc w:val="left"/>
              <w:rPr>
                <w:rFonts w:ascii="Calibri" w:hAnsi="宋体" w:cs="宋体"/>
                <w:sz w:val="18"/>
                <w:szCs w:val="18"/>
              </w:rPr>
            </w:pPr>
            <w:r>
              <w:rPr>
                <w:rFonts w:hint="eastAsia" w:ascii="宋体" w:hAnsi="宋体" w:eastAsia="宋体" w:cs="宋体"/>
                <w:b/>
                <w:bCs/>
                <w:sz w:val="18"/>
                <w:szCs w:val="18"/>
              </w:rPr>
              <w:t>理财产品</w:t>
            </w:r>
            <w:r>
              <w:rPr>
                <w:rFonts w:ascii="宋体" w:hAnsi="宋体" w:eastAsia="宋体" w:cs="宋体"/>
                <w:b/>
                <w:bCs/>
                <w:sz w:val="18"/>
                <w:szCs w:val="18"/>
              </w:rPr>
              <w:t>管理人</w:t>
            </w:r>
          </w:p>
        </w:tc>
        <w:tc>
          <w:tcPr>
            <w:tcW w:w="7704" w:type="dxa"/>
            <w:shd w:val="solid" w:color="FFFFFF" w:fill="FFFFFF"/>
            <w:vAlign w:val="center"/>
          </w:tcPr>
          <w:p w14:paraId="09016CFE">
            <w:pPr>
              <w:spacing w:line="360" w:lineRule="auto"/>
              <w:rPr>
                <w:rFonts w:ascii="宋体" w:hAnsi="宋体" w:eastAsia="宋体" w:cs="宋体"/>
                <w:bCs/>
                <w:sz w:val="18"/>
                <w:szCs w:val="18"/>
              </w:rPr>
            </w:pPr>
            <w:r>
              <w:rPr>
                <w:rFonts w:hint="eastAsia" w:ascii="宋体" w:hAnsi="宋体" w:eastAsia="宋体" w:cs="宋体"/>
                <w:bCs/>
                <w:sz w:val="18"/>
                <w:szCs w:val="18"/>
              </w:rPr>
              <w:t>兴银理财有限责任公司</w:t>
            </w:r>
          </w:p>
        </w:tc>
      </w:tr>
      <w:tr w14:paraId="07A8037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26325ADF">
            <w:pPr>
              <w:spacing w:line="360" w:lineRule="auto"/>
              <w:jc w:val="left"/>
              <w:rPr>
                <w:rFonts w:ascii="Calibri" w:hAnsi="宋体" w:cs="宋体"/>
                <w:sz w:val="18"/>
                <w:szCs w:val="18"/>
              </w:rPr>
            </w:pPr>
            <w:r>
              <w:rPr>
                <w:rFonts w:hint="eastAsia" w:ascii="宋体" w:hAnsi="宋体" w:eastAsia="宋体" w:cs="宋体"/>
                <w:b/>
                <w:bCs/>
                <w:sz w:val="18"/>
                <w:szCs w:val="18"/>
              </w:rPr>
              <w:t>理财产品托管人</w:t>
            </w:r>
          </w:p>
        </w:tc>
        <w:tc>
          <w:tcPr>
            <w:tcW w:w="7704" w:type="dxa"/>
            <w:shd w:val="solid" w:color="FFFFFF" w:fill="FFFFFF"/>
            <w:vAlign w:val="center"/>
          </w:tcPr>
          <w:p w14:paraId="11350DC9">
            <w:pPr>
              <w:spacing w:line="360" w:lineRule="auto"/>
              <w:rPr>
                <w:rFonts w:ascii="宋体" w:hAnsi="宋体" w:eastAsia="宋体" w:cs="宋体"/>
                <w:bCs/>
                <w:sz w:val="18"/>
                <w:szCs w:val="18"/>
              </w:rPr>
            </w:pPr>
            <w:r>
              <w:rPr>
                <w:rFonts w:hint="eastAsia" w:ascii="宋体" w:hAnsi="宋体" w:eastAsia="宋体" w:cs="宋体"/>
                <w:bCs/>
                <w:sz w:val="18"/>
                <w:szCs w:val="18"/>
              </w:rPr>
              <w:t>兴业银行股份有限公司</w:t>
            </w:r>
          </w:p>
        </w:tc>
      </w:tr>
      <w:tr w14:paraId="3F7FEEB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75954715">
            <w:pPr>
              <w:spacing w:line="360" w:lineRule="auto"/>
              <w:jc w:val="left"/>
              <w:rPr>
                <w:rFonts w:ascii="宋体" w:hAnsi="宋体" w:eastAsia="宋体" w:cs="宋体"/>
                <w:b/>
                <w:bCs/>
                <w:sz w:val="18"/>
                <w:szCs w:val="18"/>
              </w:rPr>
            </w:pPr>
            <w:r>
              <w:rPr>
                <w:rFonts w:hint="eastAsia" w:ascii="宋体" w:hAnsi="宋体" w:eastAsia="宋体" w:cs="宋体"/>
                <w:b/>
                <w:bCs/>
                <w:sz w:val="18"/>
                <w:szCs w:val="18"/>
              </w:rPr>
              <w:t>产品规模</w:t>
            </w:r>
          </w:p>
        </w:tc>
        <w:tc>
          <w:tcPr>
            <w:tcW w:w="7704" w:type="dxa"/>
            <w:shd w:val="solid" w:color="FFFFFF" w:fill="FFFFFF"/>
            <w:vAlign w:val="center"/>
          </w:tcPr>
          <w:p w14:paraId="69AF3D07">
            <w:pPr>
              <w:spacing w:line="360" w:lineRule="auto"/>
              <w:rPr>
                <w:rFonts w:ascii="宋体" w:hAnsi="宋体" w:eastAsia="宋体" w:cs="宋体"/>
                <w:bCs/>
                <w:sz w:val="18"/>
                <w:szCs w:val="18"/>
              </w:rPr>
            </w:pPr>
            <w:r>
              <w:rPr>
                <w:rFonts w:hint="eastAsia" w:ascii="宋体" w:hAnsi="宋体" w:eastAsia="宋体" w:cs="宋体"/>
                <w:bCs/>
                <w:sz w:val="18"/>
                <w:szCs w:val="18"/>
              </w:rPr>
              <w:t>1.本产品计划初始</w:t>
            </w:r>
            <w:r>
              <w:rPr>
                <w:rFonts w:ascii="宋体" w:hAnsi="宋体" w:eastAsia="宋体" w:cs="宋体"/>
                <w:bCs/>
                <w:sz w:val="18"/>
                <w:szCs w:val="18"/>
              </w:rPr>
              <w:t>募集</w:t>
            </w:r>
            <w:r>
              <w:rPr>
                <w:rFonts w:hint="eastAsia" w:ascii="宋体" w:hAnsi="宋体" w:eastAsia="宋体" w:cs="宋体"/>
                <w:bCs/>
                <w:sz w:val="18"/>
                <w:szCs w:val="18"/>
              </w:rPr>
              <w:t>规模为【</w:t>
            </w:r>
            <w:bookmarkStart w:id="85" w:name="pro_size"/>
            <w:bookmarkEnd w:id="85"/>
            <w:r>
              <w:rPr>
                <w:rFonts w:hint="eastAsia" w:ascii="宋体" w:hAnsi="宋体" w:eastAsia="宋体" w:cs="宋体"/>
                <w:bCs/>
                <w:sz w:val="18"/>
                <w:szCs w:val="18"/>
                <w:lang w:val="en-US" w:eastAsia="zh-CN"/>
              </w:rPr>
              <w:t>0.8</w:t>
            </w:r>
            <w:r>
              <w:rPr>
                <w:rFonts w:hint="eastAsia" w:ascii="宋体" w:hAnsi="宋体" w:eastAsia="宋体" w:cs="宋体"/>
                <w:bCs/>
                <w:sz w:val="18"/>
                <w:szCs w:val="18"/>
              </w:rPr>
              <w:t>】亿元，最小成立规模为【/】亿元。</w:t>
            </w:r>
          </w:p>
          <w:p w14:paraId="38F4B911">
            <w:pPr>
              <w:spacing w:line="360" w:lineRule="auto"/>
              <w:rPr>
                <w:rFonts w:ascii="宋体" w:hAnsi="宋体" w:eastAsia="宋体" w:cs="宋体"/>
                <w:bCs/>
                <w:sz w:val="18"/>
                <w:szCs w:val="18"/>
              </w:rPr>
            </w:pPr>
            <w:r>
              <w:rPr>
                <w:rFonts w:hint="eastAsia" w:ascii="宋体" w:hAnsi="宋体" w:eastAsia="宋体" w:cs="宋体"/>
                <w:bCs/>
                <w:sz w:val="18"/>
                <w:szCs w:val="18"/>
              </w:rPr>
              <w:t>2.产品管理人</w:t>
            </w:r>
            <w:r>
              <w:rPr>
                <w:rFonts w:ascii="宋体" w:hAnsi="宋体" w:eastAsia="宋体" w:cs="宋体"/>
                <w:bCs/>
                <w:sz w:val="18"/>
                <w:szCs w:val="18"/>
              </w:rPr>
              <w:t>有权根据实际需要对产品规模进行调整，产品最终规模以</w:t>
            </w:r>
            <w:r>
              <w:rPr>
                <w:rFonts w:hint="eastAsia" w:ascii="宋体" w:hAnsi="宋体" w:eastAsia="宋体" w:cs="宋体"/>
                <w:bCs/>
                <w:sz w:val="18"/>
                <w:szCs w:val="18"/>
              </w:rPr>
              <w:t>产品管理人</w:t>
            </w:r>
            <w:r>
              <w:rPr>
                <w:rFonts w:ascii="宋体" w:hAnsi="宋体" w:eastAsia="宋体" w:cs="宋体"/>
                <w:bCs/>
                <w:sz w:val="18"/>
                <w:szCs w:val="18"/>
              </w:rPr>
              <w:t>实际募集/管理的</w:t>
            </w:r>
            <w:r>
              <w:rPr>
                <w:rFonts w:hint="eastAsia" w:ascii="宋体" w:hAnsi="宋体" w:eastAsia="宋体" w:cs="宋体"/>
                <w:bCs/>
                <w:sz w:val="18"/>
                <w:szCs w:val="18"/>
              </w:rPr>
              <w:t>金</w:t>
            </w:r>
            <w:r>
              <w:rPr>
                <w:rFonts w:ascii="宋体" w:hAnsi="宋体" w:eastAsia="宋体" w:cs="宋体"/>
                <w:bCs/>
                <w:sz w:val="18"/>
                <w:szCs w:val="18"/>
              </w:rPr>
              <w:t>额为准。</w:t>
            </w:r>
          </w:p>
        </w:tc>
      </w:tr>
      <w:tr w14:paraId="45C468A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388D4569">
            <w:pPr>
              <w:spacing w:line="360" w:lineRule="auto"/>
              <w:jc w:val="left"/>
              <w:rPr>
                <w:rFonts w:ascii="宋体" w:hAnsi="宋体" w:eastAsia="宋体" w:cs="宋体"/>
                <w:b/>
                <w:bCs/>
                <w:sz w:val="18"/>
                <w:szCs w:val="18"/>
              </w:rPr>
            </w:pPr>
            <w:r>
              <w:rPr>
                <w:rFonts w:hint="eastAsia" w:ascii="宋体" w:hAnsi="宋体" w:eastAsia="宋体" w:cs="宋体"/>
                <w:b/>
                <w:sz w:val="18"/>
                <w:szCs w:val="18"/>
              </w:rPr>
              <w:t>产品期限</w:t>
            </w:r>
          </w:p>
        </w:tc>
        <w:tc>
          <w:tcPr>
            <w:tcW w:w="7704" w:type="dxa"/>
            <w:shd w:val="solid" w:color="FFFFFF" w:fill="FFFFFF"/>
            <w:vAlign w:val="center"/>
          </w:tcPr>
          <w:p w14:paraId="0C9CD643">
            <w:pPr>
              <w:spacing w:line="360" w:lineRule="auto"/>
              <w:rPr>
                <w:rFonts w:ascii="宋体" w:hAnsi="宋体" w:eastAsia="宋体" w:cs="宋体"/>
                <w:bCs/>
                <w:sz w:val="18"/>
                <w:szCs w:val="18"/>
              </w:rPr>
            </w:pPr>
            <w:r>
              <w:rPr>
                <w:rFonts w:hint="eastAsia" w:ascii="宋体" w:hAnsi="宋体" w:eastAsia="宋体" w:cs="宋体"/>
                <w:bCs/>
                <w:sz w:val="18"/>
                <w:szCs w:val="18"/>
              </w:rPr>
              <w:t>□有固定期限：【/】</w:t>
            </w:r>
          </w:p>
          <w:p w14:paraId="2DF3485C">
            <w:pPr>
              <w:spacing w:line="360" w:lineRule="auto"/>
              <w:rPr>
                <w:rFonts w:ascii="宋体" w:hAnsi="宋体" w:eastAsia="宋体" w:cs="仿宋_GB2312"/>
                <w:kern w:val="0"/>
                <w:sz w:val="18"/>
                <w:szCs w:val="18"/>
              </w:rPr>
            </w:pPr>
            <w:r>
              <w:rPr>
                <w:rFonts w:hint="eastAsia" w:ascii="宋体" w:hAnsi="宋体" w:eastAsia="宋体" w:cs="宋体"/>
                <w:bCs/>
                <w:sz w:val="18"/>
                <w:szCs w:val="18"/>
              </w:rPr>
              <w:t>■</w:t>
            </w:r>
            <w:r>
              <w:rPr>
                <w:rFonts w:hint="eastAsia" w:ascii="宋体" w:hAnsi="宋体" w:eastAsia="宋体" w:cs="仿宋_GB2312"/>
                <w:kern w:val="0"/>
                <w:sz w:val="18"/>
                <w:szCs w:val="18"/>
              </w:rPr>
              <w:t>无固定期限</w:t>
            </w:r>
          </w:p>
          <w:p w14:paraId="4425F756">
            <w:pPr>
              <w:spacing w:line="360" w:lineRule="auto"/>
              <w:rPr>
                <w:rFonts w:ascii="宋体" w:hAnsi="宋体" w:eastAsia="宋体" w:cs="仿宋_GB2312"/>
                <w:kern w:val="0"/>
                <w:sz w:val="18"/>
                <w:szCs w:val="18"/>
              </w:rPr>
            </w:pPr>
            <w:r>
              <w:rPr>
                <w:rFonts w:hint="eastAsia" w:ascii="黑体" w:hAnsi="黑体" w:eastAsia="黑体" w:cs="宋体"/>
                <w:bCs/>
                <w:sz w:val="18"/>
                <w:szCs w:val="18"/>
              </w:rPr>
              <w:t>注：本产品的实际期限受制于本理财产品销售文件“提前终止”及“延期终止”情形。</w:t>
            </w:r>
          </w:p>
        </w:tc>
      </w:tr>
      <w:tr w14:paraId="61D8BAF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5EE65FFB">
            <w:pPr>
              <w:spacing w:line="360" w:lineRule="auto"/>
              <w:jc w:val="left"/>
              <w:rPr>
                <w:rFonts w:ascii="宋体" w:hAnsi="宋体" w:eastAsia="宋体" w:cs="宋体"/>
                <w:b/>
                <w:bCs/>
                <w:sz w:val="18"/>
                <w:szCs w:val="18"/>
              </w:rPr>
            </w:pPr>
            <w:r>
              <w:rPr>
                <w:rFonts w:hint="eastAsia" w:ascii="宋体" w:hAnsi="宋体" w:cs="宋体"/>
                <w:b/>
                <w:sz w:val="18"/>
                <w:szCs w:val="18"/>
              </w:rPr>
              <w:t>认购期/募集期</w:t>
            </w:r>
          </w:p>
        </w:tc>
        <w:tc>
          <w:tcPr>
            <w:tcW w:w="7704" w:type="dxa"/>
            <w:shd w:val="solid" w:color="FFFFFF" w:fill="FFFFFF"/>
            <w:vAlign w:val="center"/>
          </w:tcPr>
          <w:p w14:paraId="7F230BB3">
            <w:pPr>
              <w:spacing w:line="360" w:lineRule="auto"/>
              <w:rPr>
                <w:rFonts w:ascii="宋体" w:hAnsi="宋体" w:cs="宋体"/>
                <w:bCs/>
                <w:sz w:val="18"/>
                <w:szCs w:val="18"/>
              </w:rPr>
            </w:pPr>
            <w:r>
              <w:rPr>
                <w:rFonts w:ascii="宋体" w:hAnsi="宋体" w:cs="宋体"/>
                <w:bCs/>
                <w:sz w:val="18"/>
                <w:szCs w:val="18"/>
              </w:rPr>
              <w:t>1</w:t>
            </w:r>
            <w:r>
              <w:rPr>
                <w:rFonts w:hint="eastAsia" w:ascii="宋体" w:hAnsi="宋体" w:cs="宋体"/>
                <w:bCs/>
                <w:sz w:val="18"/>
                <w:szCs w:val="18"/>
              </w:rPr>
              <w:t>.</w:t>
            </w:r>
            <w:r>
              <w:rPr>
                <w:rFonts w:ascii="宋体" w:hAnsi="宋体" w:cs="宋体"/>
                <w:bCs/>
                <w:sz w:val="18"/>
                <w:szCs w:val="18"/>
              </w:rPr>
              <w:t>本产品认购期/募集期为</w:t>
            </w:r>
            <w:r>
              <w:rPr>
                <w:rFonts w:hint="eastAsia" w:ascii="宋体" w:hAnsi="宋体" w:cs="宋体"/>
                <w:bCs/>
                <w:sz w:val="18"/>
                <w:szCs w:val="18"/>
              </w:rPr>
              <w:t>：</w:t>
            </w:r>
            <w:bookmarkStart w:id="86" w:name="buy_begin"/>
            <w:bookmarkEnd w:id="86"/>
            <w:r>
              <w:rPr>
                <w:rFonts w:hint="eastAsia" w:ascii="宋体" w:hAnsi="宋体" w:cs="宋体"/>
                <w:bCs/>
                <w:sz w:val="18"/>
                <w:szCs w:val="18"/>
                <w:lang w:eastAsia="zh-CN"/>
              </w:rPr>
              <w:t>【2025】年【</w:t>
            </w:r>
            <w:r>
              <w:rPr>
                <w:rFonts w:hint="eastAsia" w:ascii="宋体" w:hAnsi="宋体" w:cs="宋体"/>
                <w:bCs/>
                <w:sz w:val="18"/>
                <w:szCs w:val="18"/>
                <w:lang w:val="en-US" w:eastAsia="zh-CN"/>
              </w:rPr>
              <w:t>12</w:t>
            </w:r>
            <w:r>
              <w:rPr>
                <w:rFonts w:hint="eastAsia" w:ascii="宋体" w:hAnsi="宋体" w:cs="宋体"/>
                <w:bCs/>
                <w:sz w:val="18"/>
                <w:szCs w:val="18"/>
                <w:lang w:eastAsia="zh-CN"/>
              </w:rPr>
              <w:t>】月【</w:t>
            </w:r>
            <w:r>
              <w:rPr>
                <w:rFonts w:hint="eastAsia" w:ascii="宋体" w:hAnsi="宋体" w:cs="宋体"/>
                <w:bCs/>
                <w:sz w:val="18"/>
                <w:szCs w:val="18"/>
                <w:lang w:val="en-US" w:eastAsia="zh-CN"/>
              </w:rPr>
              <w:t>8</w:t>
            </w:r>
            <w:r>
              <w:rPr>
                <w:rFonts w:hint="eastAsia" w:ascii="宋体" w:hAnsi="宋体" w:cs="宋体"/>
                <w:bCs/>
                <w:sz w:val="18"/>
                <w:szCs w:val="18"/>
                <w:lang w:eastAsia="zh-CN"/>
              </w:rPr>
              <w:t>】日</w:t>
            </w:r>
            <w:r>
              <w:rPr>
                <w:rFonts w:hint="eastAsia" w:ascii="宋体" w:hAnsi="宋体" w:cs="Times New Roman"/>
                <w:sz w:val="18"/>
                <w:szCs w:val="18"/>
              </w:rPr>
              <w:t>【9:00】</w:t>
            </w:r>
            <w:r>
              <w:rPr>
                <w:rFonts w:hint="eastAsia" w:ascii="宋体" w:hAnsi="宋体" w:cs="仿宋_GB2312"/>
                <w:sz w:val="18"/>
                <w:szCs w:val="18"/>
              </w:rPr>
              <w:t>至</w:t>
            </w:r>
            <w:bookmarkStart w:id="87" w:name="buy_end"/>
            <w:bookmarkEnd w:id="87"/>
            <w:r>
              <w:rPr>
                <w:rFonts w:hint="eastAsia" w:ascii="宋体" w:hAnsi="宋体" w:cs="仿宋_GB2312"/>
                <w:sz w:val="18"/>
                <w:szCs w:val="18"/>
                <w:lang w:eastAsia="zh-CN"/>
              </w:rPr>
              <w:t>【2025】年【1</w:t>
            </w:r>
            <w:r>
              <w:rPr>
                <w:rFonts w:hint="eastAsia" w:ascii="宋体" w:hAnsi="宋体" w:cs="仿宋_GB2312"/>
                <w:sz w:val="18"/>
                <w:szCs w:val="18"/>
                <w:lang w:val="en-US" w:eastAsia="zh-CN"/>
              </w:rPr>
              <w:t>2</w:t>
            </w:r>
            <w:r>
              <w:rPr>
                <w:rFonts w:hint="eastAsia" w:ascii="宋体" w:hAnsi="宋体" w:cs="仿宋_GB2312"/>
                <w:sz w:val="18"/>
                <w:szCs w:val="18"/>
                <w:lang w:eastAsia="zh-CN"/>
              </w:rPr>
              <w:t>】月【</w:t>
            </w:r>
            <w:r>
              <w:rPr>
                <w:rFonts w:hint="eastAsia" w:ascii="宋体" w:hAnsi="宋体" w:cs="仿宋_GB2312"/>
                <w:sz w:val="18"/>
                <w:szCs w:val="18"/>
                <w:lang w:val="en-US" w:eastAsia="zh-CN"/>
              </w:rPr>
              <w:t>9</w:t>
            </w:r>
            <w:r>
              <w:rPr>
                <w:rFonts w:hint="eastAsia" w:ascii="宋体" w:hAnsi="宋体" w:cs="仿宋_GB2312"/>
                <w:sz w:val="18"/>
                <w:szCs w:val="18"/>
                <w:lang w:eastAsia="zh-CN"/>
              </w:rPr>
              <w:t>】日</w:t>
            </w:r>
            <w:r>
              <w:rPr>
                <w:rFonts w:hint="eastAsia" w:ascii="宋体" w:hAnsi="宋体" w:eastAsia="宋体" w:cs="宋体"/>
                <w:sz w:val="18"/>
                <w:szCs w:val="18"/>
              </w:rPr>
              <w:t>【</w:t>
            </w:r>
            <w:bookmarkStart w:id="88" w:name="trade_end1"/>
            <w:bookmarkEnd w:id="88"/>
            <w:r>
              <w:rPr>
                <w:rFonts w:hint="eastAsia" w:ascii="宋体" w:hAnsi="宋体" w:eastAsia="宋体" w:cs="宋体"/>
                <w:sz w:val="18"/>
                <w:szCs w:val="18"/>
                <w:lang w:eastAsia="zh-CN"/>
              </w:rPr>
              <w:t>17:00</w:t>
            </w:r>
            <w:r>
              <w:rPr>
                <w:rFonts w:hint="eastAsia" w:ascii="宋体" w:hAnsi="宋体" w:eastAsia="宋体" w:cs="宋体"/>
                <w:sz w:val="18"/>
                <w:szCs w:val="18"/>
              </w:rPr>
              <w:t>】</w:t>
            </w:r>
            <w:r>
              <w:rPr>
                <w:rFonts w:ascii="宋体" w:hAnsi="宋体" w:eastAsia="宋体" w:cs="宋体"/>
                <w:sz w:val="18"/>
                <w:szCs w:val="18"/>
              </w:rPr>
              <w:t>。</w:t>
            </w:r>
          </w:p>
          <w:p w14:paraId="3A43E083">
            <w:pPr>
              <w:spacing w:line="360" w:lineRule="auto"/>
              <w:rPr>
                <w:rFonts w:ascii="宋体" w:hAnsi="宋体" w:cs="宋体"/>
                <w:bCs/>
                <w:sz w:val="18"/>
                <w:szCs w:val="18"/>
              </w:rPr>
            </w:pPr>
            <w:r>
              <w:rPr>
                <w:rFonts w:ascii="宋体" w:hAnsi="宋体" w:cs="宋体"/>
                <w:bCs/>
                <w:sz w:val="18"/>
                <w:szCs w:val="18"/>
              </w:rPr>
              <w:t>2</w:t>
            </w:r>
            <w:r>
              <w:rPr>
                <w:rFonts w:hint="eastAsia" w:ascii="宋体" w:hAnsi="宋体" w:cs="宋体"/>
                <w:bCs/>
                <w:sz w:val="18"/>
                <w:szCs w:val="18"/>
              </w:rPr>
              <w:t>.投资者在认购期/募集</w:t>
            </w:r>
            <w:r>
              <w:rPr>
                <w:rFonts w:hint="eastAsia" w:ascii="宋体" w:hAnsi="宋体" w:cs="宋体"/>
                <w:sz w:val="18"/>
                <w:szCs w:val="22"/>
              </w:rPr>
              <w:t>期内认购</w:t>
            </w:r>
            <w:r>
              <w:rPr>
                <w:rFonts w:hint="eastAsia" w:ascii="宋体" w:hAnsi="宋体" w:cs="宋体"/>
                <w:bCs/>
                <w:sz w:val="18"/>
                <w:szCs w:val="18"/>
              </w:rPr>
              <w:t>本</w:t>
            </w:r>
            <w:r>
              <w:rPr>
                <w:rFonts w:hint="eastAsia" w:ascii="宋体" w:hAnsi="宋体" w:cs="宋体"/>
                <w:sz w:val="18"/>
                <w:szCs w:val="22"/>
              </w:rPr>
              <w:t>理财</w:t>
            </w:r>
            <w:r>
              <w:rPr>
                <w:rFonts w:hint="eastAsia" w:ascii="宋体" w:hAnsi="宋体" w:cs="宋体"/>
                <w:bCs/>
                <w:sz w:val="18"/>
                <w:szCs w:val="18"/>
              </w:rPr>
              <w:t>产品后，</w:t>
            </w:r>
            <w:r>
              <w:rPr>
                <w:rFonts w:hint="eastAsia" w:ascii="宋体" w:hAnsi="宋体" w:cs="宋体"/>
                <w:sz w:val="18"/>
                <w:szCs w:val="22"/>
              </w:rPr>
              <w:t>理财</w:t>
            </w:r>
            <w:r>
              <w:rPr>
                <w:rFonts w:hint="eastAsia" w:ascii="宋体" w:hAnsi="宋体" w:cs="宋体"/>
                <w:bCs/>
                <w:sz w:val="18"/>
                <w:szCs w:val="18"/>
              </w:rPr>
              <w:t>资金将在成立日开始进行投资。</w:t>
            </w:r>
          </w:p>
          <w:p w14:paraId="3AECD892">
            <w:pPr>
              <w:spacing w:line="360" w:lineRule="auto"/>
              <w:rPr>
                <w:rFonts w:ascii="宋体" w:hAnsi="宋体" w:cs="宋体"/>
                <w:sz w:val="18"/>
                <w:szCs w:val="22"/>
              </w:rPr>
            </w:pPr>
            <w:r>
              <w:rPr>
                <w:rFonts w:ascii="宋体" w:hAnsi="宋体" w:cs="宋体"/>
                <w:bCs/>
                <w:sz w:val="18"/>
                <w:szCs w:val="18"/>
              </w:rPr>
              <w:t>3</w:t>
            </w:r>
            <w:r>
              <w:rPr>
                <w:rFonts w:hint="eastAsia" w:ascii="宋体" w:hAnsi="宋体" w:cs="宋体"/>
                <w:bCs/>
                <w:sz w:val="18"/>
                <w:szCs w:val="18"/>
              </w:rPr>
              <w:t>.认购期/募集期内资金产生的利息不计入认购资金</w:t>
            </w:r>
            <w:r>
              <w:rPr>
                <w:rFonts w:hint="eastAsia" w:ascii="宋体" w:hAnsi="宋体" w:cs="宋体"/>
                <w:sz w:val="18"/>
                <w:szCs w:val="22"/>
              </w:rPr>
              <w:t>。</w:t>
            </w:r>
          </w:p>
        </w:tc>
      </w:tr>
      <w:tr w14:paraId="333CF55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1DD9BB83">
            <w:pPr>
              <w:spacing w:line="360" w:lineRule="auto"/>
              <w:jc w:val="left"/>
              <w:rPr>
                <w:rFonts w:ascii="宋体" w:hAnsi="宋体" w:eastAsia="宋体" w:cs="宋体"/>
                <w:b/>
                <w:bCs/>
                <w:sz w:val="18"/>
                <w:szCs w:val="18"/>
              </w:rPr>
            </w:pPr>
            <w:r>
              <w:rPr>
                <w:rFonts w:hint="eastAsia" w:ascii="Calibri" w:hAnsi="宋体" w:cs="宋体"/>
                <w:sz w:val="18"/>
                <w:szCs w:val="18"/>
              </w:rPr>
              <w:t>★</w:t>
            </w:r>
            <w:r>
              <w:rPr>
                <w:rFonts w:hint="eastAsia" w:ascii="宋体" w:hAnsi="宋体" w:eastAsia="宋体" w:cs="宋体"/>
                <w:b/>
                <w:bCs/>
                <w:sz w:val="18"/>
                <w:szCs w:val="18"/>
              </w:rPr>
              <w:t>投资冷静期</w:t>
            </w:r>
          </w:p>
        </w:tc>
        <w:tc>
          <w:tcPr>
            <w:tcW w:w="7704" w:type="dxa"/>
            <w:shd w:val="solid" w:color="FFFFFF" w:fill="FFFFFF"/>
            <w:vAlign w:val="center"/>
          </w:tcPr>
          <w:p w14:paraId="28DAFD23">
            <w:pPr>
              <w:spacing w:line="360" w:lineRule="auto"/>
              <w:rPr>
                <w:rFonts w:ascii="宋体" w:hAnsi="宋体" w:eastAsia="宋体" w:cs="宋体"/>
                <w:bCs/>
                <w:sz w:val="18"/>
                <w:szCs w:val="18"/>
              </w:rPr>
            </w:pPr>
            <w:r>
              <w:rPr>
                <w:rFonts w:hint="eastAsia" w:ascii="宋体" w:hAnsi="宋体" w:eastAsia="宋体" w:cs="宋体"/>
                <w:bCs/>
                <w:sz w:val="18"/>
                <w:szCs w:val="18"/>
              </w:rPr>
              <w:t>本产品为公募理财产品，无投资冷静期设置。</w:t>
            </w:r>
          </w:p>
        </w:tc>
      </w:tr>
      <w:tr w14:paraId="14D2A93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763A9752">
            <w:pPr>
              <w:spacing w:line="360" w:lineRule="auto"/>
              <w:jc w:val="left"/>
              <w:rPr>
                <w:rFonts w:ascii="宋体" w:hAnsi="宋体" w:eastAsia="宋体" w:cs="宋体"/>
                <w:b/>
                <w:bCs/>
                <w:sz w:val="18"/>
                <w:szCs w:val="18"/>
              </w:rPr>
            </w:pPr>
            <w:r>
              <w:rPr>
                <w:rFonts w:hint="eastAsia" w:ascii="宋体" w:hAnsi="宋体" w:cs="宋体"/>
                <w:b/>
                <w:bCs/>
                <w:sz w:val="18"/>
                <w:szCs w:val="18"/>
              </w:rPr>
              <w:t>成立日</w:t>
            </w:r>
          </w:p>
        </w:tc>
        <w:tc>
          <w:tcPr>
            <w:tcW w:w="7704" w:type="dxa"/>
            <w:shd w:val="solid" w:color="FFFFFF" w:fill="FFFFFF"/>
            <w:vAlign w:val="center"/>
          </w:tcPr>
          <w:p w14:paraId="1C26DDBA">
            <w:pPr>
              <w:spacing w:line="360" w:lineRule="auto"/>
              <w:rPr>
                <w:rFonts w:ascii="宋体" w:hAnsi="宋体" w:cs="宋体"/>
                <w:bCs/>
                <w:sz w:val="18"/>
                <w:szCs w:val="18"/>
              </w:rPr>
            </w:pPr>
            <w:r>
              <w:rPr>
                <w:rFonts w:ascii="宋体" w:hAnsi="宋体" w:cs="宋体"/>
                <w:bCs/>
                <w:sz w:val="18"/>
                <w:szCs w:val="18"/>
              </w:rPr>
              <w:t>1</w:t>
            </w:r>
            <w:r>
              <w:rPr>
                <w:rFonts w:hint="eastAsia" w:ascii="宋体" w:hAnsi="宋体" w:cs="宋体"/>
                <w:bCs/>
                <w:sz w:val="18"/>
                <w:szCs w:val="18"/>
              </w:rPr>
              <w:t>.本产品的计划成立日为</w:t>
            </w:r>
            <w:r>
              <w:rPr>
                <w:rFonts w:ascii="宋体" w:hAnsi="宋体" w:cs="宋体"/>
                <w:bCs/>
                <w:sz w:val="18"/>
                <w:szCs w:val="18"/>
              </w:rPr>
              <w:t>：</w:t>
            </w:r>
            <w:bookmarkStart w:id="89" w:name="pro_start"/>
            <w:bookmarkEnd w:id="89"/>
            <w:r>
              <w:rPr>
                <w:rFonts w:hint="eastAsia" w:ascii="宋体" w:hAnsi="宋体" w:cs="宋体"/>
                <w:bCs/>
                <w:sz w:val="18"/>
                <w:szCs w:val="18"/>
                <w:lang w:eastAsia="zh-CN"/>
              </w:rPr>
              <w:t>【2025】年【1</w:t>
            </w:r>
            <w:r>
              <w:rPr>
                <w:rFonts w:hint="eastAsia" w:ascii="宋体" w:hAnsi="宋体" w:cs="宋体"/>
                <w:bCs/>
                <w:sz w:val="18"/>
                <w:szCs w:val="18"/>
                <w:lang w:val="en-US" w:eastAsia="zh-CN"/>
              </w:rPr>
              <w:t>2</w:t>
            </w:r>
            <w:r>
              <w:rPr>
                <w:rFonts w:hint="eastAsia" w:ascii="宋体" w:hAnsi="宋体" w:cs="宋体"/>
                <w:bCs/>
                <w:sz w:val="18"/>
                <w:szCs w:val="18"/>
                <w:lang w:eastAsia="zh-CN"/>
              </w:rPr>
              <w:t>】月【</w:t>
            </w:r>
            <w:r>
              <w:rPr>
                <w:rFonts w:hint="eastAsia" w:ascii="宋体" w:hAnsi="宋体" w:cs="宋体"/>
                <w:bCs/>
                <w:sz w:val="18"/>
                <w:szCs w:val="18"/>
                <w:lang w:val="en-US" w:eastAsia="zh-CN"/>
              </w:rPr>
              <w:t>10</w:t>
            </w:r>
            <w:r>
              <w:rPr>
                <w:rFonts w:hint="eastAsia" w:ascii="宋体" w:hAnsi="宋体" w:cs="宋体"/>
                <w:bCs/>
                <w:sz w:val="18"/>
                <w:szCs w:val="18"/>
                <w:lang w:eastAsia="zh-CN"/>
              </w:rPr>
              <w:t>】日</w:t>
            </w:r>
            <w:r>
              <w:rPr>
                <w:rFonts w:hint="eastAsia" w:ascii="宋体" w:hAnsi="宋体" w:cs="Times New Roman"/>
                <w:sz w:val="18"/>
                <w:szCs w:val="18"/>
              </w:rPr>
              <w:t>（遇节假日顺延）</w:t>
            </w:r>
            <w:r>
              <w:rPr>
                <w:rFonts w:hint="eastAsia" w:ascii="宋体" w:hAnsi="宋体" w:cs="宋体"/>
                <w:bCs/>
                <w:sz w:val="18"/>
                <w:szCs w:val="18"/>
              </w:rPr>
              <w:t>。</w:t>
            </w:r>
          </w:p>
          <w:p w14:paraId="3372E960">
            <w:pPr>
              <w:spacing w:line="360" w:lineRule="auto"/>
              <w:rPr>
                <w:rFonts w:ascii="宋体" w:hAnsi="宋体" w:eastAsia="宋体" w:cs="宋体"/>
                <w:bCs/>
                <w:sz w:val="18"/>
                <w:szCs w:val="18"/>
              </w:rPr>
            </w:pPr>
            <w:r>
              <w:rPr>
                <w:rFonts w:ascii="宋体" w:hAnsi="宋体" w:cs="宋体"/>
                <w:bCs/>
                <w:sz w:val="18"/>
                <w:szCs w:val="18"/>
              </w:rPr>
              <w:t>2</w:t>
            </w:r>
            <w:r>
              <w:rPr>
                <w:rFonts w:hint="eastAsia" w:ascii="宋体" w:hAnsi="宋体" w:cs="宋体"/>
                <w:bCs/>
                <w:sz w:val="18"/>
                <w:szCs w:val="18"/>
              </w:rPr>
              <w:t>.</w:t>
            </w:r>
            <w:r>
              <w:rPr>
                <w:rFonts w:ascii="宋体" w:hAnsi="宋体" w:cs="宋体"/>
                <w:bCs/>
                <w:sz w:val="18"/>
                <w:szCs w:val="18"/>
              </w:rPr>
              <w:t>产品管理人有权根据实际募集情况提前或延后产品成立日期，并相应调整其他产品要素</w:t>
            </w:r>
            <w:r>
              <w:rPr>
                <w:rFonts w:hint="eastAsia" w:ascii="宋体" w:hAnsi="宋体" w:cs="宋体"/>
                <w:bCs/>
                <w:sz w:val="18"/>
                <w:szCs w:val="18"/>
              </w:rPr>
              <w:t>，</w:t>
            </w:r>
            <w:r>
              <w:rPr>
                <w:rFonts w:ascii="宋体" w:hAnsi="宋体" w:cs="宋体"/>
                <w:bCs/>
                <w:sz w:val="18"/>
                <w:szCs w:val="18"/>
              </w:rPr>
              <w:t>将依约</w:t>
            </w:r>
            <w:r>
              <w:rPr>
                <w:rFonts w:hint="eastAsia" w:ascii="宋体" w:hAnsi="宋体" w:cs="宋体"/>
                <w:bCs/>
                <w:sz w:val="18"/>
                <w:szCs w:val="18"/>
              </w:rPr>
              <w:t>定进行公告。</w:t>
            </w:r>
          </w:p>
        </w:tc>
      </w:tr>
      <w:tr w14:paraId="692BF6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1404433E">
            <w:pPr>
              <w:spacing w:line="360" w:lineRule="auto"/>
              <w:jc w:val="left"/>
              <w:rPr>
                <w:rFonts w:ascii="宋体" w:hAnsi="宋体" w:cs="宋体"/>
                <w:b/>
                <w:bCs/>
                <w:sz w:val="18"/>
                <w:szCs w:val="18"/>
              </w:rPr>
            </w:pPr>
            <w:r>
              <w:rPr>
                <w:rFonts w:hint="eastAsia" w:ascii="宋体" w:hAnsi="宋体" w:cs="宋体"/>
                <w:b/>
                <w:bCs/>
                <w:sz w:val="18"/>
                <w:szCs w:val="18"/>
              </w:rPr>
              <w:t>终止日</w:t>
            </w:r>
          </w:p>
        </w:tc>
        <w:tc>
          <w:tcPr>
            <w:tcW w:w="7704" w:type="dxa"/>
            <w:shd w:val="solid" w:color="FFFFFF" w:fill="FFFFFF"/>
            <w:vAlign w:val="center"/>
          </w:tcPr>
          <w:p w14:paraId="0E40FBC0">
            <w:pPr>
              <w:spacing w:line="360" w:lineRule="auto"/>
              <w:rPr>
                <w:rFonts w:ascii="宋体" w:hAnsi="宋体" w:cs="宋体"/>
                <w:bCs/>
                <w:sz w:val="18"/>
                <w:szCs w:val="18"/>
              </w:rPr>
            </w:pPr>
            <w:r>
              <w:rPr>
                <w:rFonts w:ascii="宋体" w:hAnsi="宋体" w:cs="宋体"/>
                <w:bCs/>
                <w:sz w:val="18"/>
                <w:szCs w:val="18"/>
              </w:rPr>
              <w:t>1</w:t>
            </w:r>
            <w:r>
              <w:rPr>
                <w:rFonts w:hint="eastAsia" w:ascii="宋体" w:hAnsi="宋体" w:cs="宋体"/>
                <w:bCs/>
                <w:sz w:val="18"/>
                <w:szCs w:val="18"/>
              </w:rPr>
              <w:t>.本产品的计划终止日为</w:t>
            </w:r>
            <w:r>
              <w:rPr>
                <w:rFonts w:ascii="宋体" w:hAnsi="宋体" w:cs="宋体"/>
                <w:bCs/>
                <w:sz w:val="18"/>
                <w:szCs w:val="18"/>
              </w:rPr>
              <w:t>：</w:t>
            </w:r>
            <w:r>
              <w:rPr>
                <w:rFonts w:hint="eastAsia" w:ascii="宋体" w:hAnsi="宋体" w:cs="Times New Roman"/>
                <w:sz w:val="18"/>
                <w:szCs w:val="18"/>
              </w:rPr>
              <w:t>【/</w:t>
            </w:r>
            <w:r>
              <w:rPr>
                <w:rFonts w:ascii="宋体" w:hAnsi="宋体" w:cs="Times New Roman"/>
                <w:sz w:val="18"/>
                <w:szCs w:val="18"/>
              </w:rPr>
              <w:t>】年【</w:t>
            </w:r>
            <w:r>
              <w:rPr>
                <w:rFonts w:hint="eastAsia" w:ascii="宋体" w:hAnsi="宋体" w:cs="Times New Roman"/>
                <w:sz w:val="18"/>
                <w:szCs w:val="18"/>
              </w:rPr>
              <w:t>/】月【/】日（遇节假日顺延）</w:t>
            </w:r>
            <w:r>
              <w:rPr>
                <w:rFonts w:hint="eastAsia" w:ascii="宋体" w:hAnsi="宋体" w:cs="宋体"/>
                <w:bCs/>
                <w:sz w:val="18"/>
                <w:szCs w:val="18"/>
              </w:rPr>
              <w:t>。</w:t>
            </w:r>
          </w:p>
          <w:p w14:paraId="0A182649">
            <w:pPr>
              <w:spacing w:line="360" w:lineRule="auto"/>
              <w:rPr>
                <w:rFonts w:ascii="宋体" w:hAnsi="宋体" w:cs="宋体"/>
                <w:bCs/>
                <w:sz w:val="18"/>
                <w:szCs w:val="18"/>
              </w:rPr>
            </w:pPr>
            <w:r>
              <w:rPr>
                <w:rFonts w:hint="eastAsia" w:ascii="宋体" w:hAnsi="宋体" w:cs="宋体"/>
                <w:bCs/>
                <w:sz w:val="18"/>
                <w:szCs w:val="18"/>
              </w:rPr>
              <w:t>2.本产品的实际终止日受制于本理财产品销售文件“提前终止”及“延期终止”情形。</w:t>
            </w:r>
          </w:p>
        </w:tc>
      </w:tr>
      <w:tr w14:paraId="3D40731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14:paraId="1C2ED651">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cs="宋体"/>
                <w:b/>
                <w:sz w:val="18"/>
                <w:szCs w:val="18"/>
              </w:rPr>
              <w:t>封闭期</w:t>
            </w:r>
          </w:p>
        </w:tc>
        <w:tc>
          <w:tcPr>
            <w:tcW w:w="7704" w:type="dxa"/>
            <w:shd w:val="solid" w:color="FFFFFF" w:fill="FFFFFF"/>
          </w:tcPr>
          <w:p w14:paraId="37C9F2C3">
            <w:pPr>
              <w:spacing w:line="360" w:lineRule="auto"/>
              <w:rPr>
                <w:rFonts w:ascii="宋体" w:hAnsi="宋体" w:eastAsia="宋体" w:cs="Times New Roman"/>
                <w:b/>
                <w:bCs/>
                <w:sz w:val="18"/>
                <w:szCs w:val="18"/>
              </w:rPr>
            </w:pPr>
            <w:r>
              <w:rPr>
                <w:rFonts w:ascii="宋体" w:hAnsi="宋体" w:cs="Times New Roman"/>
                <w:sz w:val="18"/>
                <w:szCs w:val="18"/>
              </w:rPr>
              <w:t>1.</w:t>
            </w:r>
            <w:r>
              <w:rPr>
                <w:rFonts w:hint="eastAsia" w:ascii="宋体" w:hAnsi="宋体" w:cs="宋体"/>
                <w:bCs/>
                <w:sz w:val="18"/>
                <w:szCs w:val="18"/>
              </w:rPr>
              <w:t>本产品封闭期为：</w:t>
            </w:r>
            <w:r>
              <w:rPr>
                <w:rFonts w:hint="eastAsia" w:ascii="宋体" w:hAnsi="宋体" w:cs="Times New Roman"/>
                <w:sz w:val="18"/>
                <w:szCs w:val="18"/>
              </w:rPr>
              <w:t>【/</w:t>
            </w:r>
            <w:r>
              <w:rPr>
                <w:rFonts w:ascii="宋体" w:hAnsi="宋体" w:cs="Times New Roman"/>
                <w:sz w:val="18"/>
                <w:szCs w:val="18"/>
              </w:rPr>
              <w:t>】年【</w:t>
            </w:r>
            <w:r>
              <w:rPr>
                <w:rFonts w:hint="eastAsia" w:ascii="宋体" w:hAnsi="宋体" w:cs="Times New Roman"/>
                <w:sz w:val="18"/>
                <w:szCs w:val="18"/>
              </w:rPr>
              <w:t>/】月【/】日</w:t>
            </w:r>
            <w:r>
              <w:rPr>
                <w:rFonts w:hint="eastAsia" w:ascii="宋体" w:hAnsi="宋体" w:cs="仿宋_GB2312"/>
                <w:sz w:val="18"/>
                <w:szCs w:val="18"/>
              </w:rPr>
              <w:t>至</w:t>
            </w:r>
            <w:r>
              <w:rPr>
                <w:rFonts w:hint="eastAsia" w:ascii="宋体" w:hAnsi="宋体" w:cs="Times New Roman"/>
                <w:sz w:val="18"/>
                <w:szCs w:val="18"/>
              </w:rPr>
              <w:t>【/</w:t>
            </w:r>
            <w:r>
              <w:rPr>
                <w:rFonts w:ascii="宋体" w:hAnsi="宋体" w:cs="Times New Roman"/>
                <w:sz w:val="18"/>
                <w:szCs w:val="18"/>
              </w:rPr>
              <w:t>】年【</w:t>
            </w:r>
            <w:r>
              <w:rPr>
                <w:rFonts w:hint="eastAsia" w:ascii="宋体" w:hAnsi="宋体" w:cs="Times New Roman"/>
                <w:sz w:val="18"/>
                <w:szCs w:val="18"/>
              </w:rPr>
              <w:t>/】月【/】日</w:t>
            </w:r>
            <w:r>
              <w:rPr>
                <w:rFonts w:hint="eastAsia" w:ascii="宋体" w:hAnsi="宋体" w:eastAsia="宋体" w:cs="宋体"/>
                <w:sz w:val="18"/>
                <w:szCs w:val="18"/>
              </w:rPr>
              <w:t>。</w:t>
            </w:r>
          </w:p>
          <w:p w14:paraId="18EFFB2C">
            <w:pPr>
              <w:spacing w:line="360" w:lineRule="auto"/>
              <w:rPr>
                <w:rFonts w:ascii="宋体" w:hAnsi="宋体" w:cs="宋体"/>
                <w:bCs/>
                <w:sz w:val="18"/>
                <w:szCs w:val="18"/>
              </w:rPr>
            </w:pPr>
            <w:r>
              <w:rPr>
                <w:rFonts w:ascii="宋体" w:hAnsi="宋体" w:cs="宋体"/>
                <w:sz w:val="18"/>
                <w:szCs w:val="18"/>
              </w:rPr>
              <w:t>2.</w:t>
            </w:r>
            <w:r>
              <w:rPr>
                <w:rFonts w:hint="eastAsia" w:ascii="宋体" w:hAnsi="宋体" w:cs="宋体"/>
                <w:sz w:val="18"/>
                <w:szCs w:val="18"/>
              </w:rPr>
              <w:t>封闭期内不接受申购或赎回申请。</w:t>
            </w:r>
          </w:p>
        </w:tc>
      </w:tr>
      <w:tr w14:paraId="3FF98DC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215A9072">
            <w:pPr>
              <w:spacing w:line="360" w:lineRule="auto"/>
              <w:jc w:val="left"/>
              <w:rPr>
                <w:rFonts w:ascii="Calibri" w:hAnsi="宋体" w:cs="宋体"/>
                <w:sz w:val="18"/>
                <w:szCs w:val="18"/>
              </w:rPr>
            </w:pPr>
            <w:r>
              <w:rPr>
                <w:rFonts w:hint="eastAsia" w:ascii="Calibri" w:hAnsi="宋体" w:cs="宋体"/>
                <w:sz w:val="18"/>
                <w:szCs w:val="18"/>
              </w:rPr>
              <w:t>★</w:t>
            </w:r>
            <w:r>
              <w:rPr>
                <w:rFonts w:hint="eastAsia" w:ascii="宋体" w:hAnsi="宋体" w:cs="宋体"/>
                <w:b/>
                <w:bCs/>
                <w:kern w:val="0"/>
                <w:sz w:val="18"/>
                <w:szCs w:val="18"/>
              </w:rPr>
              <w:t>申购/赎回安排</w:t>
            </w:r>
          </w:p>
        </w:tc>
        <w:tc>
          <w:tcPr>
            <w:tcW w:w="7704" w:type="dxa"/>
            <w:shd w:val="solid" w:color="FFFFFF" w:fill="FFFFFF"/>
          </w:tcPr>
          <w:p w14:paraId="60E9AE2F">
            <w:pPr>
              <w:spacing w:line="360" w:lineRule="auto"/>
              <w:rPr>
                <w:rFonts w:ascii="宋体" w:hAnsi="宋体" w:cs="宋体"/>
                <w:sz w:val="18"/>
                <w:szCs w:val="18"/>
              </w:rPr>
            </w:pPr>
            <w:r>
              <w:rPr>
                <w:rFonts w:ascii="宋体" w:hAnsi="宋体" w:cs="宋体"/>
                <w:sz w:val="18"/>
                <w:szCs w:val="18"/>
              </w:rPr>
              <w:t>1.</w:t>
            </w:r>
            <w:r>
              <w:rPr>
                <w:rFonts w:hint="eastAsia" w:ascii="宋体" w:hAnsi="宋体" w:cs="宋体"/>
                <w:sz w:val="18"/>
                <w:szCs w:val="18"/>
              </w:rPr>
              <w:t>本产品的开放日</w:t>
            </w:r>
          </w:p>
          <w:p w14:paraId="51002DBA">
            <w:pPr>
              <w:spacing w:line="360" w:lineRule="auto"/>
              <w:rPr>
                <w:rFonts w:ascii="宋体" w:hAnsi="宋体" w:cs="宋体"/>
                <w:sz w:val="18"/>
                <w:szCs w:val="18"/>
              </w:rPr>
            </w:pPr>
            <w:r>
              <w:rPr>
                <w:rFonts w:hint="eastAsia" w:ascii="宋体" w:hAnsi="宋体" w:cs="宋体"/>
                <w:sz w:val="18"/>
                <w:szCs w:val="18"/>
              </w:rPr>
              <w:t>本产品封闭期结束后的第一个工作日起每日开放（产品管理人公告暂停开放的日期除外），投资者可于开放日提交申购申请。</w:t>
            </w:r>
          </w:p>
          <w:p w14:paraId="6372EB52">
            <w:pPr>
              <w:spacing w:line="360" w:lineRule="auto"/>
              <w:rPr>
                <w:rFonts w:ascii="宋体" w:hAnsi="宋体" w:eastAsia="宋体" w:cs="宋体"/>
                <w:bCs/>
                <w:sz w:val="18"/>
                <w:szCs w:val="18"/>
              </w:rPr>
            </w:pPr>
            <w:r>
              <w:rPr>
                <w:rFonts w:hint="eastAsia" w:ascii="宋体" w:hAnsi="宋体" w:cs="宋体"/>
                <w:sz w:val="18"/>
                <w:szCs w:val="18"/>
              </w:rPr>
              <w:t>本产品最短持有期为【</w:t>
            </w:r>
            <w:bookmarkStart w:id="90" w:name="holdings1"/>
            <w:bookmarkEnd w:id="90"/>
            <w:r>
              <w:rPr>
                <w:rFonts w:hint="eastAsia" w:ascii="宋体" w:hAnsi="宋体" w:cs="宋体"/>
                <w:sz w:val="18"/>
                <w:szCs w:val="18"/>
                <w:lang w:eastAsia="zh-CN"/>
              </w:rPr>
              <w:t>7</w:t>
            </w:r>
            <w:r>
              <w:rPr>
                <w:rFonts w:hint="eastAsia" w:ascii="宋体" w:hAnsi="宋体" w:cs="宋体"/>
                <w:sz w:val="18"/>
                <w:szCs w:val="18"/>
              </w:rPr>
              <w:t>】个自然日。</w:t>
            </w:r>
            <w:r>
              <w:rPr>
                <w:rFonts w:hint="eastAsia" w:ascii="宋体" w:hAnsi="宋体" w:eastAsia="宋体" w:cs="宋体"/>
                <w:bCs/>
                <w:sz w:val="18"/>
                <w:szCs w:val="18"/>
              </w:rPr>
              <w:t>自产品成立日/申购确认日起第【</w:t>
            </w:r>
            <w:bookmarkStart w:id="91" w:name="holdings2"/>
            <w:bookmarkEnd w:id="91"/>
            <w:r>
              <w:rPr>
                <w:rFonts w:hint="eastAsia" w:ascii="宋体" w:hAnsi="宋体" w:eastAsia="宋体" w:cs="宋体"/>
                <w:bCs/>
                <w:sz w:val="18"/>
                <w:szCs w:val="18"/>
                <w:lang w:eastAsia="zh-CN"/>
              </w:rPr>
              <w:t>7</w:t>
            </w:r>
            <w:r>
              <w:rPr>
                <w:rFonts w:hint="eastAsia" w:ascii="宋体" w:hAnsi="宋体" w:eastAsia="宋体" w:cs="宋体"/>
                <w:bCs/>
                <w:sz w:val="18"/>
                <w:szCs w:val="18"/>
              </w:rPr>
              <w:t>】个自然日内（不含当日）投资者不能赎回该产品份额，自产品成立日/申购确认日起第【</w:t>
            </w:r>
            <w:bookmarkStart w:id="92" w:name="holdings3"/>
            <w:bookmarkEnd w:id="92"/>
            <w:r>
              <w:rPr>
                <w:rFonts w:hint="eastAsia" w:ascii="宋体" w:hAnsi="宋体" w:eastAsia="宋体" w:cs="宋体"/>
                <w:bCs/>
                <w:sz w:val="18"/>
                <w:szCs w:val="18"/>
                <w:lang w:eastAsia="zh-CN"/>
              </w:rPr>
              <w:t>7</w:t>
            </w:r>
            <w:r>
              <w:rPr>
                <w:rFonts w:hint="eastAsia" w:ascii="宋体" w:hAnsi="宋体" w:eastAsia="宋体" w:cs="宋体"/>
                <w:bCs/>
                <w:sz w:val="18"/>
                <w:szCs w:val="18"/>
              </w:rPr>
              <w:t>】个自然日起（含当日），投资者</w:t>
            </w:r>
            <w:r>
              <w:rPr>
                <w:rFonts w:hint="eastAsia" w:ascii="宋体" w:hAnsi="宋体" w:cs="宋体"/>
                <w:sz w:val="18"/>
                <w:szCs w:val="18"/>
              </w:rPr>
              <w:t>可于任一开放日</w:t>
            </w:r>
            <w:r>
              <w:rPr>
                <w:rFonts w:hint="eastAsia" w:ascii="宋体" w:hAnsi="宋体" w:eastAsia="宋体" w:cs="宋体"/>
                <w:bCs/>
                <w:sz w:val="18"/>
                <w:szCs w:val="18"/>
              </w:rPr>
              <w:t>赎回该产品份额。</w:t>
            </w:r>
          </w:p>
          <w:p w14:paraId="42BA4A22">
            <w:pPr>
              <w:spacing w:line="360" w:lineRule="auto"/>
              <w:rPr>
                <w:rFonts w:ascii="宋体" w:hAnsi="宋体" w:cs="宋体"/>
                <w:sz w:val="18"/>
                <w:szCs w:val="18"/>
              </w:rPr>
            </w:pPr>
            <w:r>
              <w:rPr>
                <w:rFonts w:hint="eastAsia" w:ascii="宋体" w:hAnsi="宋体" w:cs="宋体"/>
                <w:sz w:val="18"/>
                <w:szCs w:val="18"/>
              </w:rPr>
              <w:t>2</w:t>
            </w:r>
            <w:r>
              <w:rPr>
                <w:rFonts w:ascii="宋体" w:hAnsi="宋体" w:cs="宋体"/>
                <w:sz w:val="18"/>
                <w:szCs w:val="18"/>
              </w:rPr>
              <w:t>.</w:t>
            </w:r>
            <w:r>
              <w:rPr>
                <w:rFonts w:hint="eastAsia" w:ascii="宋体" w:hAnsi="宋体" w:cs="宋体"/>
                <w:sz w:val="18"/>
                <w:szCs w:val="18"/>
              </w:rPr>
              <w:t>申购安排</w:t>
            </w:r>
          </w:p>
          <w:p w14:paraId="2A29B7AE">
            <w:pPr>
              <w:spacing w:line="360" w:lineRule="auto"/>
              <w:rPr>
                <w:rFonts w:ascii="宋体" w:hAnsi="宋体" w:eastAsia="宋体" w:cs="宋体"/>
                <w:sz w:val="18"/>
                <w:szCs w:val="18"/>
              </w:rPr>
            </w:pPr>
            <w:r>
              <w:rPr>
                <w:rFonts w:hint="eastAsia" w:ascii="宋体" w:hAnsi="宋体" w:eastAsia="宋体" w:cs="宋体"/>
                <w:sz w:val="18"/>
                <w:szCs w:val="18"/>
              </w:rPr>
              <w:t>（1）申购的时间</w:t>
            </w:r>
          </w:p>
          <w:p w14:paraId="006FBFFD">
            <w:pPr>
              <w:spacing w:line="360" w:lineRule="auto"/>
              <w:rPr>
                <w:rFonts w:ascii="宋体" w:hAnsi="宋体" w:eastAsia="宋体" w:cs="宋体"/>
                <w:sz w:val="18"/>
                <w:szCs w:val="18"/>
              </w:rPr>
            </w:pPr>
            <w:r>
              <w:rPr>
                <w:rFonts w:hint="eastAsia" w:ascii="宋体" w:hAnsi="宋体" w:eastAsia="宋体" w:cs="宋体"/>
                <w:sz w:val="18"/>
                <w:szCs w:val="18"/>
              </w:rPr>
              <w:t>投资者在工作日</w:t>
            </w:r>
            <w:r>
              <w:rPr>
                <w:rFonts w:hint="eastAsia" w:ascii="宋体" w:hAnsi="宋体" w:cs="Times New Roman"/>
                <w:sz w:val="18"/>
                <w:szCs w:val="18"/>
              </w:rPr>
              <w:t>【</w:t>
            </w:r>
            <w:bookmarkStart w:id="93" w:name="trade_end2"/>
            <w:bookmarkEnd w:id="93"/>
            <w:r>
              <w:rPr>
                <w:rFonts w:hint="eastAsia" w:ascii="宋体" w:hAnsi="宋体" w:cs="Times New Roman"/>
                <w:sz w:val="18"/>
                <w:szCs w:val="18"/>
                <w:lang w:eastAsia="zh-CN"/>
              </w:rPr>
              <w:t>17:00</w:t>
            </w:r>
            <w:r>
              <w:rPr>
                <w:rFonts w:hint="eastAsia" w:ascii="宋体" w:hAnsi="宋体" w:cs="Times New Roman"/>
                <w:sz w:val="18"/>
                <w:szCs w:val="18"/>
              </w:rPr>
              <w:t>】</w:t>
            </w:r>
            <w:r>
              <w:rPr>
                <w:rFonts w:hint="eastAsia" w:ascii="宋体" w:hAnsi="宋体" w:eastAsia="宋体" w:cs="宋体"/>
                <w:sz w:val="18"/>
                <w:szCs w:val="18"/>
              </w:rPr>
              <w:t>前提交申购申请的，提交当日为申购日。</w:t>
            </w:r>
          </w:p>
          <w:p w14:paraId="1230692D">
            <w:pPr>
              <w:spacing w:line="360" w:lineRule="auto"/>
              <w:rPr>
                <w:rFonts w:ascii="宋体" w:hAnsi="宋体" w:eastAsia="宋体" w:cs="宋体"/>
                <w:sz w:val="18"/>
                <w:szCs w:val="18"/>
              </w:rPr>
            </w:pPr>
            <w:r>
              <w:rPr>
                <w:rFonts w:hint="eastAsia" w:ascii="宋体" w:hAnsi="宋体" w:eastAsia="宋体" w:cs="宋体"/>
                <w:sz w:val="18"/>
                <w:szCs w:val="18"/>
              </w:rPr>
              <w:t>投资者在工作日</w:t>
            </w:r>
            <w:r>
              <w:rPr>
                <w:rFonts w:hint="eastAsia" w:ascii="宋体" w:hAnsi="宋体" w:cs="Times New Roman"/>
                <w:sz w:val="18"/>
                <w:szCs w:val="18"/>
              </w:rPr>
              <w:t>【</w:t>
            </w:r>
            <w:bookmarkStart w:id="94" w:name="trade_end3"/>
            <w:bookmarkEnd w:id="94"/>
            <w:r>
              <w:rPr>
                <w:rFonts w:hint="eastAsia" w:ascii="宋体" w:hAnsi="宋体" w:cs="Times New Roman"/>
                <w:sz w:val="18"/>
                <w:szCs w:val="18"/>
                <w:lang w:eastAsia="zh-CN"/>
              </w:rPr>
              <w:t>17:00</w:t>
            </w:r>
            <w:r>
              <w:rPr>
                <w:rFonts w:hint="eastAsia" w:ascii="宋体" w:hAnsi="宋体" w:cs="Times New Roman"/>
                <w:sz w:val="18"/>
                <w:szCs w:val="18"/>
              </w:rPr>
              <w:t>】</w:t>
            </w:r>
            <w:r>
              <w:rPr>
                <w:rFonts w:hint="eastAsia" w:ascii="宋体" w:hAnsi="宋体" w:eastAsia="宋体" w:cs="宋体"/>
                <w:sz w:val="18"/>
                <w:szCs w:val="18"/>
              </w:rPr>
              <w:t>后提交申购申请的，下一个工作日为申购日。</w:t>
            </w:r>
          </w:p>
          <w:p w14:paraId="72C24D53">
            <w:pPr>
              <w:spacing w:line="360" w:lineRule="auto"/>
              <w:rPr>
                <w:rFonts w:ascii="宋体" w:hAnsi="宋体" w:eastAsia="宋体" w:cs="宋体"/>
                <w:sz w:val="18"/>
                <w:szCs w:val="18"/>
              </w:rPr>
            </w:pPr>
            <w:r>
              <w:rPr>
                <w:rFonts w:hint="eastAsia" w:ascii="宋体" w:hAnsi="宋体" w:eastAsia="宋体" w:cs="宋体"/>
                <w:sz w:val="18"/>
                <w:szCs w:val="18"/>
              </w:rPr>
              <w:t>投资者在非工作日提交申购申请的，下一个工作日为申购日。</w:t>
            </w:r>
          </w:p>
          <w:p w14:paraId="7CA5E8C7">
            <w:pPr>
              <w:spacing w:line="360" w:lineRule="auto"/>
              <w:rPr>
                <w:rFonts w:ascii="宋体" w:hAnsi="宋体" w:eastAsia="宋体" w:cs="宋体"/>
                <w:sz w:val="18"/>
                <w:szCs w:val="18"/>
              </w:rPr>
            </w:pPr>
            <w:r>
              <w:rPr>
                <w:rFonts w:hint="eastAsia" w:ascii="宋体" w:hAnsi="宋体" w:eastAsia="宋体" w:cs="宋体"/>
                <w:sz w:val="18"/>
                <w:szCs w:val="18"/>
              </w:rPr>
              <w:t>（2）</w:t>
            </w:r>
            <w:r>
              <w:rPr>
                <w:rFonts w:ascii="宋体" w:hAnsi="宋体" w:eastAsia="宋体" w:cs="宋体"/>
                <w:sz w:val="18"/>
                <w:szCs w:val="18"/>
              </w:rPr>
              <w:t>申购的确认</w:t>
            </w:r>
          </w:p>
          <w:p w14:paraId="57CB4AEE">
            <w:pPr>
              <w:spacing w:line="360" w:lineRule="auto"/>
              <w:rPr>
                <w:rFonts w:ascii="宋体" w:hAnsi="宋体" w:eastAsia="宋体" w:cs="宋体"/>
                <w:sz w:val="18"/>
                <w:szCs w:val="18"/>
              </w:rPr>
            </w:pPr>
            <w:r>
              <w:rPr>
                <w:rFonts w:hint="eastAsia" w:ascii="宋体" w:hAnsi="宋体" w:eastAsia="宋体" w:cs="Times New Roman"/>
                <w:bCs/>
                <w:sz w:val="18"/>
                <w:szCs w:val="18"/>
              </w:rPr>
              <w:t>产品管理人在申购日后【2】个工作日内对投资者的申购申请的有效性进行确认，并登记理财份额。</w:t>
            </w:r>
          </w:p>
          <w:p w14:paraId="27E5F6F1">
            <w:pPr>
              <w:spacing w:line="360" w:lineRule="auto"/>
              <w:rPr>
                <w:rFonts w:ascii="宋体" w:hAnsi="宋体" w:eastAsia="宋体" w:cs="宋体"/>
                <w:sz w:val="18"/>
                <w:szCs w:val="18"/>
              </w:rPr>
            </w:pPr>
            <w:r>
              <w:rPr>
                <w:rFonts w:hint="eastAsia" w:ascii="宋体" w:hAnsi="宋体" w:eastAsia="宋体" w:cs="宋体"/>
                <w:sz w:val="18"/>
                <w:szCs w:val="18"/>
              </w:rPr>
              <w:t>3.赎回安排</w:t>
            </w:r>
          </w:p>
          <w:p w14:paraId="121EB780">
            <w:pPr>
              <w:spacing w:line="360" w:lineRule="auto"/>
              <w:rPr>
                <w:rFonts w:ascii="宋体" w:hAnsi="宋体" w:eastAsia="宋体" w:cs="宋体"/>
                <w:sz w:val="18"/>
                <w:szCs w:val="18"/>
              </w:rPr>
            </w:pPr>
            <w:r>
              <w:rPr>
                <w:rFonts w:hint="eastAsia" w:ascii="宋体" w:hAnsi="宋体" w:eastAsia="宋体" w:cs="宋体"/>
                <w:sz w:val="18"/>
                <w:szCs w:val="18"/>
              </w:rPr>
              <w:t>（1）</w:t>
            </w:r>
            <w:r>
              <w:rPr>
                <w:rFonts w:hint="eastAsia" w:ascii="宋体" w:hAnsi="宋体" w:cs="宋体"/>
                <w:bCs/>
                <w:sz w:val="18"/>
                <w:szCs w:val="18"/>
              </w:rPr>
              <w:t>赎回的时间</w:t>
            </w:r>
          </w:p>
          <w:p w14:paraId="11370825">
            <w:pPr>
              <w:spacing w:line="360" w:lineRule="auto"/>
              <w:rPr>
                <w:rFonts w:ascii="宋体" w:hAnsi="宋体" w:eastAsia="宋体" w:cs="宋体"/>
                <w:sz w:val="18"/>
                <w:szCs w:val="18"/>
              </w:rPr>
            </w:pPr>
            <w:r>
              <w:rPr>
                <w:rFonts w:hint="eastAsia" w:ascii="宋体" w:hAnsi="宋体" w:eastAsia="宋体" w:cs="宋体"/>
                <w:sz w:val="18"/>
                <w:szCs w:val="18"/>
              </w:rPr>
              <w:t>投资者在工作日</w:t>
            </w:r>
            <w:r>
              <w:rPr>
                <w:rFonts w:hint="eastAsia" w:ascii="宋体" w:hAnsi="宋体" w:cs="Times New Roman"/>
                <w:sz w:val="18"/>
                <w:szCs w:val="18"/>
              </w:rPr>
              <w:t>【</w:t>
            </w:r>
            <w:bookmarkStart w:id="95" w:name="trade_end4"/>
            <w:bookmarkEnd w:id="95"/>
            <w:r>
              <w:rPr>
                <w:rFonts w:hint="eastAsia" w:ascii="宋体" w:hAnsi="宋体" w:cs="Times New Roman"/>
                <w:sz w:val="18"/>
                <w:szCs w:val="18"/>
                <w:lang w:eastAsia="zh-CN"/>
              </w:rPr>
              <w:t>17:00</w:t>
            </w:r>
            <w:r>
              <w:rPr>
                <w:rFonts w:hint="eastAsia" w:ascii="宋体" w:hAnsi="宋体" w:cs="Times New Roman"/>
                <w:sz w:val="18"/>
                <w:szCs w:val="18"/>
              </w:rPr>
              <w:t>】</w:t>
            </w:r>
            <w:r>
              <w:rPr>
                <w:rFonts w:hint="eastAsia" w:ascii="宋体" w:hAnsi="宋体" w:eastAsia="宋体" w:cs="宋体"/>
                <w:sz w:val="18"/>
                <w:szCs w:val="18"/>
              </w:rPr>
              <w:t>前提交</w:t>
            </w:r>
            <w:r>
              <w:rPr>
                <w:rFonts w:hint="eastAsia" w:ascii="宋体" w:hAnsi="宋体" w:eastAsia="宋体" w:cs="宋体"/>
                <w:sz w:val="18"/>
                <w:szCs w:val="18"/>
                <w:lang w:val="en-US" w:eastAsia="zh-CN"/>
              </w:rPr>
              <w:t>赎回</w:t>
            </w:r>
            <w:r>
              <w:rPr>
                <w:rFonts w:hint="eastAsia" w:ascii="宋体" w:hAnsi="宋体" w:eastAsia="宋体" w:cs="宋体"/>
                <w:sz w:val="18"/>
                <w:szCs w:val="18"/>
              </w:rPr>
              <w:t>申请的，提交当日为</w:t>
            </w:r>
            <w:r>
              <w:rPr>
                <w:rFonts w:hint="eastAsia" w:ascii="宋体" w:hAnsi="宋体" w:eastAsia="宋体" w:cs="宋体"/>
                <w:sz w:val="18"/>
                <w:szCs w:val="18"/>
                <w:lang w:val="en-US" w:eastAsia="zh-CN"/>
              </w:rPr>
              <w:t>赎回</w:t>
            </w:r>
            <w:r>
              <w:rPr>
                <w:rFonts w:hint="eastAsia" w:ascii="宋体" w:hAnsi="宋体" w:eastAsia="宋体" w:cs="宋体"/>
                <w:sz w:val="18"/>
                <w:szCs w:val="18"/>
              </w:rPr>
              <w:t>日。</w:t>
            </w:r>
          </w:p>
          <w:p w14:paraId="1530FA16">
            <w:pPr>
              <w:spacing w:line="360" w:lineRule="auto"/>
              <w:rPr>
                <w:rFonts w:ascii="宋体" w:hAnsi="宋体" w:eastAsia="宋体" w:cs="宋体"/>
                <w:sz w:val="18"/>
                <w:szCs w:val="18"/>
              </w:rPr>
            </w:pPr>
            <w:r>
              <w:rPr>
                <w:rFonts w:hint="eastAsia" w:ascii="宋体" w:hAnsi="宋体" w:eastAsia="宋体" w:cs="宋体"/>
                <w:sz w:val="18"/>
                <w:szCs w:val="18"/>
              </w:rPr>
              <w:t>投资者在工作日</w:t>
            </w:r>
            <w:r>
              <w:rPr>
                <w:rFonts w:hint="eastAsia" w:ascii="宋体" w:hAnsi="宋体" w:cs="Times New Roman"/>
                <w:sz w:val="18"/>
                <w:szCs w:val="18"/>
              </w:rPr>
              <w:t>【</w:t>
            </w:r>
            <w:bookmarkStart w:id="96" w:name="trade_end5"/>
            <w:bookmarkEnd w:id="96"/>
            <w:r>
              <w:rPr>
                <w:rFonts w:hint="eastAsia" w:ascii="宋体" w:hAnsi="宋体" w:cs="Times New Roman"/>
                <w:sz w:val="18"/>
                <w:szCs w:val="18"/>
                <w:lang w:eastAsia="zh-CN"/>
              </w:rPr>
              <w:t>17:00</w:t>
            </w:r>
            <w:r>
              <w:rPr>
                <w:rFonts w:hint="eastAsia" w:ascii="宋体" w:hAnsi="宋体" w:cs="Times New Roman"/>
                <w:sz w:val="18"/>
                <w:szCs w:val="18"/>
              </w:rPr>
              <w:t>】</w:t>
            </w:r>
            <w:r>
              <w:rPr>
                <w:rFonts w:hint="eastAsia" w:ascii="宋体" w:hAnsi="宋体" w:eastAsia="宋体" w:cs="宋体"/>
                <w:sz w:val="18"/>
                <w:szCs w:val="18"/>
              </w:rPr>
              <w:t>后提交</w:t>
            </w:r>
            <w:r>
              <w:rPr>
                <w:rFonts w:hint="eastAsia" w:ascii="宋体" w:hAnsi="宋体" w:eastAsia="宋体" w:cs="宋体"/>
                <w:sz w:val="18"/>
                <w:szCs w:val="18"/>
                <w:lang w:val="en-US" w:eastAsia="zh-CN"/>
              </w:rPr>
              <w:t>赎回</w:t>
            </w:r>
            <w:r>
              <w:rPr>
                <w:rFonts w:hint="eastAsia" w:ascii="宋体" w:hAnsi="宋体" w:eastAsia="宋体" w:cs="宋体"/>
                <w:sz w:val="18"/>
                <w:szCs w:val="18"/>
              </w:rPr>
              <w:t>申请的，下一个工作日为</w:t>
            </w:r>
            <w:r>
              <w:rPr>
                <w:rFonts w:hint="eastAsia" w:ascii="宋体" w:hAnsi="宋体" w:eastAsia="宋体" w:cs="宋体"/>
                <w:sz w:val="18"/>
                <w:szCs w:val="18"/>
                <w:lang w:val="en-US" w:eastAsia="zh-CN"/>
              </w:rPr>
              <w:t>赎回</w:t>
            </w:r>
            <w:r>
              <w:rPr>
                <w:rFonts w:hint="eastAsia" w:ascii="宋体" w:hAnsi="宋体" w:eastAsia="宋体" w:cs="宋体"/>
                <w:sz w:val="18"/>
                <w:szCs w:val="18"/>
              </w:rPr>
              <w:t>日。</w:t>
            </w:r>
          </w:p>
          <w:p w14:paraId="0BA0C158">
            <w:pPr>
              <w:spacing w:line="360" w:lineRule="auto"/>
              <w:rPr>
                <w:rFonts w:ascii="宋体" w:hAnsi="宋体" w:eastAsia="宋体" w:cs="宋体"/>
                <w:sz w:val="18"/>
                <w:szCs w:val="18"/>
              </w:rPr>
            </w:pPr>
            <w:r>
              <w:rPr>
                <w:rFonts w:hint="eastAsia" w:ascii="宋体" w:hAnsi="宋体" w:eastAsia="宋体" w:cs="宋体"/>
                <w:sz w:val="18"/>
                <w:szCs w:val="18"/>
              </w:rPr>
              <w:t>投资者在非工作日提交赎回申请的，下一个工作日为赎回日。</w:t>
            </w:r>
          </w:p>
          <w:p w14:paraId="789E7D9F">
            <w:pPr>
              <w:spacing w:line="360" w:lineRule="auto"/>
              <w:rPr>
                <w:rFonts w:ascii="宋体" w:hAnsi="宋体" w:eastAsia="宋体" w:cs="宋体"/>
                <w:sz w:val="18"/>
                <w:szCs w:val="18"/>
              </w:rPr>
            </w:pPr>
            <w:r>
              <w:rPr>
                <w:rFonts w:hint="eastAsia" w:ascii="宋体" w:hAnsi="宋体" w:eastAsia="宋体" w:cs="宋体"/>
                <w:sz w:val="18"/>
                <w:szCs w:val="18"/>
              </w:rPr>
              <w:t>（2）赎回</w:t>
            </w:r>
            <w:r>
              <w:rPr>
                <w:rFonts w:ascii="宋体" w:hAnsi="宋体" w:eastAsia="宋体" w:cs="宋体"/>
                <w:sz w:val="18"/>
                <w:szCs w:val="18"/>
              </w:rPr>
              <w:t>的确认</w:t>
            </w:r>
          </w:p>
          <w:p w14:paraId="6127108C">
            <w:pPr>
              <w:spacing w:line="360" w:lineRule="auto"/>
              <w:rPr>
                <w:rFonts w:ascii="宋体" w:hAnsi="宋体" w:eastAsia="宋体" w:cs="宋体"/>
                <w:sz w:val="18"/>
                <w:szCs w:val="18"/>
              </w:rPr>
            </w:pPr>
            <w:r>
              <w:rPr>
                <w:rFonts w:hint="eastAsia" w:ascii="宋体" w:hAnsi="宋体" w:eastAsia="宋体" w:cs="Times New Roman"/>
                <w:bCs/>
                <w:sz w:val="18"/>
                <w:szCs w:val="18"/>
              </w:rPr>
              <w:t>产品管理人在赎回日后【2】个工作日内对投资者的赎回申请的有效性进行确认，并注销理财份额。</w:t>
            </w:r>
          </w:p>
          <w:p w14:paraId="05129881">
            <w:pPr>
              <w:spacing w:line="360" w:lineRule="auto"/>
              <w:rPr>
                <w:rFonts w:ascii="黑体" w:hAnsi="黑体" w:eastAsia="黑体" w:cs="黑体"/>
                <w:sz w:val="18"/>
                <w:szCs w:val="18"/>
              </w:rPr>
            </w:pPr>
            <w:r>
              <w:rPr>
                <w:rFonts w:hint="eastAsia" w:ascii="黑体" w:hAnsi="黑体" w:eastAsia="黑体" w:cs="黑体"/>
                <w:sz w:val="18"/>
                <w:szCs w:val="18"/>
              </w:rPr>
              <w:t>注：</w:t>
            </w:r>
            <w:r>
              <w:rPr>
                <w:rFonts w:hint="eastAsia" w:ascii="黑体" w:hAnsi="黑体" w:eastAsia="黑体" w:cs="黑体"/>
                <w:color w:val="000000"/>
                <w:sz w:val="18"/>
                <w:szCs w:val="22"/>
              </w:rPr>
              <w:t>赎回</w:t>
            </w:r>
            <w:r>
              <w:rPr>
                <w:rFonts w:hint="eastAsia" w:ascii="黑体" w:hAnsi="黑体" w:eastAsia="黑体" w:cs="黑体"/>
                <w:bCs/>
                <w:color w:val="000000"/>
                <w:sz w:val="18"/>
                <w:szCs w:val="18"/>
              </w:rPr>
              <w:t>款项于</w:t>
            </w:r>
            <w:r>
              <w:rPr>
                <w:rFonts w:hint="eastAsia" w:ascii="黑体" w:hAnsi="黑体" w:eastAsia="黑体" w:cs="黑体"/>
                <w:bCs/>
                <w:kern w:val="0"/>
                <w:sz w:val="18"/>
                <w:szCs w:val="18"/>
              </w:rPr>
              <w:t>赎回</w:t>
            </w:r>
            <w:r>
              <w:rPr>
                <w:rFonts w:hint="eastAsia" w:ascii="黑体" w:hAnsi="黑体" w:eastAsia="黑体" w:cs="黑体"/>
                <w:kern w:val="0"/>
                <w:sz w:val="18"/>
                <w:szCs w:val="22"/>
              </w:rPr>
              <w:t>日后【3】个工作日</w:t>
            </w:r>
            <w:r>
              <w:rPr>
                <w:rFonts w:hint="eastAsia" w:ascii="黑体" w:hAnsi="黑体" w:eastAsia="黑体" w:cs="黑体"/>
                <w:bCs/>
                <w:kern w:val="0"/>
                <w:sz w:val="18"/>
                <w:szCs w:val="18"/>
              </w:rPr>
              <w:t>内支付给</w:t>
            </w:r>
            <w:r>
              <w:rPr>
                <w:rFonts w:hint="eastAsia" w:ascii="黑体" w:hAnsi="黑体" w:eastAsia="黑体" w:cs="黑体"/>
                <w:kern w:val="0"/>
                <w:sz w:val="18"/>
                <w:szCs w:val="22"/>
              </w:rPr>
              <w:t>投资者</w:t>
            </w:r>
            <w:r>
              <w:rPr>
                <w:rFonts w:hint="eastAsia" w:ascii="黑体" w:hAnsi="黑体" w:eastAsia="黑体" w:cs="黑体"/>
                <w:bCs/>
                <w:kern w:val="0"/>
                <w:sz w:val="18"/>
                <w:szCs w:val="18"/>
              </w:rPr>
              <w:t>。</w:t>
            </w:r>
          </w:p>
          <w:p w14:paraId="37CF97A6">
            <w:pPr>
              <w:spacing w:line="360" w:lineRule="auto"/>
              <w:rPr>
                <w:rFonts w:ascii="黑体" w:hAnsi="黑体" w:eastAsia="黑体" w:cs="宋体"/>
                <w:color w:val="000000"/>
                <w:sz w:val="18"/>
                <w:szCs w:val="18"/>
              </w:rPr>
            </w:pPr>
            <w:r>
              <w:rPr>
                <w:rFonts w:hint="eastAsia" w:ascii="黑体" w:hAnsi="黑体" w:eastAsia="黑体" w:cs="宋体"/>
                <w:color w:val="000000"/>
                <w:sz w:val="18"/>
                <w:szCs w:val="18"/>
              </w:rPr>
              <w:t>注：关于代理销售机构的实际工作服务时段的提示</w:t>
            </w:r>
          </w:p>
          <w:p w14:paraId="21A0626E">
            <w:pPr>
              <w:spacing w:line="360" w:lineRule="auto"/>
              <w:rPr>
                <w:rFonts w:ascii="黑体" w:hAnsi="黑体" w:eastAsia="黑体" w:cs="宋体"/>
                <w:sz w:val="18"/>
                <w:szCs w:val="18"/>
              </w:rPr>
            </w:pPr>
            <w:r>
              <w:rPr>
                <w:rFonts w:hint="eastAsia" w:ascii="黑体" w:hAnsi="黑体" w:eastAsia="黑体" w:cs="宋体"/>
                <w:sz w:val="18"/>
                <w:szCs w:val="18"/>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cs="宋体"/>
                <w:sz w:val="18"/>
                <w:szCs w:val="18"/>
              </w:rPr>
              <w:t>以</w:t>
            </w:r>
            <w:r>
              <w:rPr>
                <w:rFonts w:hint="eastAsia" w:ascii="黑体" w:hAnsi="黑体" w:eastAsia="黑体" w:cs="宋体"/>
                <w:sz w:val="18"/>
                <w:szCs w:val="18"/>
              </w:rPr>
              <w:t>代理销售机构的展示</w:t>
            </w:r>
            <w:r>
              <w:rPr>
                <w:rFonts w:ascii="黑体" w:hAnsi="黑体" w:eastAsia="黑体" w:cs="宋体"/>
                <w:sz w:val="18"/>
                <w:szCs w:val="18"/>
              </w:rPr>
              <w:t>为准</w:t>
            </w:r>
            <w:r>
              <w:rPr>
                <w:rFonts w:hint="eastAsia" w:ascii="黑体" w:hAnsi="黑体" w:eastAsia="黑体" w:cs="宋体"/>
                <w:sz w:val="18"/>
                <w:szCs w:val="18"/>
              </w:rPr>
              <w:t>。</w:t>
            </w:r>
          </w:p>
          <w:p w14:paraId="123032E1">
            <w:pPr>
              <w:spacing w:line="360" w:lineRule="auto"/>
              <w:rPr>
                <w:rFonts w:ascii="黑体" w:hAnsi="黑体" w:eastAsia="黑体" w:cs="宋体"/>
                <w:bCs/>
                <w:color w:val="000000"/>
                <w:sz w:val="18"/>
                <w:szCs w:val="18"/>
              </w:rPr>
            </w:pPr>
            <w:r>
              <w:rPr>
                <w:rFonts w:hint="eastAsia" w:ascii="黑体" w:hAnsi="黑体" w:eastAsia="黑体" w:cs="宋体"/>
                <w:sz w:val="18"/>
                <w:szCs w:val="18"/>
              </w:rPr>
              <w:t>②代理销售机构的实际工作服务时段，最早不得早于销售文件约定</w:t>
            </w:r>
            <w:r>
              <w:rPr>
                <w:rFonts w:ascii="黑体" w:hAnsi="黑体" w:eastAsia="黑体" w:cs="宋体"/>
                <w:sz w:val="18"/>
                <w:szCs w:val="18"/>
              </w:rPr>
              <w:t>的</w:t>
            </w:r>
            <w:r>
              <w:rPr>
                <w:rFonts w:hint="eastAsia" w:ascii="黑体" w:hAnsi="黑体" w:eastAsia="黑体" w:cs="宋体"/>
                <w:sz w:val="18"/>
                <w:szCs w:val="18"/>
              </w:rPr>
              <w:t>起始时点、最晚不得晚于销售文件</w:t>
            </w:r>
            <w:r>
              <w:rPr>
                <w:rFonts w:ascii="黑体" w:hAnsi="黑体" w:eastAsia="黑体" w:cs="宋体"/>
                <w:sz w:val="18"/>
                <w:szCs w:val="18"/>
              </w:rPr>
              <w:t>约定的</w:t>
            </w:r>
            <w:r>
              <w:rPr>
                <w:rFonts w:hint="eastAsia" w:ascii="黑体" w:hAnsi="黑体" w:eastAsia="黑体" w:cs="宋体"/>
                <w:sz w:val="18"/>
                <w:szCs w:val="18"/>
              </w:rPr>
              <w:t>终止时点</w:t>
            </w:r>
            <w:r>
              <w:rPr>
                <w:rFonts w:ascii="黑体" w:hAnsi="黑体" w:eastAsia="黑体" w:cs="宋体"/>
                <w:sz w:val="18"/>
                <w:szCs w:val="18"/>
              </w:rPr>
              <w:t>。</w:t>
            </w:r>
          </w:p>
        </w:tc>
      </w:tr>
      <w:tr w14:paraId="39CDA0B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134B58B5">
            <w:pPr>
              <w:spacing w:line="360" w:lineRule="auto"/>
              <w:jc w:val="left"/>
              <w:rPr>
                <w:rFonts w:ascii="宋体" w:hAnsi="宋体" w:eastAsia="宋体" w:cs="宋体"/>
                <w:b/>
                <w:sz w:val="18"/>
                <w:szCs w:val="18"/>
              </w:rPr>
            </w:pPr>
            <w:r>
              <w:rPr>
                <w:rFonts w:hint="eastAsia" w:ascii="Calibri" w:hAnsi="宋体" w:cs="宋体"/>
                <w:sz w:val="18"/>
                <w:szCs w:val="18"/>
              </w:rPr>
              <w:t>★</w:t>
            </w:r>
            <w:r>
              <w:rPr>
                <w:rFonts w:hint="eastAsia" w:ascii="宋体" w:hAnsi="宋体" w:cs="宋体"/>
                <w:b/>
                <w:bCs/>
                <w:kern w:val="0"/>
                <w:sz w:val="18"/>
                <w:szCs w:val="18"/>
              </w:rPr>
              <w:t>销售起点金额</w:t>
            </w:r>
            <w:r>
              <w:rPr>
                <w:rFonts w:hint="eastAsia" w:ascii="宋体" w:hAnsi="宋体" w:eastAsia="宋体" w:cs="宋体"/>
                <w:b/>
                <w:bCs/>
                <w:sz w:val="18"/>
                <w:szCs w:val="18"/>
              </w:rPr>
              <w:t>及</w:t>
            </w:r>
            <w:r>
              <w:rPr>
                <w:rFonts w:ascii="宋体" w:hAnsi="宋体" w:eastAsia="宋体" w:cs="宋体"/>
                <w:b/>
                <w:bCs/>
                <w:sz w:val="18"/>
                <w:szCs w:val="18"/>
              </w:rPr>
              <w:t>递增金额</w:t>
            </w:r>
          </w:p>
        </w:tc>
        <w:tc>
          <w:tcPr>
            <w:tcW w:w="7704" w:type="dxa"/>
            <w:shd w:val="solid" w:color="FFFFFF" w:fill="FFFFFF"/>
            <w:vAlign w:val="center"/>
          </w:tcPr>
          <w:p w14:paraId="07098749">
            <w:pPr>
              <w:spacing w:line="360" w:lineRule="auto"/>
              <w:rPr>
                <w:rFonts w:ascii="宋体" w:hAnsi="宋体" w:eastAsia="宋体" w:cs="宋体"/>
                <w:bCs/>
                <w:color w:val="000000"/>
                <w:sz w:val="18"/>
                <w:szCs w:val="18"/>
              </w:rPr>
            </w:pPr>
            <w:r>
              <w:rPr>
                <w:rFonts w:hint="eastAsia" w:ascii="宋体" w:hAnsi="宋体" w:eastAsia="宋体" w:cs="宋体"/>
                <w:sz w:val="18"/>
                <w:szCs w:val="18"/>
              </w:rPr>
              <w:t>每笔</w:t>
            </w:r>
            <w:r>
              <w:rPr>
                <w:rFonts w:hint="eastAsia" w:ascii="宋体" w:hAnsi="宋体" w:eastAsia="宋体" w:cs="宋体"/>
                <w:bCs/>
                <w:sz w:val="18"/>
                <w:szCs w:val="18"/>
              </w:rPr>
              <w:t>购买起点金额为【</w:t>
            </w:r>
            <w:bookmarkStart w:id="97" w:name="sale_start"/>
            <w:bookmarkEnd w:id="97"/>
            <w:r>
              <w:rPr>
                <w:rFonts w:hint="eastAsia" w:ascii="宋体" w:hAnsi="宋体" w:eastAsia="宋体" w:cs="宋体"/>
                <w:bCs/>
                <w:sz w:val="18"/>
                <w:szCs w:val="18"/>
                <w:lang w:eastAsia="zh-CN"/>
              </w:rPr>
              <w:t>1.00</w:t>
            </w:r>
            <w:r>
              <w:rPr>
                <w:rFonts w:hint="eastAsia" w:ascii="宋体" w:hAnsi="宋体" w:eastAsia="宋体" w:cs="宋体"/>
                <w:bCs/>
                <w:sz w:val="18"/>
                <w:szCs w:val="18"/>
              </w:rPr>
              <w:t>】元；超出起点金额的部分以【</w:t>
            </w:r>
            <w:bookmarkStart w:id="98" w:name="increase"/>
            <w:bookmarkEnd w:id="98"/>
            <w:r>
              <w:rPr>
                <w:rFonts w:hint="eastAsia" w:ascii="宋体" w:hAnsi="宋体" w:eastAsia="宋体" w:cs="宋体"/>
                <w:bCs/>
                <w:sz w:val="18"/>
                <w:szCs w:val="18"/>
                <w:lang w:eastAsia="zh-CN"/>
              </w:rPr>
              <w:t>0.01</w:t>
            </w:r>
            <w:r>
              <w:rPr>
                <w:rFonts w:hint="eastAsia" w:ascii="宋体" w:hAnsi="宋体" w:eastAsia="宋体" w:cs="宋体"/>
                <w:bCs/>
                <w:sz w:val="18"/>
                <w:szCs w:val="18"/>
              </w:rPr>
              <w:t>】元的整数倍递增。</w:t>
            </w:r>
            <w:r>
              <w:rPr>
                <w:rFonts w:hint="eastAsia" w:ascii="宋体" w:hAnsi="宋体" w:eastAsia="宋体" w:cs="宋体"/>
                <w:bCs/>
                <w:color w:val="000000"/>
                <w:sz w:val="18"/>
                <w:szCs w:val="18"/>
              </w:rPr>
              <w:t>（</w:t>
            </w:r>
            <w:r>
              <w:rPr>
                <w:rFonts w:hint="eastAsia" w:ascii="宋体" w:hAnsi="宋体" w:eastAsia="宋体" w:cs="宋体"/>
                <w:bCs/>
                <w:color w:val="000000"/>
                <w:sz w:val="18"/>
                <w:szCs w:val="18"/>
                <w:lang w:eastAsia="zh-CN"/>
              </w:rPr>
              <w:t>适用【B】类份额</w:t>
            </w:r>
            <w:r>
              <w:rPr>
                <w:rFonts w:hint="eastAsia" w:ascii="宋体" w:hAnsi="宋体" w:eastAsia="宋体" w:cs="宋体"/>
                <w:bCs/>
                <w:color w:val="000000"/>
                <w:sz w:val="18"/>
                <w:szCs w:val="18"/>
              </w:rPr>
              <w:t>）</w:t>
            </w:r>
          </w:p>
          <w:p w14:paraId="56BB9F39">
            <w:pPr>
              <w:spacing w:line="360" w:lineRule="auto"/>
              <w:rPr>
                <w:rFonts w:ascii="黑体" w:hAnsi="黑体" w:eastAsia="黑体" w:cs="宋体"/>
                <w:color w:val="000000"/>
                <w:sz w:val="18"/>
                <w:szCs w:val="18"/>
              </w:rPr>
            </w:pPr>
            <w:r>
              <w:rPr>
                <w:rFonts w:hint="eastAsia" w:ascii="黑体" w:hAnsi="黑体" w:eastAsia="黑体" w:cs="宋体"/>
                <w:color w:val="000000"/>
                <w:sz w:val="18"/>
                <w:szCs w:val="18"/>
              </w:rPr>
              <w:t>注</w:t>
            </w:r>
            <w:r>
              <w:rPr>
                <w:rFonts w:ascii="黑体" w:hAnsi="黑体" w:eastAsia="黑体" w:cs="宋体"/>
                <w:color w:val="000000"/>
                <w:sz w:val="18"/>
                <w:szCs w:val="18"/>
              </w:rPr>
              <w:t>：</w:t>
            </w:r>
            <w:r>
              <w:rPr>
                <w:rFonts w:hint="eastAsia" w:ascii="黑体" w:hAnsi="黑体" w:eastAsia="黑体" w:cs="宋体"/>
                <w:color w:val="000000"/>
                <w:sz w:val="18"/>
                <w:szCs w:val="18"/>
              </w:rPr>
              <w:t>关于代理销售机构的实际销售</w:t>
            </w:r>
            <w:r>
              <w:rPr>
                <w:rFonts w:ascii="黑体" w:hAnsi="黑体" w:eastAsia="黑体" w:cs="宋体"/>
                <w:color w:val="000000"/>
                <w:sz w:val="18"/>
                <w:szCs w:val="18"/>
              </w:rPr>
              <w:t>起点金额</w:t>
            </w:r>
            <w:r>
              <w:rPr>
                <w:rFonts w:hint="eastAsia" w:ascii="黑体" w:hAnsi="黑体" w:eastAsia="黑体" w:cs="宋体"/>
                <w:color w:val="000000"/>
                <w:sz w:val="18"/>
                <w:szCs w:val="18"/>
              </w:rPr>
              <w:t>的提示</w:t>
            </w:r>
          </w:p>
          <w:p w14:paraId="5FF38A96">
            <w:pPr>
              <w:spacing w:line="360" w:lineRule="auto"/>
              <w:rPr>
                <w:rFonts w:ascii="黑体" w:hAnsi="黑体" w:eastAsia="黑体" w:cs="宋体"/>
                <w:color w:val="000000"/>
                <w:sz w:val="18"/>
                <w:szCs w:val="18"/>
              </w:rPr>
            </w:pPr>
            <w:r>
              <w:rPr>
                <w:rFonts w:hint="eastAsia" w:ascii="黑体" w:hAnsi="黑体" w:eastAsia="黑体" w:cs="宋体"/>
                <w:color w:val="000000"/>
                <w:sz w:val="18"/>
                <w:szCs w:val="18"/>
              </w:rPr>
              <w:t>①本产品在代理销售机构的实际销售起点金额，因代理销售机构的不同可能存在差异（可能高于销售文件约定的销售起点金额），应当</w:t>
            </w:r>
            <w:r>
              <w:rPr>
                <w:rFonts w:ascii="黑体" w:hAnsi="黑体" w:eastAsia="黑体" w:cs="宋体"/>
                <w:color w:val="000000"/>
                <w:sz w:val="18"/>
                <w:szCs w:val="18"/>
              </w:rPr>
              <w:t>以</w:t>
            </w:r>
            <w:r>
              <w:rPr>
                <w:rFonts w:hint="eastAsia" w:ascii="黑体" w:hAnsi="黑体" w:eastAsia="黑体" w:cs="宋体"/>
                <w:color w:val="000000"/>
                <w:sz w:val="18"/>
                <w:szCs w:val="18"/>
              </w:rPr>
              <w:t>代理销售机构展示</w:t>
            </w:r>
            <w:r>
              <w:rPr>
                <w:rFonts w:ascii="黑体" w:hAnsi="黑体" w:eastAsia="黑体" w:cs="宋体"/>
                <w:color w:val="000000"/>
                <w:sz w:val="18"/>
                <w:szCs w:val="18"/>
              </w:rPr>
              <w:t>为准</w:t>
            </w:r>
            <w:r>
              <w:rPr>
                <w:rFonts w:hint="eastAsia" w:ascii="黑体" w:hAnsi="黑体" w:eastAsia="黑体" w:cs="宋体"/>
                <w:color w:val="000000"/>
                <w:sz w:val="18"/>
                <w:szCs w:val="18"/>
              </w:rPr>
              <w:t>。</w:t>
            </w:r>
          </w:p>
          <w:p w14:paraId="29BD28EB">
            <w:pPr>
              <w:spacing w:line="360" w:lineRule="auto"/>
              <w:jc w:val="left"/>
              <w:rPr>
                <w:rFonts w:ascii="宋体" w:hAnsi="宋体" w:cs="Times New Roman"/>
                <w:sz w:val="18"/>
                <w:szCs w:val="18"/>
              </w:rPr>
            </w:pPr>
            <w:r>
              <w:rPr>
                <w:rFonts w:hint="eastAsia" w:ascii="黑体" w:hAnsi="黑体" w:eastAsia="黑体" w:cs="宋体"/>
                <w:color w:val="000000"/>
                <w:sz w:val="18"/>
                <w:szCs w:val="18"/>
              </w:rPr>
              <w:t>②代理销售机构的实际销售起点金额，</w:t>
            </w:r>
            <w:r>
              <w:rPr>
                <w:rFonts w:ascii="黑体" w:hAnsi="黑体" w:eastAsia="黑体" w:cs="宋体"/>
                <w:color w:val="000000"/>
                <w:sz w:val="18"/>
                <w:szCs w:val="18"/>
              </w:rPr>
              <w:t>不得低于</w:t>
            </w:r>
            <w:r>
              <w:rPr>
                <w:rFonts w:hint="eastAsia" w:ascii="黑体" w:hAnsi="黑体" w:eastAsia="黑体" w:cs="宋体"/>
                <w:color w:val="000000"/>
                <w:sz w:val="18"/>
                <w:szCs w:val="18"/>
              </w:rPr>
              <w:t>销售</w:t>
            </w:r>
            <w:r>
              <w:rPr>
                <w:rFonts w:ascii="黑体" w:hAnsi="黑体" w:eastAsia="黑体" w:cs="宋体"/>
                <w:color w:val="000000"/>
                <w:sz w:val="18"/>
                <w:szCs w:val="18"/>
              </w:rPr>
              <w:t>文件约定的</w:t>
            </w:r>
            <w:r>
              <w:rPr>
                <w:rFonts w:hint="eastAsia" w:ascii="黑体" w:hAnsi="黑体" w:eastAsia="黑体" w:cs="宋体"/>
                <w:color w:val="000000"/>
                <w:sz w:val="18"/>
                <w:szCs w:val="18"/>
              </w:rPr>
              <w:t>销售</w:t>
            </w:r>
            <w:r>
              <w:rPr>
                <w:rFonts w:ascii="黑体" w:hAnsi="黑体" w:eastAsia="黑体" w:cs="宋体"/>
                <w:color w:val="000000"/>
                <w:sz w:val="18"/>
                <w:szCs w:val="18"/>
              </w:rPr>
              <w:t>起点金额</w:t>
            </w:r>
            <w:r>
              <w:rPr>
                <w:rFonts w:hint="eastAsia" w:ascii="黑体" w:hAnsi="黑体" w:eastAsia="黑体" w:cs="宋体"/>
                <w:color w:val="000000"/>
                <w:sz w:val="18"/>
                <w:szCs w:val="18"/>
              </w:rPr>
              <w:t>。</w:t>
            </w:r>
          </w:p>
        </w:tc>
      </w:tr>
      <w:tr w14:paraId="3A62F9C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6A27A204">
            <w:pPr>
              <w:autoSpaceDE w:val="0"/>
              <w:autoSpaceDN w:val="0"/>
              <w:adjustRightInd w:val="0"/>
              <w:spacing w:line="360" w:lineRule="auto"/>
              <w:jc w:val="left"/>
              <w:rPr>
                <w:rFonts w:ascii="Calibri" w:hAnsi="宋体" w:cs="宋体"/>
                <w:b/>
                <w:sz w:val="18"/>
                <w:szCs w:val="18"/>
              </w:rPr>
            </w:pPr>
            <w:r>
              <w:rPr>
                <w:rFonts w:hint="eastAsia" w:ascii="Calibri" w:hAnsi="宋体" w:cs="宋体"/>
                <w:b/>
                <w:sz w:val="18"/>
                <w:szCs w:val="18"/>
              </w:rPr>
              <w:t>★认购、申购与赎回的数量限制</w:t>
            </w:r>
          </w:p>
        </w:tc>
        <w:tc>
          <w:tcPr>
            <w:tcW w:w="7704" w:type="dxa"/>
            <w:shd w:val="solid" w:color="FFFFFF" w:fill="FFFFFF"/>
            <w:vAlign w:val="center"/>
          </w:tcPr>
          <w:p w14:paraId="07AF34A1">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bCs/>
                <w:color w:val="000000"/>
                <w:sz w:val="18"/>
                <w:szCs w:val="18"/>
                <w:lang w:val="en-US" w:eastAsia="zh-CN" w:bidi="ar-SA"/>
              </w:rPr>
              <w:t>（适用【</w:t>
            </w:r>
            <w:r>
              <w:rPr>
                <w:rFonts w:hint="eastAsia" w:ascii="宋体" w:hAnsi="宋体" w:eastAsia="宋体" w:cs="宋体"/>
                <w:color w:val="auto"/>
                <w:sz w:val="18"/>
                <w:szCs w:val="18"/>
                <w:lang w:val="en-US" w:eastAsia="zh-CN" w:bidi="ar-SA"/>
              </w:rPr>
              <w:t>/</w:t>
            </w:r>
            <w:r>
              <w:rPr>
                <w:rFonts w:hint="eastAsia" w:ascii="宋体" w:hAnsi="宋体" w:eastAsia="宋体" w:cs="宋体"/>
                <w:bCs/>
                <w:color w:val="000000"/>
                <w:sz w:val="18"/>
                <w:szCs w:val="18"/>
                <w:lang w:val="en-US" w:eastAsia="zh-CN" w:bidi="ar-SA"/>
              </w:rPr>
              <w:t>】类份额）</w:t>
            </w:r>
          </w:p>
          <w:p w14:paraId="77776A2E">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1.认购的数量限制</w:t>
            </w:r>
          </w:p>
          <w:p w14:paraId="1CE97EA1">
            <w:pPr>
              <w:widowControl w:val="0"/>
              <w:autoSpaceDE w:val="0"/>
              <w:autoSpaceDN w:val="0"/>
              <w:adjustRightInd w:val="0"/>
              <w:spacing w:line="360" w:lineRule="auto"/>
              <w:rPr>
                <w:rFonts w:ascii="宋体" w:hAnsi="宋体" w:eastAsia="宋体" w:cs="宋体"/>
                <w:bCs/>
                <w:color w:val="000000"/>
                <w:sz w:val="18"/>
                <w:szCs w:val="18"/>
                <w:lang w:val="en-US" w:eastAsia="zh-CN" w:bidi="ar-SA"/>
              </w:rPr>
            </w:pPr>
            <w:r>
              <w:rPr>
                <w:rFonts w:hint="eastAsia" w:ascii="宋体" w:hAnsi="宋体" w:eastAsia="宋体" w:cs="宋体"/>
                <w:color w:val="auto"/>
                <w:sz w:val="18"/>
                <w:szCs w:val="18"/>
                <w:lang w:val="en-US" w:eastAsia="zh-CN" w:bidi="ar-SA"/>
              </w:rPr>
              <w:t>单一投资者认购上限为【/】。如需突破上限，请与产品管理人或销售机构客户经理联系。</w:t>
            </w:r>
          </w:p>
          <w:p w14:paraId="1EFB072C">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bCs/>
                <w:color w:val="000000"/>
                <w:sz w:val="18"/>
                <w:szCs w:val="18"/>
                <w:lang w:val="en-US" w:eastAsia="zh-CN" w:bidi="ar-SA"/>
              </w:rPr>
              <w:t>2.</w:t>
            </w:r>
            <w:r>
              <w:rPr>
                <w:rFonts w:hint="eastAsia" w:ascii="宋体" w:hAnsi="宋体" w:eastAsia="宋体" w:cs="宋体"/>
                <w:color w:val="auto"/>
                <w:sz w:val="18"/>
                <w:szCs w:val="18"/>
                <w:lang w:val="en-US" w:eastAsia="zh-CN" w:bidi="ar-SA"/>
              </w:rPr>
              <w:t>申购的数量限制</w:t>
            </w:r>
          </w:p>
          <w:p w14:paraId="1FCE9659">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（1）单一投资者申购上限为【/】。</w:t>
            </w:r>
          </w:p>
          <w:p w14:paraId="6D4E695B">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（2）产品</w:t>
            </w:r>
            <w:r>
              <w:rPr>
                <w:rFonts w:ascii="宋体" w:hAnsi="宋体" w:eastAsia="宋体" w:cs="宋体"/>
                <w:color w:val="auto"/>
                <w:sz w:val="18"/>
                <w:szCs w:val="18"/>
                <w:lang w:val="en-US" w:eastAsia="zh-CN" w:bidi="ar-SA"/>
              </w:rPr>
              <w:t>存续期间，</w:t>
            </w:r>
            <w:r>
              <w:rPr>
                <w:rFonts w:hint="eastAsia" w:ascii="宋体" w:hAnsi="宋体" w:eastAsia="宋体" w:cs="宋体"/>
                <w:color w:val="auto"/>
                <w:sz w:val="18"/>
                <w:szCs w:val="18"/>
                <w:lang w:val="en-US" w:eastAsia="zh-CN" w:bidi="ar-SA"/>
              </w:rPr>
              <w:t>单一投资者</w:t>
            </w:r>
            <w:r>
              <w:rPr>
                <w:rFonts w:ascii="宋体" w:hAnsi="宋体" w:eastAsia="宋体" w:cs="宋体"/>
                <w:color w:val="auto"/>
                <w:sz w:val="18"/>
                <w:szCs w:val="18"/>
                <w:lang w:val="en-US" w:eastAsia="zh-CN" w:bidi="ar-SA"/>
              </w:rPr>
              <w:t>最高</w:t>
            </w:r>
            <w:r>
              <w:rPr>
                <w:rFonts w:hint="eastAsia" w:ascii="宋体" w:hAnsi="宋体" w:eastAsia="宋体" w:cs="宋体"/>
                <w:color w:val="auto"/>
                <w:sz w:val="18"/>
                <w:szCs w:val="18"/>
                <w:lang w:val="en-US" w:eastAsia="zh-CN" w:bidi="ar-SA"/>
              </w:rPr>
              <w:t>持有</w:t>
            </w:r>
            <w:r>
              <w:rPr>
                <w:rFonts w:ascii="宋体" w:hAnsi="宋体" w:eastAsia="宋体" w:cs="宋体"/>
                <w:color w:val="auto"/>
                <w:sz w:val="18"/>
                <w:szCs w:val="18"/>
                <w:lang w:val="en-US" w:eastAsia="zh-CN" w:bidi="ar-SA"/>
              </w:rPr>
              <w:t>份额上限为</w:t>
            </w:r>
            <w:r>
              <w:rPr>
                <w:rFonts w:hint="eastAsia" w:ascii="宋体" w:hAnsi="宋体" w:eastAsia="宋体" w:cs="宋体"/>
                <w:color w:val="auto"/>
                <w:sz w:val="18"/>
                <w:szCs w:val="18"/>
                <w:lang w:val="en-US" w:eastAsia="zh-CN" w:bidi="ar-SA"/>
              </w:rPr>
              <w:t>【/】，符合产品管理人流动性管理的稳定资金除外。</w:t>
            </w:r>
          </w:p>
          <w:p w14:paraId="4174AB75">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 xml:space="preserve">如需突破上限，请与产品管理人或销售机构客户经理联系。 </w:t>
            </w:r>
          </w:p>
          <w:p w14:paraId="23342CAC">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3.赎回的数量限制</w:t>
            </w:r>
          </w:p>
          <w:p w14:paraId="5AF3B395">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（1）单一投资者赎回上限为【/】。</w:t>
            </w:r>
          </w:p>
          <w:p w14:paraId="648D3A93">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投资者可全部或部分赎回其理财份额，但是部分赎回后单一投资者持有产品份额不得低于【/】。受理财利益分配去尾规则的影响，投资者持有产品份额较低时可能无法取得利益。巨额赎回情景发生时，投资者的可赎回份额需要根据巨额赎回规则确定。</w:t>
            </w:r>
          </w:p>
          <w:p w14:paraId="767F46D4">
            <w:pPr>
              <w:widowControl w:val="0"/>
              <w:autoSpaceDE w:val="0"/>
              <w:autoSpaceDN w:val="0"/>
              <w:adjustRightInd w:val="0"/>
              <w:spacing w:line="360" w:lineRule="auto"/>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注</w:t>
            </w:r>
            <w:r>
              <w:rPr>
                <w:rFonts w:ascii="黑体" w:hAnsi="黑体" w:eastAsia="黑体" w:cs="宋体"/>
                <w:color w:val="000000"/>
                <w:sz w:val="18"/>
                <w:szCs w:val="18"/>
                <w:lang w:val="en-US" w:eastAsia="zh-CN" w:bidi="ar-SA"/>
              </w:rPr>
              <w:t>：</w:t>
            </w:r>
            <w:r>
              <w:rPr>
                <w:rFonts w:hint="eastAsia" w:ascii="黑体" w:hAnsi="黑体" w:eastAsia="黑体" w:cs="宋体"/>
                <w:color w:val="000000"/>
                <w:sz w:val="18"/>
                <w:szCs w:val="18"/>
                <w:lang w:val="en-US" w:eastAsia="zh-CN" w:bidi="ar-SA"/>
              </w:rPr>
              <w:t>本产品单一投资者持有份额不得超过产品总份额50%。</w:t>
            </w:r>
          </w:p>
          <w:p w14:paraId="4312CDA9">
            <w:pPr>
              <w:widowControl w:val="0"/>
              <w:autoSpaceDE w:val="0"/>
              <w:autoSpaceDN w:val="0"/>
              <w:adjustRightInd w:val="0"/>
              <w:spacing w:line="360" w:lineRule="auto"/>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（1）投资者认购或申购确认后可能导致其持有份额超过产品总份额50%的，管理人有权拒绝或暂停认购、申购。</w:t>
            </w:r>
          </w:p>
          <w:p w14:paraId="6B3FEB36">
            <w:pPr>
              <w:widowControl w:val="0"/>
              <w:autoSpaceDE w:val="0"/>
              <w:autoSpaceDN w:val="0"/>
              <w:adjustRightInd w:val="0"/>
              <w:spacing w:line="360" w:lineRule="auto"/>
              <w:rPr>
                <w:rFonts w:ascii="黑体" w:hAnsi="黑体" w:eastAsia="黑体" w:cs="宋体"/>
                <w:bCs/>
                <w:color w:val="000000"/>
                <w:sz w:val="18"/>
                <w:szCs w:val="18"/>
                <w:lang w:val="en-US" w:eastAsia="zh-CN" w:bidi="ar-SA"/>
              </w:rPr>
            </w:pPr>
            <w:r>
              <w:rPr>
                <w:rFonts w:hint="eastAsia" w:ascii="黑体" w:hAnsi="黑体" w:eastAsia="黑体" w:cs="宋体"/>
                <w:color w:val="000000"/>
                <w:sz w:val="18"/>
                <w:szCs w:val="18"/>
                <w:lang w:val="en-US" w:eastAsia="zh-CN" w:bidi="ar-SA"/>
              </w:rPr>
              <w:t>（2）非因管理人主观因素导致突破该比例限制的，在单一投资者持有比例降至50%以下之前，管理人不再接受该投资者对本产品的认购、申购申请。</w:t>
            </w:r>
          </w:p>
        </w:tc>
      </w:tr>
      <w:tr w14:paraId="7462CC1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14:paraId="4A4433A0">
            <w:pPr>
              <w:spacing w:line="360" w:lineRule="auto"/>
              <w:jc w:val="left"/>
              <w:rPr>
                <w:rFonts w:ascii="Calibri" w:hAnsi="宋体" w:cs="宋体"/>
                <w:b/>
                <w:sz w:val="18"/>
                <w:szCs w:val="18"/>
              </w:rPr>
            </w:pPr>
            <w:r>
              <w:rPr>
                <w:rFonts w:hint="eastAsia" w:ascii="Calibri" w:hAnsi="Calibri" w:cs="宋体"/>
                <w:sz w:val="18"/>
                <w:szCs w:val="18"/>
              </w:rPr>
              <w:t>★</w:t>
            </w:r>
            <w:r>
              <w:rPr>
                <w:rFonts w:hint="eastAsia" w:ascii="Calibri" w:hAnsi="宋体" w:cs="宋体"/>
                <w:b/>
                <w:sz w:val="18"/>
                <w:szCs w:val="18"/>
              </w:rPr>
              <w:t>巨额赎回的认定</w:t>
            </w:r>
          </w:p>
        </w:tc>
        <w:tc>
          <w:tcPr>
            <w:tcW w:w="7704" w:type="dxa"/>
            <w:shd w:val="solid" w:color="FFFFFF" w:fill="FFFFFF"/>
          </w:tcPr>
          <w:p w14:paraId="394AF6A7">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bCs/>
                <w:color w:val="000000"/>
                <w:sz w:val="18"/>
                <w:szCs w:val="18"/>
                <w:lang w:val="en-US" w:eastAsia="zh-CN" w:bidi="ar-SA"/>
              </w:rPr>
              <w:t>每</w:t>
            </w:r>
            <w:r>
              <w:rPr>
                <w:rFonts w:ascii="宋体" w:hAnsi="宋体" w:eastAsia="宋体" w:cs="宋体"/>
                <w:bCs/>
                <w:color w:val="000000"/>
                <w:sz w:val="18"/>
                <w:szCs w:val="18"/>
                <w:lang w:val="en-US" w:eastAsia="zh-CN" w:bidi="ar-SA"/>
              </w:rPr>
              <w:t>个</w:t>
            </w:r>
            <w:r>
              <w:rPr>
                <w:rFonts w:hint="eastAsia" w:ascii="宋体" w:hAnsi="宋体" w:eastAsia="宋体" w:cs="宋体"/>
                <w:bCs/>
                <w:color w:val="000000"/>
                <w:sz w:val="18"/>
                <w:szCs w:val="18"/>
                <w:lang w:val="en-US" w:eastAsia="zh-CN" w:bidi="ar-SA"/>
              </w:rPr>
              <w:t>赎回</w:t>
            </w:r>
            <w:r>
              <w:rPr>
                <w:rFonts w:ascii="宋体" w:hAnsi="宋体" w:eastAsia="宋体" w:cs="宋体"/>
                <w:bCs/>
                <w:color w:val="000000"/>
                <w:sz w:val="18"/>
                <w:szCs w:val="18"/>
                <w:lang w:val="en-US" w:eastAsia="zh-CN" w:bidi="ar-SA"/>
              </w:rPr>
              <w:t>日</w:t>
            </w:r>
            <w:r>
              <w:rPr>
                <w:rFonts w:hint="eastAsia" w:ascii="宋体" w:hAnsi="宋体" w:eastAsia="宋体" w:cs="宋体"/>
                <w:bCs/>
                <w:color w:val="000000"/>
                <w:sz w:val="18"/>
                <w:szCs w:val="18"/>
                <w:lang w:val="en-US" w:eastAsia="zh-CN" w:bidi="ar-SA"/>
              </w:rPr>
              <w:t>，本产品的净赎回申请（赎回</w:t>
            </w:r>
            <w:r>
              <w:rPr>
                <w:rFonts w:hint="eastAsia" w:ascii="宋体" w:hAnsi="宋体" w:eastAsia="宋体" w:cs="宋体"/>
                <w:bCs/>
                <w:color w:val="auto"/>
                <w:sz w:val="18"/>
                <w:szCs w:val="18"/>
                <w:lang w:val="en-US" w:eastAsia="zh-CN" w:bidi="ar-SA"/>
              </w:rPr>
              <w:t>申请</w:t>
            </w:r>
            <w:r>
              <w:rPr>
                <w:rFonts w:hint="eastAsia" w:ascii="宋体" w:hAnsi="宋体" w:eastAsia="宋体" w:cs="宋体"/>
                <w:bCs/>
                <w:color w:val="000000"/>
                <w:sz w:val="18"/>
                <w:szCs w:val="18"/>
                <w:lang w:val="en-US" w:eastAsia="zh-CN" w:bidi="ar-SA"/>
              </w:rPr>
              <w:t>份额总数扣除申购</w:t>
            </w:r>
            <w:r>
              <w:rPr>
                <w:rFonts w:hint="eastAsia" w:ascii="宋体" w:hAnsi="宋体" w:eastAsia="宋体" w:cs="宋体"/>
                <w:bCs/>
                <w:color w:val="auto"/>
                <w:sz w:val="18"/>
                <w:szCs w:val="18"/>
                <w:lang w:val="en-US" w:eastAsia="zh-CN" w:bidi="ar-SA"/>
              </w:rPr>
              <w:t>申请</w:t>
            </w:r>
            <w:r>
              <w:rPr>
                <w:rFonts w:hint="eastAsia" w:ascii="宋体" w:hAnsi="宋体" w:eastAsia="宋体" w:cs="宋体"/>
                <w:bCs/>
                <w:color w:val="000000"/>
                <w:sz w:val="18"/>
                <w:szCs w:val="18"/>
                <w:lang w:val="en-US" w:eastAsia="zh-CN" w:bidi="ar-SA"/>
              </w:rPr>
              <w:t>份额总数后的余额</w:t>
            </w:r>
            <w:r>
              <w:rPr>
                <w:rFonts w:ascii="宋体" w:hAnsi="宋体" w:eastAsia="宋体" w:cs="宋体"/>
                <w:bCs/>
                <w:color w:val="000000"/>
                <w:sz w:val="18"/>
                <w:szCs w:val="18"/>
                <w:lang w:val="en-US" w:eastAsia="zh-CN" w:bidi="ar-SA"/>
              </w:rPr>
              <w:t>,</w:t>
            </w:r>
            <w:r>
              <w:rPr>
                <w:rFonts w:hint="eastAsia" w:ascii="宋体" w:hAnsi="宋体" w:eastAsia="宋体" w:cs="宋体"/>
                <w:bCs/>
                <w:color w:val="000000"/>
                <w:sz w:val="18"/>
                <w:szCs w:val="18"/>
                <w:lang w:val="en-US" w:eastAsia="zh-CN" w:bidi="ar-SA"/>
              </w:rPr>
              <w:t>下同）之和达到上一赎回日产品总份额的【</w:t>
            </w:r>
            <w:r>
              <w:rPr>
                <w:rFonts w:ascii="宋体" w:hAnsi="宋体" w:eastAsia="宋体" w:cs="宋体"/>
                <w:bCs/>
                <w:color w:val="000000"/>
                <w:sz w:val="18"/>
                <w:szCs w:val="18"/>
                <w:lang w:val="en-US" w:eastAsia="zh-CN" w:bidi="ar-SA"/>
              </w:rPr>
              <w:t>10</w:t>
            </w:r>
            <w:r>
              <w:rPr>
                <w:rFonts w:hint="eastAsia" w:ascii="宋体" w:hAnsi="宋体" w:eastAsia="宋体" w:cs="宋体"/>
                <w:bCs/>
                <w:color w:val="000000"/>
                <w:sz w:val="18"/>
                <w:szCs w:val="18"/>
                <w:lang w:val="en-US" w:eastAsia="zh-CN" w:bidi="ar-SA"/>
              </w:rPr>
              <w:t>%】，为巨额赎回。</w:t>
            </w:r>
          </w:p>
        </w:tc>
      </w:tr>
      <w:tr w14:paraId="705EC62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07F794C3">
            <w:pPr>
              <w:spacing w:line="360" w:lineRule="auto"/>
              <w:jc w:val="left"/>
              <w:rPr>
                <w:rFonts w:ascii="Calibri" w:hAnsi="宋体" w:cs="宋体"/>
                <w:sz w:val="18"/>
                <w:szCs w:val="18"/>
              </w:rPr>
            </w:pPr>
            <w:r>
              <w:rPr>
                <w:rFonts w:hint="eastAsia" w:ascii="宋体" w:hAnsi="宋体" w:eastAsia="宋体" w:cs="宋体"/>
                <w:b/>
                <w:bCs/>
                <w:sz w:val="18"/>
                <w:szCs w:val="18"/>
              </w:rPr>
              <w:t>理财产品</w:t>
            </w:r>
            <w:r>
              <w:rPr>
                <w:rFonts w:ascii="宋体" w:hAnsi="宋体" w:eastAsia="宋体" w:cs="宋体"/>
                <w:b/>
                <w:bCs/>
                <w:sz w:val="18"/>
                <w:szCs w:val="18"/>
              </w:rPr>
              <w:t>份额发售面值</w:t>
            </w:r>
          </w:p>
        </w:tc>
        <w:tc>
          <w:tcPr>
            <w:tcW w:w="7704" w:type="dxa"/>
            <w:shd w:val="solid" w:color="FFFFFF" w:fill="FFFFFF"/>
            <w:vAlign w:val="center"/>
          </w:tcPr>
          <w:p w14:paraId="5718FEF2">
            <w:pPr>
              <w:spacing w:line="360" w:lineRule="auto"/>
              <w:rPr>
                <w:rFonts w:ascii="宋体" w:hAnsi="宋体" w:eastAsia="宋体" w:cs="宋体"/>
                <w:sz w:val="18"/>
                <w:szCs w:val="18"/>
              </w:rPr>
            </w:pPr>
            <w:r>
              <w:rPr>
                <w:rFonts w:ascii="宋体" w:hAnsi="宋体" w:eastAsia="宋体" w:cs="仿宋_GB2312"/>
                <w:kern w:val="0"/>
                <w:sz w:val="18"/>
                <w:szCs w:val="18"/>
              </w:rPr>
              <w:t>1.00</w:t>
            </w:r>
            <w:r>
              <w:rPr>
                <w:rFonts w:hint="eastAsia" w:ascii="宋体" w:hAnsi="宋体" w:eastAsia="宋体" w:cs="仿宋_GB2312"/>
                <w:kern w:val="0"/>
                <w:sz w:val="18"/>
                <w:szCs w:val="18"/>
              </w:rPr>
              <w:t>元</w:t>
            </w:r>
          </w:p>
        </w:tc>
      </w:tr>
      <w:tr w14:paraId="2E0F007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6E439B00">
            <w:pPr>
              <w:spacing w:line="360" w:lineRule="auto"/>
              <w:jc w:val="left"/>
              <w:rPr>
                <w:rFonts w:ascii="宋体" w:hAnsi="宋体" w:eastAsia="宋体" w:cs="宋体"/>
                <w:b/>
                <w:sz w:val="18"/>
                <w:szCs w:val="18"/>
              </w:rPr>
            </w:pPr>
            <w:r>
              <w:rPr>
                <w:rFonts w:hint="eastAsia" w:ascii="宋体" w:hAnsi="宋体" w:cs="宋体"/>
                <w:b/>
                <w:bCs/>
                <w:kern w:val="0"/>
                <w:sz w:val="18"/>
                <w:szCs w:val="18"/>
              </w:rPr>
              <w:t>理财产品份额净值</w:t>
            </w:r>
          </w:p>
        </w:tc>
        <w:tc>
          <w:tcPr>
            <w:tcW w:w="7704" w:type="dxa"/>
            <w:shd w:val="solid" w:color="FFFFFF" w:fill="FFFFFF"/>
            <w:vAlign w:val="center"/>
          </w:tcPr>
          <w:p w14:paraId="47BB3C88">
            <w:pPr>
              <w:spacing w:line="360" w:lineRule="auto"/>
              <w:jc w:val="left"/>
              <w:rPr>
                <w:rFonts w:ascii="宋体" w:hAnsi="宋体" w:eastAsia="宋体" w:cs="宋体"/>
                <w:bCs/>
                <w:sz w:val="18"/>
                <w:szCs w:val="18"/>
              </w:rPr>
            </w:pPr>
            <w:r>
              <w:rPr>
                <w:rFonts w:hint="eastAsia" w:ascii="宋体" w:hAnsi="宋体" w:eastAsia="宋体" w:cs="宋体"/>
                <w:bCs/>
                <w:sz w:val="18"/>
                <w:szCs w:val="18"/>
              </w:rPr>
              <w:t>1</w:t>
            </w:r>
            <w:r>
              <w:rPr>
                <w:rFonts w:ascii="宋体" w:hAnsi="宋体" w:eastAsia="宋体" w:cs="宋体"/>
                <w:color w:val="000000"/>
                <w:sz w:val="18"/>
                <w:szCs w:val="18"/>
              </w:rPr>
              <w:t>.</w:t>
            </w:r>
            <w:r>
              <w:rPr>
                <w:rFonts w:ascii="宋体" w:hAnsi="宋体" w:eastAsia="宋体" w:cs="宋体"/>
                <w:bCs/>
                <w:sz w:val="18"/>
                <w:szCs w:val="18"/>
              </w:rPr>
              <w:t>若产品投资资产运作出现损失的，产品份额净值下降，投资</w:t>
            </w:r>
            <w:r>
              <w:rPr>
                <w:rFonts w:hint="eastAsia" w:ascii="宋体" w:hAnsi="宋体" w:eastAsia="宋体" w:cs="宋体"/>
                <w:bCs/>
                <w:sz w:val="18"/>
                <w:szCs w:val="18"/>
              </w:rPr>
              <w:t>者</w:t>
            </w:r>
            <w:r>
              <w:rPr>
                <w:rFonts w:ascii="宋体" w:hAnsi="宋体" w:eastAsia="宋体" w:cs="宋体"/>
                <w:bCs/>
                <w:sz w:val="18"/>
                <w:szCs w:val="18"/>
              </w:rPr>
              <w:t>分配所得可能小于投资</w:t>
            </w:r>
            <w:r>
              <w:rPr>
                <w:rFonts w:hint="eastAsia" w:ascii="宋体" w:hAnsi="宋体" w:eastAsia="宋体" w:cs="宋体"/>
                <w:bCs/>
                <w:sz w:val="18"/>
                <w:szCs w:val="18"/>
              </w:rPr>
              <w:t>者</w:t>
            </w:r>
            <w:r>
              <w:rPr>
                <w:rFonts w:ascii="宋体" w:hAnsi="宋体" w:eastAsia="宋体" w:cs="宋体"/>
                <w:bCs/>
                <w:sz w:val="18"/>
                <w:szCs w:val="18"/>
              </w:rPr>
              <w:t>初始投资资金。投资</w:t>
            </w:r>
            <w:r>
              <w:rPr>
                <w:rFonts w:hint="eastAsia" w:ascii="宋体" w:hAnsi="宋体" w:eastAsia="宋体" w:cs="宋体"/>
                <w:bCs/>
                <w:sz w:val="18"/>
                <w:szCs w:val="18"/>
              </w:rPr>
              <w:t>者</w:t>
            </w:r>
            <w:r>
              <w:rPr>
                <w:rFonts w:ascii="宋体" w:hAnsi="宋体" w:eastAsia="宋体" w:cs="宋体"/>
                <w:bCs/>
                <w:sz w:val="18"/>
                <w:szCs w:val="18"/>
              </w:rPr>
              <w:t>分配所得以实际到账金额为准。</w:t>
            </w:r>
          </w:p>
          <w:p w14:paraId="258874CB">
            <w:pPr>
              <w:spacing w:line="360" w:lineRule="auto"/>
              <w:rPr>
                <w:rFonts w:ascii="宋体" w:hAnsi="宋体" w:eastAsia="宋体" w:cs="宋体"/>
                <w:bCs/>
                <w:sz w:val="18"/>
                <w:szCs w:val="18"/>
              </w:rPr>
            </w:pPr>
            <w:r>
              <w:rPr>
                <w:rFonts w:ascii="宋体" w:hAnsi="宋体" w:eastAsia="宋体" w:cs="宋体"/>
                <w:bCs/>
                <w:sz w:val="18"/>
                <w:szCs w:val="18"/>
              </w:rPr>
              <w:t>2．产品实际</w:t>
            </w:r>
            <w:r>
              <w:rPr>
                <w:rFonts w:hint="eastAsia" w:ascii="宋体" w:hAnsi="宋体" w:eastAsia="宋体" w:cs="宋体"/>
                <w:bCs/>
                <w:sz w:val="18"/>
                <w:szCs w:val="18"/>
              </w:rPr>
              <w:t>终止</w:t>
            </w:r>
            <w:r>
              <w:rPr>
                <w:rFonts w:ascii="宋体" w:hAnsi="宋体" w:eastAsia="宋体" w:cs="宋体"/>
                <w:bCs/>
                <w:sz w:val="18"/>
                <w:szCs w:val="18"/>
              </w:rPr>
              <w:t>日之前的估值日公布的产品份额净值已扣除</w:t>
            </w:r>
            <w:r>
              <w:rPr>
                <w:rFonts w:hint="eastAsia" w:ascii="宋体" w:hAnsi="宋体" w:eastAsia="宋体" w:cs="宋体"/>
                <w:bCs/>
                <w:sz w:val="18"/>
                <w:szCs w:val="18"/>
              </w:rPr>
              <w:t>理财产品的费用和税收</w:t>
            </w:r>
            <w:r>
              <w:rPr>
                <w:rFonts w:ascii="宋体" w:hAnsi="宋体" w:eastAsia="宋体" w:cs="宋体"/>
                <w:bCs/>
                <w:sz w:val="18"/>
                <w:szCs w:val="18"/>
              </w:rPr>
              <w:t>。</w:t>
            </w:r>
          </w:p>
          <w:p w14:paraId="216C4426">
            <w:pPr>
              <w:spacing w:line="360" w:lineRule="auto"/>
              <w:jc w:val="left"/>
              <w:rPr>
                <w:rFonts w:ascii="宋体" w:hAnsi="宋体" w:cs="Times New Roman"/>
                <w:sz w:val="18"/>
                <w:szCs w:val="18"/>
              </w:rPr>
            </w:pPr>
            <w:r>
              <w:rPr>
                <w:rFonts w:ascii="宋体" w:hAnsi="宋体" w:eastAsia="宋体" w:cs="宋体"/>
                <w:bCs/>
                <w:sz w:val="18"/>
                <w:szCs w:val="18"/>
              </w:rPr>
              <w:t>3．产品管理人依约定公布产品份额净值</w:t>
            </w:r>
            <w:r>
              <w:rPr>
                <w:rFonts w:hint="eastAsia" w:ascii="宋体" w:hAnsi="宋体" w:eastAsia="宋体" w:cs="宋体"/>
                <w:bCs/>
                <w:sz w:val="18"/>
                <w:szCs w:val="18"/>
              </w:rPr>
              <w:t>，产品管理人</w:t>
            </w:r>
            <w:r>
              <w:rPr>
                <w:rFonts w:ascii="宋体" w:hAnsi="宋体" w:eastAsia="宋体" w:cs="宋体"/>
                <w:bCs/>
                <w:sz w:val="18"/>
                <w:szCs w:val="18"/>
              </w:rPr>
              <w:t>以</w:t>
            </w:r>
            <w:r>
              <w:rPr>
                <w:rFonts w:hint="eastAsia" w:ascii="宋体" w:hAnsi="宋体" w:eastAsia="宋体" w:cs="宋体"/>
                <w:bCs/>
                <w:sz w:val="18"/>
                <w:szCs w:val="18"/>
              </w:rPr>
              <w:t>赎回日</w:t>
            </w:r>
            <w:r>
              <w:rPr>
                <w:rFonts w:ascii="宋体" w:hAnsi="宋体" w:eastAsia="宋体" w:cs="宋体"/>
                <w:bCs/>
                <w:sz w:val="18"/>
                <w:szCs w:val="18"/>
              </w:rPr>
              <w:t>产品份额净值为基础进行利益分配。</w:t>
            </w:r>
          </w:p>
        </w:tc>
      </w:tr>
      <w:tr w14:paraId="56547BF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14:paraId="0E293B9C">
            <w:pPr>
              <w:spacing w:line="360" w:lineRule="auto"/>
              <w:jc w:val="left"/>
              <w:rPr>
                <w:rFonts w:ascii="宋体" w:hAnsi="宋体" w:eastAsia="宋体" w:cs="宋体"/>
                <w:b/>
                <w:sz w:val="18"/>
                <w:szCs w:val="18"/>
              </w:rPr>
            </w:pPr>
            <w:r>
              <w:rPr>
                <w:rFonts w:hint="eastAsia" w:ascii="Calibri" w:hAnsi="Calibri" w:cs="宋体"/>
                <w:sz w:val="18"/>
                <w:szCs w:val="18"/>
              </w:rPr>
              <w:t>★</w:t>
            </w:r>
            <w:r>
              <w:rPr>
                <w:rFonts w:hint="eastAsia" w:ascii="宋体" w:hAnsi="宋体" w:eastAsia="宋体" w:cs="宋体"/>
                <w:b/>
                <w:bCs/>
                <w:sz w:val="18"/>
                <w:szCs w:val="18"/>
              </w:rPr>
              <w:t>业绩比较基准</w:t>
            </w:r>
          </w:p>
        </w:tc>
        <w:tc>
          <w:tcPr>
            <w:tcW w:w="7704" w:type="dxa"/>
            <w:shd w:val="solid" w:color="FFFFFF" w:fill="FFFFFF"/>
            <w:vAlign w:val="center"/>
          </w:tcPr>
          <w:p w14:paraId="6E1EC395">
            <w:pPr>
              <w:spacing w:line="360" w:lineRule="auto"/>
              <w:jc w:val="left"/>
              <w:rPr>
                <w:rFonts w:ascii="宋体" w:hAnsi="宋体" w:cs="宋体"/>
                <w:bCs/>
                <w:sz w:val="18"/>
                <w:szCs w:val="18"/>
              </w:rPr>
            </w:pPr>
            <w:r>
              <w:rPr>
                <w:rFonts w:hint="eastAsia" w:ascii="Calibri" w:hAnsi="宋体" w:cs="宋体"/>
                <w:bCs/>
                <w:sz w:val="18"/>
                <w:szCs w:val="18"/>
              </w:rPr>
              <w:t>（</w:t>
            </w:r>
            <w:r>
              <w:rPr>
                <w:rFonts w:hint="eastAsia" w:ascii="Calibri" w:hAnsi="宋体" w:cs="宋体"/>
                <w:bCs/>
                <w:sz w:val="18"/>
                <w:szCs w:val="18"/>
                <w:lang w:eastAsia="zh-CN"/>
              </w:rPr>
              <w:t>适用【B】类份额</w:t>
            </w:r>
            <w:r>
              <w:rPr>
                <w:rFonts w:hint="eastAsia" w:ascii="Calibri" w:hAnsi="宋体" w:cs="宋体"/>
                <w:bCs/>
                <w:sz w:val="18"/>
                <w:szCs w:val="18"/>
              </w:rPr>
              <w:t>）</w:t>
            </w:r>
          </w:p>
          <w:p w14:paraId="2FB6D8BE">
            <w:pPr>
              <w:spacing w:line="360" w:lineRule="auto"/>
              <w:jc w:val="left"/>
              <w:rPr>
                <w:rFonts w:ascii="宋体" w:hAnsi="宋体" w:cs="宋体"/>
                <w:bCs/>
                <w:sz w:val="18"/>
                <w:szCs w:val="18"/>
              </w:rPr>
            </w:pPr>
            <w:r>
              <w:rPr>
                <w:rFonts w:ascii="宋体" w:hAnsi="宋体" w:cs="宋体"/>
                <w:bCs/>
                <w:sz w:val="18"/>
                <w:szCs w:val="18"/>
              </w:rPr>
              <w:t>1.业绩比较基准的设置</w:t>
            </w:r>
          </w:p>
          <w:p w14:paraId="6ED8163E">
            <w:pPr>
              <w:autoSpaceDE w:val="0"/>
              <w:autoSpaceDN w:val="0"/>
              <w:adjustRightInd w:val="0"/>
              <w:spacing w:line="360" w:lineRule="auto"/>
              <w:jc w:val="left"/>
              <w:rPr>
                <w:rFonts w:ascii="宋体" w:hAnsi="宋体" w:eastAsia="宋体" w:cs="宋体"/>
                <w:bCs/>
                <w:kern w:val="0"/>
                <w:sz w:val="18"/>
                <w:szCs w:val="18"/>
              </w:rPr>
            </w:pPr>
            <w:r>
              <w:rPr>
                <w:rFonts w:hint="eastAsia" w:ascii="宋体" w:hAnsi="宋体" w:eastAsia="宋体" w:cs="宋体"/>
                <w:bCs/>
                <w:sz w:val="18"/>
                <w:szCs w:val="18"/>
              </w:rPr>
              <w:t>■</w:t>
            </w:r>
            <w:r>
              <w:rPr>
                <w:rFonts w:ascii="宋体" w:hAnsi="宋体" w:eastAsia="宋体" w:cs="宋体"/>
                <w:b/>
                <w:kern w:val="0"/>
                <w:sz w:val="18"/>
                <w:szCs w:val="18"/>
              </w:rPr>
              <w:t xml:space="preserve"> </w:t>
            </w:r>
            <w:r>
              <w:rPr>
                <w:rFonts w:hint="eastAsia" w:ascii="宋体" w:hAnsi="宋体" w:eastAsia="宋体" w:cs="宋体"/>
                <w:bCs/>
                <w:kern w:val="0"/>
                <w:sz w:val="18"/>
                <w:szCs w:val="18"/>
              </w:rPr>
              <w:t>产品管理人设置业绩比较基准。</w:t>
            </w:r>
          </w:p>
          <w:p w14:paraId="03E25B3F">
            <w:pPr>
              <w:spacing w:line="360" w:lineRule="auto"/>
              <w:jc w:val="left"/>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1）业绩比较基准的说明：【</w:t>
            </w:r>
            <w:r>
              <w:rPr>
                <w:rFonts w:hint="eastAsia" w:ascii="宋体" w:hAnsi="宋体" w:eastAsia="宋体" w:cs="宋体"/>
                <w:bCs/>
                <w:sz w:val="18"/>
                <w:szCs w:val="18"/>
              </w:rPr>
              <w:t>基于当前对未来市场的判断，根据拟投资债权类资产的信用利差、久期敞口以及流动性溢价，预判组合的波动幅度</w:t>
            </w:r>
            <w:r>
              <w:rPr>
                <w:rFonts w:ascii="宋体" w:hAnsi="宋体" w:cs="宋体"/>
                <w:bCs/>
                <w:sz w:val="18"/>
                <w:szCs w:val="18"/>
              </w:rPr>
              <w:t>】</w:t>
            </w:r>
            <w:r>
              <w:rPr>
                <w:rFonts w:hint="eastAsia" w:ascii="宋体" w:hAnsi="宋体" w:cs="宋体"/>
                <w:bCs/>
                <w:sz w:val="18"/>
                <w:szCs w:val="18"/>
              </w:rPr>
              <w:t>。</w:t>
            </w:r>
          </w:p>
          <w:p w14:paraId="319B18DA">
            <w:pPr>
              <w:spacing w:line="360" w:lineRule="auto"/>
              <w:jc w:val="left"/>
              <w:rPr>
                <w:rFonts w:ascii="宋体" w:hAnsi="宋体" w:cs="宋体"/>
                <w:bCs/>
                <w:sz w:val="18"/>
                <w:szCs w:val="22"/>
              </w:rPr>
            </w:pPr>
            <w:r>
              <w:rPr>
                <w:rFonts w:hint="eastAsia" w:ascii="宋体" w:hAnsi="宋体" w:eastAsia="宋体" w:cs="宋体"/>
                <w:bCs/>
                <w:sz w:val="18"/>
                <w:szCs w:val="18"/>
              </w:rPr>
              <w:t>（</w:t>
            </w:r>
            <w:r>
              <w:rPr>
                <w:rFonts w:ascii="宋体" w:hAnsi="宋体" w:eastAsia="宋体" w:cs="宋体"/>
                <w:bCs/>
                <w:sz w:val="18"/>
                <w:szCs w:val="18"/>
              </w:rPr>
              <w:t>2）业绩比较基准的设定</w:t>
            </w:r>
            <w:r>
              <w:rPr>
                <w:rFonts w:hint="eastAsia" w:ascii="宋体" w:hAnsi="宋体" w:eastAsia="宋体" w:cs="宋体"/>
                <w:bCs/>
                <w:sz w:val="18"/>
                <w:szCs w:val="18"/>
              </w:rPr>
              <w:t>：</w:t>
            </w:r>
            <w:r>
              <w:rPr>
                <w:rFonts w:hint="eastAsia" w:ascii="宋体" w:hAnsi="宋体" w:cs="宋体"/>
                <w:bCs/>
                <w:sz w:val="18"/>
                <w:szCs w:val="22"/>
              </w:rPr>
              <w:t>管理人对</w:t>
            </w:r>
            <w:r>
              <w:rPr>
                <w:rFonts w:ascii="宋体" w:hAnsi="宋体" w:cs="宋体"/>
                <w:bCs/>
                <w:sz w:val="18"/>
                <w:szCs w:val="22"/>
              </w:rPr>
              <w:t>本产品设定</w:t>
            </w:r>
            <w:r>
              <w:rPr>
                <w:rFonts w:hint="eastAsia" w:ascii="宋体" w:hAnsi="宋体" w:cs="宋体"/>
                <w:bCs/>
                <w:sz w:val="18"/>
                <w:szCs w:val="22"/>
              </w:rPr>
              <w:t>业绩比较基准：</w:t>
            </w:r>
          </w:p>
          <w:p w14:paraId="13CFA358">
            <w:pPr>
              <w:autoSpaceDE w:val="0"/>
              <w:autoSpaceDN w:val="0"/>
              <w:adjustRightInd w:val="0"/>
              <w:spacing w:line="360" w:lineRule="auto"/>
              <w:jc w:val="left"/>
              <w:rPr>
                <w:rFonts w:hint="eastAsia" w:ascii="宋体" w:hAnsi="宋体" w:eastAsia="宋体" w:cs="宋体"/>
                <w:bCs/>
                <w:kern w:val="0"/>
                <w:sz w:val="18"/>
                <w:szCs w:val="18"/>
                <w:lang w:eastAsia="zh-CN"/>
              </w:rPr>
            </w:pPr>
            <w:bookmarkStart w:id="99" w:name="performance"/>
            <w:bookmarkEnd w:id="99"/>
            <w:r>
              <w:rPr>
                <w:rFonts w:hint="eastAsia" w:ascii="宋体" w:hAnsi="宋体" w:eastAsia="宋体" w:cs="宋体"/>
                <w:bCs/>
                <w:kern w:val="0"/>
                <w:sz w:val="18"/>
                <w:szCs w:val="18"/>
                <w:lang w:eastAsia="zh-CN"/>
              </w:rPr>
              <w:t>【中债-新综合全价(1年以下)指数收益率*40%+人民银行7天通知存款利率*60%】（适用【B】类份额）</w:t>
            </w:r>
          </w:p>
          <w:p w14:paraId="0BBB87F8">
            <w:pPr>
              <w:autoSpaceDE w:val="0"/>
              <w:autoSpaceDN w:val="0"/>
              <w:adjustRightInd w:val="0"/>
              <w:spacing w:line="360" w:lineRule="auto"/>
              <w:jc w:val="left"/>
              <w:rPr>
                <w:rFonts w:ascii="宋体" w:hAnsi="宋体" w:eastAsia="宋体" w:cs="宋体"/>
                <w:bCs/>
                <w:kern w:val="0"/>
                <w:sz w:val="18"/>
                <w:szCs w:val="18"/>
              </w:rPr>
            </w:pPr>
            <w:r>
              <w:rPr>
                <w:rFonts w:hint="eastAsia" w:ascii="宋体" w:hAnsi="宋体" w:eastAsia="宋体" w:cs="宋体"/>
                <w:bCs/>
                <w:kern w:val="0"/>
                <w:sz w:val="18"/>
                <w:szCs w:val="18"/>
              </w:rPr>
              <w:t>□</w:t>
            </w:r>
            <w:r>
              <w:rPr>
                <w:rFonts w:ascii="宋体" w:hAnsi="宋体" w:eastAsia="宋体" w:cs="宋体"/>
                <w:bCs/>
                <w:kern w:val="0"/>
                <w:sz w:val="18"/>
                <w:szCs w:val="18"/>
              </w:rPr>
              <w:t xml:space="preserve"> </w:t>
            </w:r>
            <w:r>
              <w:rPr>
                <w:rFonts w:hint="eastAsia" w:ascii="宋体" w:hAnsi="宋体" w:eastAsia="宋体" w:cs="宋体"/>
                <w:bCs/>
                <w:kern w:val="0"/>
                <w:sz w:val="18"/>
                <w:szCs w:val="18"/>
              </w:rPr>
              <w:t>产品管理人不设置业绩比较基准。</w:t>
            </w:r>
          </w:p>
          <w:p w14:paraId="58CE3372">
            <w:pPr>
              <w:spacing w:line="360" w:lineRule="auto"/>
              <w:jc w:val="left"/>
              <w:rPr>
                <w:rFonts w:ascii="宋体" w:hAnsi="宋体" w:eastAsia="宋体" w:cs="宋体"/>
                <w:bCs/>
                <w:sz w:val="18"/>
                <w:szCs w:val="18"/>
              </w:rPr>
            </w:pPr>
            <w:r>
              <w:rPr>
                <w:rFonts w:ascii="宋体" w:hAnsi="宋体" w:eastAsia="宋体" w:cs="宋体"/>
                <w:bCs/>
                <w:sz w:val="18"/>
                <w:szCs w:val="18"/>
              </w:rPr>
              <w:t>2.业绩比较基准的提示：</w:t>
            </w:r>
          </w:p>
          <w:p w14:paraId="059529B8">
            <w:pPr>
              <w:spacing w:line="360" w:lineRule="auto"/>
              <w:jc w:val="left"/>
              <w:rPr>
                <w:rFonts w:ascii="黑体" w:hAnsi="黑体" w:eastAsia="黑体" w:cs="黑体"/>
                <w:bCs/>
                <w:sz w:val="18"/>
                <w:szCs w:val="18"/>
              </w:rPr>
            </w:pPr>
            <w:r>
              <w:rPr>
                <w:rFonts w:hint="eastAsia" w:ascii="黑体" w:hAnsi="黑体" w:eastAsia="黑体" w:cs="黑体"/>
                <w:bCs/>
                <w:sz w:val="18"/>
                <w:szCs w:val="18"/>
              </w:rPr>
              <w:t>（</w:t>
            </w:r>
            <w:r>
              <w:rPr>
                <w:rFonts w:ascii="黑体" w:hAnsi="黑体" w:eastAsia="黑体" w:cs="黑体"/>
                <w:bCs/>
                <w:sz w:val="18"/>
                <w:szCs w:val="18"/>
              </w:rPr>
              <w:t>1）</w:t>
            </w:r>
            <w:r>
              <w:rPr>
                <w:rFonts w:hint="eastAsia" w:ascii="黑体" w:hAnsi="黑体" w:eastAsia="黑体" w:cs="黑体"/>
                <w:bCs/>
                <w:sz w:val="18"/>
                <w:szCs w:val="18"/>
              </w:rPr>
              <w:t>★</w:t>
            </w:r>
            <w:r>
              <w:rPr>
                <w:rFonts w:hint="eastAsia" w:ascii="黑体" w:hAnsi="黑体" w:eastAsia="黑体" w:cs="黑体"/>
                <w:bCs/>
                <w:sz w:val="18"/>
                <w:szCs w:val="22"/>
              </w:rPr>
              <w:t>业绩比较基准</w:t>
            </w:r>
            <w:r>
              <w:rPr>
                <w:rFonts w:hint="eastAsia" w:ascii="黑体" w:hAnsi="黑体" w:eastAsia="黑体" w:cs="黑体"/>
                <w:bCs/>
                <w:sz w:val="18"/>
                <w:szCs w:val="18"/>
              </w:rPr>
              <w:t>不是预期收益率，</w:t>
            </w:r>
            <w:r>
              <w:rPr>
                <w:rFonts w:hint="eastAsia" w:ascii="黑体" w:hAnsi="黑体" w:eastAsia="黑体" w:cs="黑体"/>
                <w:bCs/>
                <w:sz w:val="18"/>
                <w:szCs w:val="22"/>
              </w:rPr>
              <w:t>不代表产品</w:t>
            </w:r>
            <w:r>
              <w:rPr>
                <w:rFonts w:hint="eastAsia" w:ascii="黑体" w:hAnsi="黑体" w:eastAsia="黑体" w:cs="黑体"/>
                <w:bCs/>
                <w:sz w:val="18"/>
                <w:szCs w:val="18"/>
              </w:rPr>
              <w:t>的</w:t>
            </w:r>
            <w:r>
              <w:rPr>
                <w:rFonts w:hint="eastAsia" w:ascii="黑体" w:hAnsi="黑体" w:eastAsia="黑体" w:cs="黑体"/>
                <w:bCs/>
                <w:sz w:val="18"/>
                <w:szCs w:val="22"/>
              </w:rPr>
              <w:t>未来表现</w:t>
            </w:r>
            <w:r>
              <w:rPr>
                <w:rFonts w:hint="eastAsia" w:ascii="黑体" w:hAnsi="黑体" w:eastAsia="黑体" w:cs="黑体"/>
                <w:bCs/>
                <w:sz w:val="18"/>
                <w:szCs w:val="18"/>
              </w:rPr>
              <w:t>和</w:t>
            </w:r>
            <w:r>
              <w:rPr>
                <w:rFonts w:hint="eastAsia" w:ascii="黑体" w:hAnsi="黑体" w:eastAsia="黑体" w:cs="黑体"/>
                <w:bCs/>
                <w:sz w:val="18"/>
                <w:szCs w:val="22"/>
              </w:rPr>
              <w:t>实际收益，不</w:t>
            </w:r>
            <w:r>
              <w:rPr>
                <w:rFonts w:hint="eastAsia" w:ascii="黑体" w:hAnsi="黑体" w:eastAsia="黑体" w:cs="黑体"/>
                <w:bCs/>
                <w:sz w:val="18"/>
                <w:szCs w:val="18"/>
              </w:rPr>
              <w:t>构成对</w:t>
            </w:r>
            <w:r>
              <w:rPr>
                <w:rFonts w:hint="eastAsia" w:ascii="黑体" w:hAnsi="黑体" w:eastAsia="黑体" w:cs="黑体"/>
                <w:bCs/>
                <w:sz w:val="18"/>
                <w:szCs w:val="22"/>
              </w:rPr>
              <w:t>产品收益的</w:t>
            </w:r>
            <w:r>
              <w:rPr>
                <w:rFonts w:hint="eastAsia" w:ascii="黑体" w:hAnsi="黑体" w:eastAsia="黑体" w:cs="黑体"/>
                <w:bCs/>
                <w:sz w:val="18"/>
                <w:szCs w:val="18"/>
              </w:rPr>
              <w:t>承诺</w:t>
            </w:r>
            <w:r>
              <w:rPr>
                <w:rFonts w:hint="eastAsia" w:ascii="黑体" w:hAnsi="黑体" w:eastAsia="黑体" w:cs="黑体"/>
                <w:bCs/>
                <w:sz w:val="18"/>
                <w:szCs w:val="22"/>
              </w:rPr>
              <w:t>，投资须谨慎。</w:t>
            </w:r>
          </w:p>
          <w:p w14:paraId="0AEF8524">
            <w:pPr>
              <w:spacing w:line="360" w:lineRule="auto"/>
              <w:jc w:val="left"/>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宋体" w:hAnsi="宋体" w:eastAsia="宋体" w:cs="宋体"/>
                <w:bCs/>
                <w:sz w:val="18"/>
                <w:szCs w:val="18"/>
              </w:rPr>
              <w:t>。</w:t>
            </w:r>
          </w:p>
        </w:tc>
      </w:tr>
      <w:tr w14:paraId="7971489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14:paraId="1AA93B61">
            <w:pPr>
              <w:spacing w:line="360" w:lineRule="auto"/>
              <w:jc w:val="left"/>
              <w:rPr>
                <w:rFonts w:ascii="Calibri" w:hAnsi="Calibri" w:cs="宋体"/>
                <w:sz w:val="18"/>
                <w:szCs w:val="18"/>
              </w:rPr>
            </w:pPr>
            <w:r>
              <w:rPr>
                <w:rFonts w:hint="eastAsia" w:ascii="Calibri" w:hAnsi="Calibri" w:cs="宋体"/>
                <w:sz w:val="18"/>
                <w:szCs w:val="18"/>
              </w:rPr>
              <w:t>★</w:t>
            </w:r>
            <w:r>
              <w:rPr>
                <w:rFonts w:hint="eastAsia" w:ascii="Calibri" w:hAnsi="Calibri" w:cs="宋体"/>
                <w:b/>
                <w:sz w:val="18"/>
                <w:szCs w:val="18"/>
              </w:rPr>
              <w:t>业绩报酬计提基准</w:t>
            </w:r>
          </w:p>
        </w:tc>
        <w:tc>
          <w:tcPr>
            <w:tcW w:w="7704" w:type="dxa"/>
            <w:shd w:val="solid" w:color="FFFFFF" w:fill="FFFFFF"/>
            <w:vAlign w:val="center"/>
          </w:tcPr>
          <w:p w14:paraId="58A84439">
            <w:pPr>
              <w:spacing w:line="360" w:lineRule="auto"/>
              <w:jc w:val="left"/>
              <w:rPr>
                <w:rFonts w:ascii="Calibri" w:hAnsi="宋体" w:cs="宋体"/>
                <w:bCs/>
                <w:sz w:val="18"/>
                <w:szCs w:val="18"/>
              </w:rPr>
            </w:pPr>
            <w:r>
              <w:rPr>
                <w:rFonts w:hint="eastAsia" w:ascii="Calibri" w:hAnsi="宋体" w:cs="宋体"/>
                <w:bCs/>
                <w:sz w:val="18"/>
                <w:szCs w:val="18"/>
              </w:rPr>
              <w:t>（适用【</w:t>
            </w:r>
            <w:r>
              <w:rPr>
                <w:rFonts w:hint="eastAsia" w:ascii="宋体" w:hAnsi="宋体" w:cs="宋体"/>
                <w:bCs/>
                <w:sz w:val="18"/>
                <w:szCs w:val="22"/>
              </w:rPr>
              <w:t>/</w:t>
            </w:r>
            <w:r>
              <w:rPr>
                <w:rFonts w:hint="eastAsia" w:ascii="Calibri" w:hAnsi="宋体" w:cs="宋体"/>
                <w:bCs/>
                <w:sz w:val="18"/>
                <w:szCs w:val="18"/>
              </w:rPr>
              <w:t>】类份额）</w:t>
            </w:r>
          </w:p>
          <w:p w14:paraId="3FEB981A">
            <w:pPr>
              <w:spacing w:line="360" w:lineRule="auto"/>
              <w:jc w:val="left"/>
              <w:rPr>
                <w:rFonts w:ascii="宋体" w:hAnsi="宋体" w:cs="宋体"/>
                <w:bCs/>
                <w:sz w:val="18"/>
                <w:szCs w:val="18"/>
              </w:rPr>
            </w:pPr>
            <w:r>
              <w:rPr>
                <w:rFonts w:ascii="宋体" w:hAnsi="宋体" w:cs="宋体"/>
                <w:bCs/>
                <w:sz w:val="18"/>
                <w:szCs w:val="18"/>
              </w:rPr>
              <w:t>1.业绩报酬计提基准的设置</w:t>
            </w:r>
          </w:p>
          <w:p w14:paraId="06376734">
            <w:pPr>
              <w:autoSpaceDE w:val="0"/>
              <w:autoSpaceDN w:val="0"/>
              <w:adjustRightInd w:val="0"/>
              <w:spacing w:line="360" w:lineRule="auto"/>
              <w:jc w:val="left"/>
              <w:rPr>
                <w:rFonts w:ascii="宋体" w:hAnsi="宋体" w:eastAsia="宋体" w:cs="宋体"/>
                <w:bCs/>
                <w:kern w:val="0"/>
                <w:sz w:val="18"/>
                <w:szCs w:val="18"/>
              </w:rPr>
            </w:pPr>
            <w:r>
              <w:rPr>
                <w:rFonts w:hint="eastAsia" w:ascii="宋体" w:hAnsi="宋体" w:eastAsia="宋体" w:cs="宋体"/>
                <w:bCs/>
                <w:kern w:val="0"/>
                <w:sz w:val="18"/>
                <w:szCs w:val="18"/>
              </w:rPr>
              <w:t>□</w:t>
            </w:r>
            <w:r>
              <w:rPr>
                <w:rFonts w:ascii="宋体" w:hAnsi="宋体" w:eastAsia="宋体" w:cs="宋体"/>
                <w:bCs/>
                <w:kern w:val="0"/>
                <w:sz w:val="18"/>
                <w:szCs w:val="18"/>
              </w:rPr>
              <w:t xml:space="preserve"> </w:t>
            </w:r>
            <w:r>
              <w:rPr>
                <w:rFonts w:hint="eastAsia" w:ascii="宋体" w:hAnsi="宋体" w:eastAsia="宋体" w:cs="宋体"/>
                <w:bCs/>
                <w:kern w:val="0"/>
                <w:sz w:val="18"/>
                <w:szCs w:val="18"/>
              </w:rPr>
              <w:t>产品管理人设置业绩报酬计提基准。</w:t>
            </w:r>
          </w:p>
          <w:p w14:paraId="24BFC21D">
            <w:pPr>
              <w:spacing w:line="360" w:lineRule="auto"/>
              <w:jc w:val="left"/>
              <w:rPr>
                <w:rFonts w:ascii="宋体" w:hAnsi="宋体" w:cs="宋体"/>
                <w:bCs/>
                <w:sz w:val="18"/>
                <w:szCs w:val="22"/>
              </w:rPr>
            </w:pPr>
            <w:r>
              <w:rPr>
                <w:rFonts w:ascii="宋体" w:hAnsi="宋体" w:cs="宋体"/>
                <w:bCs/>
                <w:sz w:val="18"/>
                <w:szCs w:val="18"/>
              </w:rPr>
              <w:t>业绩报酬计提基准的</w:t>
            </w:r>
            <w:r>
              <w:rPr>
                <w:rFonts w:ascii="宋体" w:hAnsi="宋体" w:cs="宋体"/>
                <w:bCs/>
                <w:sz w:val="18"/>
                <w:szCs w:val="22"/>
              </w:rPr>
              <w:t>设定</w:t>
            </w:r>
            <w:r>
              <w:rPr>
                <w:rFonts w:hint="eastAsia" w:ascii="宋体" w:hAnsi="宋体" w:cs="宋体"/>
                <w:bCs/>
                <w:sz w:val="18"/>
                <w:szCs w:val="22"/>
              </w:rPr>
              <w:t>：管理人</w:t>
            </w:r>
            <w:r>
              <w:rPr>
                <w:rFonts w:ascii="宋体" w:hAnsi="宋体" w:cs="宋体"/>
                <w:bCs/>
                <w:sz w:val="18"/>
                <w:szCs w:val="22"/>
              </w:rPr>
              <w:t>对本产品设定</w:t>
            </w:r>
            <w:r>
              <w:rPr>
                <w:rFonts w:hint="eastAsia" w:ascii="宋体" w:hAnsi="宋体" w:cs="宋体"/>
                <w:bCs/>
                <w:sz w:val="18"/>
                <w:szCs w:val="22"/>
              </w:rPr>
              <w:t>业绩报酬计提基准：【/】。</w:t>
            </w:r>
          </w:p>
          <w:p w14:paraId="17B939D5">
            <w:pPr>
              <w:spacing w:line="360" w:lineRule="auto"/>
              <w:jc w:val="left"/>
              <w:rPr>
                <w:rFonts w:ascii="宋体" w:hAnsi="宋体" w:cs="宋体"/>
                <w:bCs/>
                <w:sz w:val="18"/>
                <w:szCs w:val="18"/>
              </w:rPr>
            </w:pPr>
            <w:r>
              <w:rPr>
                <w:rFonts w:hint="eastAsia" w:ascii="宋体" w:hAnsi="宋体" w:eastAsia="宋体" w:cs="宋体"/>
                <w:bCs/>
                <w:sz w:val="18"/>
                <w:szCs w:val="18"/>
              </w:rPr>
              <w:t xml:space="preserve">■ </w:t>
            </w:r>
            <w:r>
              <w:rPr>
                <w:rFonts w:hint="eastAsia" w:ascii="宋体" w:hAnsi="宋体" w:eastAsia="宋体" w:cs="宋体"/>
                <w:bCs/>
                <w:kern w:val="0"/>
                <w:sz w:val="18"/>
                <w:szCs w:val="18"/>
              </w:rPr>
              <w:t>产品管理人不设置业绩报酬计提基准。</w:t>
            </w:r>
          </w:p>
          <w:p w14:paraId="04CCE765">
            <w:pPr>
              <w:spacing w:line="360" w:lineRule="auto"/>
              <w:jc w:val="left"/>
              <w:rPr>
                <w:rFonts w:ascii="宋体" w:hAnsi="宋体" w:cs="宋体"/>
                <w:bCs/>
                <w:sz w:val="18"/>
                <w:szCs w:val="18"/>
              </w:rPr>
            </w:pPr>
            <w:r>
              <w:rPr>
                <w:rFonts w:ascii="宋体" w:hAnsi="宋体" w:cs="宋体"/>
                <w:bCs/>
                <w:sz w:val="18"/>
                <w:szCs w:val="18"/>
              </w:rPr>
              <w:t>2.业绩报酬计提基准的提示</w:t>
            </w:r>
            <w:r>
              <w:rPr>
                <w:rFonts w:hint="eastAsia" w:ascii="宋体" w:hAnsi="宋体" w:cs="宋体"/>
                <w:bCs/>
                <w:sz w:val="18"/>
                <w:szCs w:val="18"/>
              </w:rPr>
              <w:t>：</w:t>
            </w:r>
          </w:p>
          <w:p w14:paraId="182BA5AF">
            <w:pPr>
              <w:autoSpaceDE w:val="0"/>
              <w:autoSpaceDN w:val="0"/>
              <w:adjustRightInd w:val="0"/>
              <w:spacing w:line="360" w:lineRule="auto"/>
              <w:jc w:val="left"/>
              <w:rPr>
                <w:rFonts w:ascii="黑体" w:hAnsi="黑体" w:eastAsia="黑体" w:cs="黑体"/>
                <w:bCs/>
                <w:sz w:val="18"/>
                <w:szCs w:val="18"/>
              </w:rPr>
            </w:pPr>
            <w:r>
              <w:rPr>
                <w:rFonts w:hint="eastAsia" w:ascii="黑体" w:hAnsi="黑体" w:eastAsia="黑体" w:cs="黑体"/>
                <w:bCs/>
                <w:sz w:val="18"/>
                <w:szCs w:val="18"/>
              </w:rPr>
              <w:t>（</w:t>
            </w:r>
            <w:r>
              <w:rPr>
                <w:rFonts w:ascii="黑体" w:hAnsi="黑体" w:eastAsia="黑体" w:cs="黑体"/>
                <w:bCs/>
                <w:sz w:val="18"/>
                <w:szCs w:val="18"/>
              </w:rPr>
              <w:t>1）</w:t>
            </w:r>
            <w:r>
              <w:rPr>
                <w:rFonts w:hint="eastAsia" w:ascii="黑体" w:hAnsi="黑体" w:eastAsia="黑体" w:cs="黑体"/>
                <w:bCs/>
                <w:sz w:val="18"/>
                <w:szCs w:val="18"/>
              </w:rPr>
              <w:t>★业绩报酬计提基准仅作为管理人计算超额业绩报酬的参照标准。业绩报酬计提基准不是预期收益率，不代表产品的未来表现和实际收益，不构成对产品收益的承诺，投资须谨慎。</w:t>
            </w:r>
          </w:p>
          <w:p w14:paraId="56293F4F">
            <w:pPr>
              <w:spacing w:line="360" w:lineRule="auto"/>
              <w:jc w:val="left"/>
              <w:rPr>
                <w:rFonts w:ascii="宋体" w:hAnsi="宋体" w:cs="宋体"/>
                <w:b/>
                <w:bCs/>
                <w:sz w:val="18"/>
                <w:szCs w:val="18"/>
              </w:rPr>
            </w:pPr>
            <w:r>
              <w:rPr>
                <w:rFonts w:hint="eastAsia" w:ascii="宋体" w:hAnsi="宋体" w:cs="宋体"/>
                <w:bCs/>
                <w:sz w:val="18"/>
                <w:szCs w:val="18"/>
              </w:rPr>
              <w:t>（</w:t>
            </w:r>
            <w:r>
              <w:rPr>
                <w:rFonts w:ascii="宋体" w:hAnsi="宋体" w:cs="宋体"/>
                <w:bCs/>
                <w:sz w:val="18"/>
                <w:szCs w:val="18"/>
              </w:rPr>
              <w:t>2）</w:t>
            </w:r>
            <w:r>
              <w:rPr>
                <w:rFonts w:hint="eastAsia" w:ascii="宋体" w:hAnsi="宋体" w:cs="宋体"/>
                <w:bCs/>
                <w:sz w:val="18"/>
                <w:szCs w:val="18"/>
              </w:rPr>
              <w:t>如果今后法律法规发生变化，或者有其他代表性更强、更科学客观的业绩报酬计提基准适用于本产品时，经产品管理人和产品托管人协商一致后，本产品可以变更业绩报酬计提基准并及时公告。</w:t>
            </w:r>
          </w:p>
        </w:tc>
      </w:tr>
      <w:tr w14:paraId="2410B95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14:paraId="26CE2F8F">
            <w:pPr>
              <w:spacing w:line="360" w:lineRule="auto"/>
              <w:jc w:val="left"/>
              <w:rPr>
                <w:rFonts w:ascii="Calibri" w:hAnsi="Calibri" w:cs="宋体"/>
                <w:sz w:val="18"/>
                <w:szCs w:val="18"/>
              </w:rPr>
            </w:pPr>
            <w:r>
              <w:rPr>
                <w:rFonts w:hint="eastAsia" w:ascii="Calibri" w:hAnsi="宋体" w:cs="宋体"/>
                <w:b/>
                <w:sz w:val="18"/>
                <w:szCs w:val="18"/>
              </w:rPr>
              <w:t>★</w:t>
            </w:r>
            <w:r>
              <w:rPr>
                <w:rFonts w:hint="eastAsia" w:ascii="Calibri" w:hAnsi="Calibri" w:cs="宋体"/>
                <w:b/>
                <w:sz w:val="18"/>
                <w:szCs w:val="18"/>
              </w:rPr>
              <w:t>理财产品利益分配</w:t>
            </w:r>
          </w:p>
        </w:tc>
        <w:tc>
          <w:tcPr>
            <w:tcW w:w="7704" w:type="dxa"/>
            <w:shd w:val="solid" w:color="FFFFFF" w:fill="FFFFFF"/>
            <w:vAlign w:val="center"/>
          </w:tcPr>
          <w:p w14:paraId="6010B963">
            <w:pPr>
              <w:spacing w:line="360" w:lineRule="auto"/>
              <w:jc w:val="left"/>
              <w:rPr>
                <w:rFonts w:ascii="Calibri" w:hAnsi="宋体" w:cs="宋体"/>
                <w:bCs/>
                <w:sz w:val="18"/>
                <w:szCs w:val="18"/>
              </w:rPr>
            </w:pPr>
            <w:r>
              <w:rPr>
                <w:rFonts w:hint="eastAsia" w:ascii="Calibri" w:hAnsi="宋体" w:cs="宋体"/>
                <w:bCs/>
                <w:sz w:val="18"/>
                <w:szCs w:val="18"/>
              </w:rPr>
              <w:t>1</w:t>
            </w:r>
            <w:r>
              <w:rPr>
                <w:rFonts w:ascii="Calibri" w:hAnsi="宋体" w:cs="宋体"/>
                <w:bCs/>
                <w:sz w:val="18"/>
                <w:szCs w:val="18"/>
              </w:rPr>
              <w:t>.</w:t>
            </w:r>
            <w:r>
              <w:rPr>
                <w:rFonts w:hint="eastAsia" w:ascii="Calibri" w:hAnsi="宋体" w:cs="宋体"/>
                <w:bCs/>
                <w:sz w:val="18"/>
                <w:szCs w:val="18"/>
              </w:rPr>
              <w:t>理财产品存续期间，产品管理人有权视理财产品收益情况进行主动分配，相应分配基准日、分配方案由管理人及时披露。</w:t>
            </w:r>
          </w:p>
          <w:p w14:paraId="6E1A6358">
            <w:pPr>
              <w:spacing w:line="360" w:lineRule="auto"/>
              <w:jc w:val="left"/>
              <w:rPr>
                <w:rFonts w:ascii="宋体" w:hAnsi="宋体" w:cs="宋体"/>
                <w:bCs/>
                <w:sz w:val="18"/>
                <w:szCs w:val="18"/>
              </w:rPr>
            </w:pPr>
            <w:r>
              <w:rPr>
                <w:rFonts w:hint="eastAsia" w:ascii="Calibri" w:hAnsi="宋体" w:cs="宋体"/>
                <w:bCs/>
                <w:sz w:val="18"/>
                <w:szCs w:val="18"/>
              </w:rPr>
              <w:t>2</w:t>
            </w:r>
            <w:r>
              <w:rPr>
                <w:rFonts w:ascii="Calibri" w:hAnsi="宋体" w:cs="宋体"/>
                <w:bCs/>
                <w:sz w:val="18"/>
                <w:szCs w:val="18"/>
              </w:rPr>
              <w:t>.具体理财产品利益分配</w:t>
            </w:r>
            <w:r>
              <w:rPr>
                <w:rFonts w:hint="eastAsia" w:ascii="Calibri" w:hAnsi="宋体" w:cs="宋体"/>
                <w:bCs/>
                <w:sz w:val="18"/>
                <w:szCs w:val="18"/>
              </w:rPr>
              <w:t>详见《产品说明书》“第八条 理财产品的利益分配”。</w:t>
            </w:r>
          </w:p>
        </w:tc>
      </w:tr>
      <w:tr w14:paraId="5BAEFEC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3250B1D6">
            <w:pPr>
              <w:spacing w:line="360" w:lineRule="auto"/>
              <w:jc w:val="left"/>
              <w:rPr>
                <w:rFonts w:ascii="宋体" w:hAnsi="宋体" w:eastAsia="宋体" w:cs="宋体"/>
                <w:b/>
                <w:sz w:val="18"/>
                <w:szCs w:val="18"/>
              </w:rPr>
            </w:pPr>
            <w:r>
              <w:rPr>
                <w:rFonts w:hint="eastAsia" w:ascii="Calibri" w:hAnsi="宋体" w:cs="宋体"/>
                <w:sz w:val="18"/>
                <w:szCs w:val="18"/>
              </w:rPr>
              <w:t>★</w:t>
            </w:r>
            <w:r>
              <w:rPr>
                <w:rFonts w:hint="eastAsia" w:ascii="宋体" w:hAnsi="宋体" w:eastAsia="宋体" w:cs="宋体"/>
                <w:b/>
                <w:bCs/>
                <w:sz w:val="18"/>
                <w:szCs w:val="18"/>
              </w:rPr>
              <w:t>理财产品费用</w:t>
            </w:r>
          </w:p>
        </w:tc>
        <w:tc>
          <w:tcPr>
            <w:tcW w:w="7704" w:type="dxa"/>
            <w:shd w:val="solid" w:color="FFFFFF" w:fill="FFFFFF"/>
            <w:vAlign w:val="center"/>
          </w:tcPr>
          <w:p w14:paraId="22FFFC48">
            <w:pPr>
              <w:spacing w:line="360" w:lineRule="auto"/>
              <w:rPr>
                <w:rFonts w:ascii="宋体" w:hAnsi="宋体" w:eastAsia="宋体" w:cs="宋体"/>
                <w:bCs/>
                <w:color w:val="000000"/>
                <w:sz w:val="18"/>
                <w:szCs w:val="18"/>
              </w:rPr>
            </w:pPr>
            <w:r>
              <w:rPr>
                <w:rFonts w:hint="eastAsia" w:ascii="宋体" w:hAnsi="宋体" w:eastAsia="宋体" w:cs="宋体"/>
                <w:bCs/>
                <w:color w:val="000000"/>
                <w:sz w:val="18"/>
                <w:szCs w:val="18"/>
              </w:rPr>
              <w:t>（</w:t>
            </w:r>
            <w:r>
              <w:rPr>
                <w:rFonts w:hint="eastAsia" w:ascii="宋体" w:hAnsi="宋体" w:eastAsia="宋体" w:cs="宋体"/>
                <w:bCs/>
                <w:color w:val="000000"/>
                <w:sz w:val="18"/>
                <w:szCs w:val="18"/>
                <w:lang w:eastAsia="zh-CN"/>
              </w:rPr>
              <w:t>适用【B】类份额</w:t>
            </w:r>
            <w:r>
              <w:rPr>
                <w:rFonts w:hint="eastAsia" w:ascii="宋体" w:hAnsi="宋体" w:eastAsia="宋体" w:cs="宋体"/>
                <w:bCs/>
                <w:color w:val="000000"/>
                <w:sz w:val="18"/>
                <w:szCs w:val="18"/>
              </w:rPr>
              <w:t>）</w:t>
            </w:r>
          </w:p>
          <w:p w14:paraId="45385B45">
            <w:pPr>
              <w:spacing w:line="360" w:lineRule="auto"/>
              <w:rPr>
                <w:rFonts w:ascii="黑体" w:hAnsi="黑体" w:eastAsia="黑体" w:cs="宋体"/>
                <w:color w:val="000000"/>
                <w:sz w:val="18"/>
                <w:szCs w:val="18"/>
              </w:rPr>
            </w:pPr>
            <w:r>
              <w:rPr>
                <w:rFonts w:ascii="黑体" w:hAnsi="黑体" w:eastAsia="黑体" w:cs="宋体"/>
                <w:color w:val="000000"/>
                <w:sz w:val="18"/>
                <w:szCs w:val="18"/>
              </w:rPr>
              <w:t>1.</w:t>
            </w:r>
            <w:r>
              <w:rPr>
                <w:rFonts w:hint="eastAsia" w:ascii="黑体" w:hAnsi="黑体" w:eastAsia="黑体" w:cs="宋体"/>
                <w:color w:val="000000"/>
                <w:sz w:val="18"/>
                <w:szCs w:val="18"/>
              </w:rPr>
              <w:t>理财产品的费率标准</w:t>
            </w:r>
          </w:p>
          <w:p w14:paraId="01BD1123">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1）认购费：</w:t>
            </w:r>
            <w:r>
              <w:rPr>
                <w:rFonts w:hint="eastAsia" w:ascii="黑体" w:hAnsi="黑体" w:eastAsia="黑体" w:cs="黑体"/>
                <w:color w:val="000000"/>
                <w:sz w:val="18"/>
                <w:szCs w:val="18"/>
              </w:rPr>
              <w:t>【/】。</w:t>
            </w:r>
          </w:p>
          <w:p w14:paraId="131FD679">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2）申购费：</w:t>
            </w:r>
            <w:r>
              <w:rPr>
                <w:rFonts w:hint="eastAsia" w:ascii="黑体" w:hAnsi="黑体" w:eastAsia="黑体" w:cs="黑体"/>
                <w:color w:val="000000"/>
                <w:sz w:val="18"/>
                <w:szCs w:val="18"/>
              </w:rPr>
              <w:t>【/】</w:t>
            </w:r>
            <w:r>
              <w:rPr>
                <w:rFonts w:ascii="黑体" w:hAnsi="黑体" w:eastAsia="黑体" w:cs="黑体"/>
                <w:color w:val="000000"/>
                <w:sz w:val="18"/>
                <w:szCs w:val="18"/>
              </w:rPr>
              <w:t>。</w:t>
            </w:r>
          </w:p>
          <w:p w14:paraId="2B95313B">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3）赎回费：</w:t>
            </w:r>
            <w:r>
              <w:rPr>
                <w:rFonts w:hint="eastAsia" w:ascii="黑体" w:hAnsi="黑体" w:eastAsia="黑体" w:cs="黑体"/>
                <w:color w:val="000000"/>
                <w:sz w:val="18"/>
                <w:szCs w:val="18"/>
              </w:rPr>
              <w:t>【/】。</w:t>
            </w:r>
          </w:p>
          <w:p w14:paraId="41183266">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4）销售服</w:t>
            </w:r>
            <w:r>
              <w:rPr>
                <w:rFonts w:hint="eastAsia" w:ascii="黑体" w:hAnsi="黑体" w:eastAsia="黑体" w:cs="黑体"/>
                <w:color w:val="000000"/>
                <w:sz w:val="18"/>
                <w:szCs w:val="18"/>
              </w:rPr>
              <w:t>务费：</w:t>
            </w:r>
            <w:r>
              <w:rPr>
                <w:rFonts w:hint="eastAsia" w:ascii="黑体" w:hAnsi="黑体" w:eastAsia="黑体" w:cs="黑体"/>
                <w:sz w:val="18"/>
                <w:szCs w:val="18"/>
              </w:rPr>
              <w:t>年化</w:t>
            </w:r>
            <w:r>
              <w:rPr>
                <w:rFonts w:ascii="黑体" w:hAnsi="黑体" w:eastAsia="黑体" w:cs="黑体"/>
                <w:sz w:val="18"/>
                <w:szCs w:val="18"/>
              </w:rPr>
              <w:t>费率</w:t>
            </w:r>
            <w:r>
              <w:rPr>
                <w:rFonts w:hint="eastAsia" w:ascii="黑体" w:hAnsi="黑体" w:eastAsia="黑体" w:cs="黑体"/>
                <w:sz w:val="18"/>
                <w:szCs w:val="18"/>
              </w:rPr>
              <w:t>【0.40%】</w:t>
            </w:r>
            <w:r>
              <w:rPr>
                <w:rFonts w:hint="eastAsia" w:ascii="黑体" w:hAnsi="黑体" w:eastAsia="黑体" w:cs="黑体"/>
                <w:color w:val="000000"/>
                <w:sz w:val="18"/>
                <w:szCs w:val="18"/>
              </w:rPr>
              <w:t>。</w:t>
            </w:r>
          </w:p>
          <w:p w14:paraId="638CDE2E">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5）投资管理费：</w:t>
            </w:r>
            <w:r>
              <w:rPr>
                <w:rFonts w:hint="eastAsia" w:ascii="黑体" w:hAnsi="黑体" w:eastAsia="黑体" w:cs="黑体"/>
                <w:sz w:val="18"/>
                <w:szCs w:val="18"/>
              </w:rPr>
              <w:t>年化</w:t>
            </w:r>
            <w:r>
              <w:rPr>
                <w:rFonts w:ascii="黑体" w:hAnsi="黑体" w:eastAsia="黑体" w:cs="黑体"/>
                <w:sz w:val="18"/>
                <w:szCs w:val="18"/>
              </w:rPr>
              <w:t>费率</w:t>
            </w:r>
            <w:r>
              <w:rPr>
                <w:rFonts w:hint="eastAsia" w:ascii="黑体" w:hAnsi="黑体" w:eastAsia="黑体" w:cs="黑体"/>
                <w:sz w:val="18"/>
                <w:szCs w:val="18"/>
              </w:rPr>
              <w:t>【0.30%</w:t>
            </w:r>
            <w:r>
              <w:rPr>
                <w:rFonts w:ascii="黑体" w:hAnsi="黑体" w:eastAsia="黑体" w:cs="黑体"/>
                <w:sz w:val="18"/>
                <w:szCs w:val="18"/>
              </w:rPr>
              <w:t>】</w:t>
            </w:r>
            <w:r>
              <w:rPr>
                <w:rFonts w:hint="eastAsia" w:ascii="黑体" w:hAnsi="黑体" w:eastAsia="黑体" w:cs="黑体"/>
                <w:color w:val="000000"/>
                <w:sz w:val="18"/>
                <w:szCs w:val="18"/>
              </w:rPr>
              <w:t>。</w:t>
            </w:r>
          </w:p>
          <w:p w14:paraId="649F95DE">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6）产品托管费：</w:t>
            </w:r>
            <w:r>
              <w:rPr>
                <w:rFonts w:hint="eastAsia" w:ascii="黑体" w:hAnsi="黑体" w:eastAsia="黑体" w:cs="黑体"/>
                <w:sz w:val="18"/>
                <w:szCs w:val="18"/>
              </w:rPr>
              <w:t>年化</w:t>
            </w:r>
            <w:r>
              <w:rPr>
                <w:rFonts w:ascii="黑体" w:hAnsi="黑体" w:eastAsia="黑体" w:cs="黑体"/>
                <w:sz w:val="18"/>
                <w:szCs w:val="18"/>
              </w:rPr>
              <w:t>费率</w:t>
            </w:r>
            <w:r>
              <w:rPr>
                <w:rFonts w:hint="eastAsia" w:ascii="黑体" w:hAnsi="黑体" w:eastAsia="黑体" w:cs="黑体"/>
                <w:sz w:val="18"/>
                <w:szCs w:val="18"/>
              </w:rPr>
              <w:t>【0.03%</w:t>
            </w:r>
            <w:r>
              <w:rPr>
                <w:rFonts w:ascii="黑体" w:hAnsi="黑体" w:eastAsia="黑体" w:cs="黑体"/>
                <w:sz w:val="18"/>
                <w:szCs w:val="18"/>
              </w:rPr>
              <w:t>】</w:t>
            </w:r>
            <w:r>
              <w:rPr>
                <w:rFonts w:hint="eastAsia" w:ascii="黑体" w:hAnsi="黑体" w:eastAsia="黑体" w:cs="黑体"/>
                <w:color w:val="000000"/>
                <w:sz w:val="18"/>
                <w:szCs w:val="18"/>
              </w:rPr>
              <w:t>。</w:t>
            </w:r>
          </w:p>
          <w:p w14:paraId="43EB2A6C">
            <w:pPr>
              <w:widowControl/>
              <w:spacing w:line="360" w:lineRule="auto"/>
              <w:jc w:val="left"/>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7）超额业绩报酬：</w:t>
            </w:r>
          </w:p>
          <w:p w14:paraId="344E7A8C">
            <w:pPr>
              <w:widowControl/>
              <w:spacing w:line="360" w:lineRule="auto"/>
              <w:jc w:val="left"/>
              <w:rPr>
                <w:rFonts w:ascii="宋体" w:hAnsi="宋体" w:cs="宋体"/>
                <w:sz w:val="18"/>
                <w:szCs w:val="18"/>
              </w:rPr>
            </w:pPr>
            <w:r>
              <w:rPr>
                <w:rFonts w:hint="eastAsia" w:ascii="宋体" w:hAnsi="宋体" w:cs="宋体"/>
                <w:sz w:val="18"/>
                <w:szCs w:val="18"/>
              </w:rPr>
              <w:t>在超额业绩报酬计提日时，若理财资产扣除销售服务费、产品托管费和投资管理费等相关费用和税收后，超额业绩报酬计提日产品份额净值折算的当前年化收益率超过当前业绩报酬计提基准，则产品管理人收取超出部分的【/】作为超额业绩报酬。</w:t>
            </w:r>
          </w:p>
          <w:p w14:paraId="0CC96085">
            <w:pPr>
              <w:spacing w:line="360" w:lineRule="auto"/>
              <w:rPr>
                <w:rFonts w:ascii="黑体" w:hAnsi="黑体" w:eastAsia="黑体" w:cs="宋体"/>
                <w:bCs/>
                <w:sz w:val="18"/>
                <w:szCs w:val="18"/>
              </w:rPr>
            </w:pPr>
            <w:r>
              <w:rPr>
                <w:rFonts w:hint="eastAsia" w:ascii="宋体" w:hAnsi="宋体" w:cs="宋体"/>
                <w:bCs/>
                <w:sz w:val="18"/>
                <w:szCs w:val="18"/>
              </w:rPr>
              <w:t>2</w:t>
            </w:r>
            <w:r>
              <w:rPr>
                <w:rFonts w:hint="eastAsia" w:ascii="宋体" w:hAnsi="宋体" w:eastAsia="宋体" w:cs="宋体"/>
                <w:bCs/>
                <w:sz w:val="18"/>
                <w:szCs w:val="18"/>
              </w:rPr>
              <w:t>.</w:t>
            </w:r>
            <w:r>
              <w:rPr>
                <w:rFonts w:hint="eastAsia" w:ascii="黑体" w:hAnsi="黑体" w:eastAsia="黑体" w:cs="宋体"/>
                <w:bCs/>
                <w:sz w:val="18"/>
                <w:szCs w:val="18"/>
              </w:rPr>
              <w:t>产品管理人</w:t>
            </w:r>
            <w:r>
              <w:rPr>
                <w:rFonts w:ascii="黑体" w:hAnsi="黑体" w:eastAsia="黑体" w:cs="宋体"/>
                <w:bCs/>
                <w:sz w:val="18"/>
                <w:szCs w:val="18"/>
              </w:rPr>
              <w:t>保留变更</w:t>
            </w:r>
            <w:r>
              <w:rPr>
                <w:rFonts w:hint="eastAsia" w:ascii="黑体" w:hAnsi="黑体" w:eastAsia="黑体" w:cs="宋体"/>
                <w:bCs/>
                <w:sz w:val="18"/>
                <w:szCs w:val="18"/>
              </w:rPr>
              <w:t>上述</w:t>
            </w:r>
            <w:r>
              <w:rPr>
                <w:rFonts w:ascii="黑体" w:hAnsi="黑体" w:eastAsia="黑体" w:cs="宋体"/>
                <w:bCs/>
                <w:sz w:val="18"/>
                <w:szCs w:val="18"/>
              </w:rPr>
              <w:t>理财产品</w:t>
            </w:r>
            <w:r>
              <w:rPr>
                <w:rFonts w:hint="eastAsia" w:ascii="黑体" w:hAnsi="黑体" w:eastAsia="黑体" w:cs="宋体"/>
                <w:bCs/>
                <w:sz w:val="18"/>
                <w:szCs w:val="18"/>
              </w:rPr>
              <w:t>收取</w:t>
            </w:r>
            <w:r>
              <w:rPr>
                <w:rFonts w:ascii="黑体" w:hAnsi="黑体" w:eastAsia="黑体" w:cs="宋体"/>
                <w:bCs/>
                <w:sz w:val="18"/>
                <w:szCs w:val="18"/>
              </w:rPr>
              <w:t>费率</w:t>
            </w:r>
            <w:r>
              <w:rPr>
                <w:rFonts w:hint="eastAsia" w:ascii="黑体" w:hAnsi="黑体" w:eastAsia="黑体" w:cs="宋体"/>
                <w:bCs/>
                <w:sz w:val="18"/>
                <w:szCs w:val="18"/>
              </w:rPr>
              <w:t>标准</w:t>
            </w:r>
            <w:r>
              <w:rPr>
                <w:rFonts w:ascii="黑体" w:hAnsi="黑体" w:eastAsia="黑体" w:cs="宋体"/>
                <w:bCs/>
                <w:sz w:val="18"/>
                <w:szCs w:val="18"/>
              </w:rPr>
              <w:t>的权利</w:t>
            </w:r>
            <w:r>
              <w:rPr>
                <w:rFonts w:hint="eastAsia" w:ascii="黑体" w:hAnsi="黑体" w:eastAsia="黑体" w:cs="宋体"/>
                <w:bCs/>
                <w:sz w:val="18"/>
                <w:szCs w:val="18"/>
              </w:rPr>
              <w:t>。</w:t>
            </w:r>
          </w:p>
        </w:tc>
      </w:tr>
      <w:tr w14:paraId="5BCC800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5638635F">
            <w:pPr>
              <w:spacing w:line="360" w:lineRule="auto"/>
              <w:jc w:val="left"/>
              <w:rPr>
                <w:rFonts w:ascii="Calibri" w:hAnsi="宋体" w:cs="宋体"/>
                <w:sz w:val="18"/>
                <w:szCs w:val="18"/>
              </w:rPr>
            </w:pPr>
            <w:r>
              <w:rPr>
                <w:rFonts w:hint="eastAsia" w:ascii="宋体" w:hAnsi="宋体" w:cs="宋体"/>
                <w:b/>
                <w:bCs/>
                <w:kern w:val="0"/>
                <w:sz w:val="18"/>
                <w:szCs w:val="18"/>
              </w:rPr>
              <w:t>税收</w:t>
            </w:r>
          </w:p>
        </w:tc>
        <w:tc>
          <w:tcPr>
            <w:tcW w:w="7704" w:type="dxa"/>
            <w:shd w:val="solid" w:color="FFFFFF" w:fill="FFFFFF"/>
            <w:vAlign w:val="center"/>
          </w:tcPr>
          <w:p w14:paraId="54541CFE">
            <w:pPr>
              <w:spacing w:line="360" w:lineRule="auto"/>
              <w:rPr>
                <w:rFonts w:ascii="宋体" w:hAnsi="宋体" w:cs="宋体"/>
                <w:bCs/>
                <w:color w:val="000000"/>
                <w:sz w:val="18"/>
                <w:szCs w:val="18"/>
              </w:rPr>
            </w:pPr>
            <w:r>
              <w:rPr>
                <w:rFonts w:hint="eastAsia" w:ascii="Calibri" w:hAnsi="宋体" w:cs="仿宋_GB2312"/>
                <w:sz w:val="18"/>
                <w:szCs w:val="18"/>
              </w:rPr>
              <w:t>本理财产品运作过程中涉及的各纳税主体，其纳税义务按国家税收法律、法规执行。</w:t>
            </w:r>
          </w:p>
        </w:tc>
      </w:tr>
      <w:tr w14:paraId="0C7C2AD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37139F02">
            <w:pPr>
              <w:spacing w:line="360" w:lineRule="auto"/>
              <w:jc w:val="left"/>
              <w:rPr>
                <w:rFonts w:ascii="宋体" w:hAnsi="宋体" w:eastAsia="宋体" w:cs="宋体"/>
                <w:b/>
                <w:sz w:val="18"/>
                <w:szCs w:val="18"/>
              </w:rPr>
            </w:pPr>
            <w:r>
              <w:rPr>
                <w:rFonts w:hint="eastAsia" w:ascii="宋体" w:hAnsi="宋体" w:eastAsia="宋体" w:cs="宋体"/>
                <w:b/>
                <w:sz w:val="18"/>
                <w:szCs w:val="18"/>
              </w:rPr>
              <w:t>理财产品份额的转让</w:t>
            </w:r>
          </w:p>
        </w:tc>
        <w:tc>
          <w:tcPr>
            <w:tcW w:w="7704" w:type="dxa"/>
            <w:shd w:val="solid" w:color="FFFFFF" w:fill="FFFFFF"/>
            <w:vAlign w:val="center"/>
          </w:tcPr>
          <w:p w14:paraId="35B1EC2B">
            <w:pPr>
              <w:spacing w:line="360" w:lineRule="auto"/>
              <w:jc w:val="left"/>
              <w:rPr>
                <w:rFonts w:ascii="宋体" w:hAnsi="宋体" w:cs="宋体"/>
                <w:sz w:val="18"/>
                <w:szCs w:val="18"/>
              </w:rPr>
            </w:pPr>
            <w:r>
              <w:rPr>
                <w:rFonts w:hint="eastAsia" w:ascii="宋体" w:hAnsi="宋体" w:cs="宋体"/>
                <w:sz w:val="18"/>
                <w:szCs w:val="18"/>
              </w:rPr>
              <w:t>理财产品份额的转让将依照理财产品销售文件及销售机构的业务政策执行。</w:t>
            </w:r>
          </w:p>
        </w:tc>
      </w:tr>
      <w:tr w14:paraId="42E773A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14:paraId="1F83433D">
            <w:pPr>
              <w:spacing w:line="360" w:lineRule="auto"/>
              <w:jc w:val="left"/>
              <w:rPr>
                <w:rFonts w:ascii="宋体" w:hAnsi="宋体" w:eastAsia="宋体" w:cs="宋体"/>
                <w:b/>
                <w:sz w:val="18"/>
                <w:szCs w:val="18"/>
              </w:rPr>
            </w:pPr>
            <w:r>
              <w:rPr>
                <w:rFonts w:hint="eastAsia" w:ascii="宋体" w:hAnsi="宋体" w:eastAsia="宋体" w:cs="宋体"/>
                <w:b/>
                <w:sz w:val="18"/>
                <w:szCs w:val="18"/>
              </w:rPr>
              <w:t>理财产品份额的质押</w:t>
            </w:r>
          </w:p>
        </w:tc>
        <w:tc>
          <w:tcPr>
            <w:tcW w:w="7704" w:type="dxa"/>
            <w:shd w:val="solid" w:color="FFFFFF" w:fill="FFFFFF"/>
            <w:vAlign w:val="center"/>
          </w:tcPr>
          <w:p w14:paraId="3FF9D2F9">
            <w:pPr>
              <w:spacing w:line="360" w:lineRule="auto"/>
              <w:jc w:val="left"/>
              <w:rPr>
                <w:rFonts w:ascii="宋体" w:hAnsi="宋体" w:cs="宋体"/>
                <w:sz w:val="18"/>
                <w:szCs w:val="18"/>
              </w:rPr>
            </w:pPr>
            <w:r>
              <w:rPr>
                <w:rFonts w:hint="eastAsia" w:ascii="宋体" w:hAnsi="宋体" w:cs="宋体"/>
                <w:sz w:val="18"/>
                <w:szCs w:val="18"/>
              </w:rPr>
              <w:t>理财产品份额的质押将依照理财产品销售文件及销售机构的业务政策执行。</w:t>
            </w:r>
          </w:p>
        </w:tc>
      </w:tr>
    </w:tbl>
    <w:p w14:paraId="3C033E99">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14:paraId="14D92B62">
      <w:pPr>
        <w:widowControl/>
        <w:spacing w:line="360" w:lineRule="auto"/>
        <w:jc w:val="left"/>
        <w:rPr>
          <w:rFonts w:ascii="宋体" w:hAnsi="宋体" w:cs="宋体"/>
          <w:color w:val="000000"/>
          <w:kern w:val="0"/>
          <w:sz w:val="18"/>
          <w:szCs w:val="18"/>
        </w:rPr>
      </w:pPr>
      <w:r>
        <w:rPr>
          <w:rFonts w:ascii="Calibri" w:hAnsi="宋体" w:cs="宋体"/>
          <w:sz w:val="18"/>
          <w:szCs w:val="18"/>
        </w:rPr>
        <w:br w:type="page"/>
      </w:r>
    </w:p>
    <w:p w14:paraId="1531F9D9">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100" w:name="_Toc10659"/>
      <w:bookmarkStart w:id="101" w:name="_Toc21959"/>
      <w:bookmarkStart w:id="102" w:name="_Toc92377132"/>
      <w:bookmarkStart w:id="103" w:name="_Toc79154666"/>
      <w:bookmarkStart w:id="104" w:name="_Toc4403"/>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三条</w:t>
      </w:r>
      <w:r>
        <w:rPr>
          <w:rFonts w:ascii="Times New Roman" w:hAnsi="Calibri" w:eastAsia="宋体" w:cs="宋体"/>
          <w:b/>
          <w:bCs/>
          <w:kern w:val="44"/>
          <w:sz w:val="30"/>
          <w:szCs w:val="44"/>
          <w:lang w:val="en-US" w:eastAsia="zh-CN" w:bidi="ar-SA"/>
        </w:rPr>
        <w:t xml:space="preserve">  </w:t>
      </w:r>
      <w:bookmarkStart w:id="105" w:name="_Toc79392573"/>
      <w:r>
        <w:rPr>
          <w:rFonts w:hint="eastAsia" w:ascii="Times New Roman" w:hAnsi="Calibri" w:eastAsia="宋体" w:cs="宋体"/>
          <w:b/>
          <w:bCs/>
          <w:kern w:val="44"/>
          <w:sz w:val="30"/>
          <w:szCs w:val="44"/>
          <w:lang w:val="en-US" w:eastAsia="zh-CN" w:bidi="ar-SA"/>
        </w:rPr>
        <w:t>理财产品的认购</w:t>
      </w:r>
      <w:bookmarkEnd w:id="100"/>
      <w:bookmarkEnd w:id="101"/>
      <w:bookmarkEnd w:id="102"/>
      <w:bookmarkEnd w:id="103"/>
      <w:bookmarkEnd w:id="104"/>
    </w:p>
    <w:p w14:paraId="3A660237">
      <w:pPr>
        <w:spacing w:line="360" w:lineRule="auto"/>
        <w:ind w:firstLine="361" w:firstLineChars="200"/>
        <w:rPr>
          <w:rFonts w:ascii="宋体" w:hAnsi="宋体" w:cs="宋体"/>
          <w:b/>
          <w:bCs/>
          <w:sz w:val="18"/>
          <w:szCs w:val="18"/>
        </w:rPr>
      </w:pPr>
      <w:bookmarkStart w:id="106" w:name="_Hlt88031774"/>
      <w:bookmarkEnd w:id="106"/>
      <w:bookmarkStart w:id="107" w:name="_Hlt88031741"/>
      <w:r>
        <w:rPr>
          <w:rFonts w:hint="eastAsia" w:ascii="宋体" w:hAnsi="宋体" w:cs="宋体"/>
          <w:b/>
          <w:bCs/>
          <w:sz w:val="18"/>
          <w:szCs w:val="18"/>
        </w:rPr>
        <w:t>（一）理财产品的认购</w:t>
      </w:r>
    </w:p>
    <w:p w14:paraId="5A8F8FB4">
      <w:pPr>
        <w:spacing w:line="360" w:lineRule="auto"/>
        <w:ind w:firstLine="361" w:firstLineChars="200"/>
        <w:rPr>
          <w:rFonts w:ascii="宋体" w:hAnsi="宋体" w:cs="宋体"/>
          <w:b/>
          <w:bCs/>
          <w:sz w:val="18"/>
          <w:szCs w:val="18"/>
        </w:rPr>
      </w:pPr>
      <w:r>
        <w:rPr>
          <w:rFonts w:ascii="宋体" w:hAnsi="宋体" w:cs="宋体"/>
          <w:b/>
          <w:bCs/>
          <w:sz w:val="18"/>
          <w:szCs w:val="18"/>
        </w:rPr>
        <w:t>1.</w:t>
      </w:r>
      <w:r>
        <w:rPr>
          <w:rFonts w:hint="eastAsia" w:ascii="宋体" w:hAnsi="宋体" w:cs="宋体"/>
          <w:b/>
          <w:bCs/>
          <w:sz w:val="18"/>
          <w:szCs w:val="18"/>
        </w:rPr>
        <w:t>认购的时间</w:t>
      </w:r>
    </w:p>
    <w:p w14:paraId="13CFD86C">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本产品认购期/募集期详见《产品说明书》“第二条 理财产品基本情况”。</w:t>
      </w:r>
      <w:r>
        <w:rPr>
          <w:rFonts w:ascii="宋体" w:hAnsi="宋体" w:eastAsia="宋体" w:cs="宋体"/>
          <w:color w:val="auto"/>
          <w:sz w:val="18"/>
          <w:szCs w:val="18"/>
          <w:lang w:val="en-US" w:eastAsia="zh-CN" w:bidi="ar-SA"/>
        </w:rPr>
        <w:t>产品管理人有权根据实际募集情况提前或延后产品成立日期，并</w:t>
      </w:r>
      <w:r>
        <w:rPr>
          <w:rFonts w:hint="eastAsia" w:ascii="宋体" w:hAnsi="宋体" w:eastAsia="宋体" w:cs="宋体"/>
          <w:color w:val="auto"/>
          <w:sz w:val="18"/>
          <w:szCs w:val="18"/>
          <w:lang w:val="en-US" w:eastAsia="zh-CN" w:bidi="ar-SA"/>
        </w:rPr>
        <w:t>相应调整其他产品要素，</w:t>
      </w:r>
      <w:r>
        <w:rPr>
          <w:rFonts w:ascii="宋体" w:hAnsi="宋体" w:eastAsia="宋体" w:cs="宋体"/>
          <w:color w:val="auto"/>
          <w:sz w:val="18"/>
          <w:szCs w:val="18"/>
          <w:lang w:val="en-US" w:eastAsia="zh-CN" w:bidi="ar-SA"/>
        </w:rPr>
        <w:t>将依约</w:t>
      </w:r>
      <w:r>
        <w:rPr>
          <w:rFonts w:hint="eastAsia" w:ascii="宋体" w:hAnsi="宋体" w:eastAsia="宋体" w:cs="宋体"/>
          <w:color w:val="auto"/>
          <w:sz w:val="18"/>
          <w:szCs w:val="18"/>
          <w:lang w:val="en-US" w:eastAsia="zh-CN" w:bidi="ar-SA"/>
        </w:rPr>
        <w:t>定进行公告。</w:t>
      </w:r>
    </w:p>
    <w:p w14:paraId="2720F60F">
      <w:pPr>
        <w:spacing w:line="360" w:lineRule="auto"/>
        <w:ind w:firstLine="361" w:firstLineChars="200"/>
        <w:rPr>
          <w:rFonts w:ascii="宋体" w:hAnsi="宋体" w:cs="宋体"/>
          <w:b/>
          <w:bCs/>
          <w:sz w:val="18"/>
          <w:szCs w:val="18"/>
        </w:rPr>
      </w:pPr>
      <w:r>
        <w:rPr>
          <w:rFonts w:ascii="宋体" w:hAnsi="宋体" w:cs="宋体"/>
          <w:b/>
          <w:bCs/>
          <w:sz w:val="18"/>
          <w:szCs w:val="18"/>
        </w:rPr>
        <w:t>2.认购</w:t>
      </w:r>
      <w:r>
        <w:rPr>
          <w:rFonts w:hint="eastAsia" w:ascii="宋体" w:hAnsi="宋体" w:cs="宋体"/>
          <w:b/>
          <w:bCs/>
          <w:sz w:val="18"/>
          <w:szCs w:val="18"/>
        </w:rPr>
        <w:t>的方式</w:t>
      </w:r>
    </w:p>
    <w:p w14:paraId="1BB6209F">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产品成立之前</w:t>
      </w: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投资者可通过</w:t>
      </w:r>
      <w:r>
        <w:rPr>
          <w:rFonts w:hint="eastAsia" w:ascii="宋体" w:hAnsi="宋体" w:eastAsia="宋体" w:cs="宋体"/>
          <w:color w:val="auto"/>
          <w:sz w:val="18"/>
          <w:szCs w:val="18"/>
          <w:lang w:val="en-US" w:eastAsia="zh-CN" w:bidi="ar-SA"/>
        </w:rPr>
        <w:t>销售机构销售</w:t>
      </w:r>
      <w:r>
        <w:rPr>
          <w:rFonts w:ascii="宋体" w:hAnsi="宋体" w:eastAsia="宋体" w:cs="宋体"/>
          <w:color w:val="auto"/>
          <w:sz w:val="18"/>
          <w:szCs w:val="18"/>
          <w:lang w:val="en-US" w:eastAsia="zh-CN" w:bidi="ar-SA"/>
        </w:rPr>
        <w:t>渠道</w:t>
      </w:r>
      <w:r>
        <w:rPr>
          <w:rFonts w:hint="eastAsia" w:ascii="宋体" w:hAnsi="宋体" w:eastAsia="宋体" w:cs="宋体"/>
          <w:color w:val="auto"/>
          <w:sz w:val="18"/>
          <w:szCs w:val="18"/>
          <w:lang w:val="en-US" w:eastAsia="zh-CN" w:bidi="ar-SA"/>
        </w:rPr>
        <w:t>认购</w:t>
      </w:r>
      <w:r>
        <w:rPr>
          <w:rFonts w:ascii="宋体" w:hAnsi="宋体" w:eastAsia="宋体" w:cs="宋体"/>
          <w:color w:val="auto"/>
          <w:sz w:val="18"/>
          <w:szCs w:val="18"/>
          <w:lang w:val="en-US" w:eastAsia="zh-CN" w:bidi="ar-SA"/>
        </w:rPr>
        <w:t>。</w:t>
      </w:r>
    </w:p>
    <w:p w14:paraId="22D570DD">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投资者通过</w:t>
      </w:r>
      <w:r>
        <w:rPr>
          <w:rFonts w:hint="eastAsia" w:ascii="宋体" w:hAnsi="宋体" w:eastAsia="宋体" w:cs="宋体"/>
          <w:color w:val="auto"/>
          <w:sz w:val="18"/>
          <w:szCs w:val="18"/>
          <w:lang w:val="en-US" w:eastAsia="zh-CN" w:bidi="ar-SA"/>
        </w:rPr>
        <w:t>销售机构线下渠道认购的，应签署有关理财产品销售文件。</w:t>
      </w:r>
    </w:p>
    <w:p w14:paraId="3AA3BA16">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color w:val="auto"/>
          <w:sz w:val="18"/>
          <w:szCs w:val="18"/>
          <w:lang w:val="en-US" w:eastAsia="zh-CN" w:bidi="ar-SA"/>
        </w:rPr>
        <w:t>投资者通过</w:t>
      </w:r>
      <w:r>
        <w:rPr>
          <w:rFonts w:hint="eastAsia" w:ascii="宋体" w:hAnsi="宋体" w:eastAsia="宋体" w:cs="宋体"/>
          <w:color w:val="auto"/>
          <w:sz w:val="18"/>
          <w:szCs w:val="18"/>
          <w:lang w:val="en-US" w:eastAsia="zh-CN" w:bidi="ar-SA"/>
        </w:rPr>
        <w:t>销售机构线上渠道认购的，</w:t>
      </w:r>
      <w:r>
        <w:rPr>
          <w:rFonts w:hint="eastAsia" w:ascii="宋体" w:hAnsi="宋体" w:eastAsia="宋体" w:cs="宋体"/>
          <w:bCs/>
          <w:color w:val="auto"/>
          <w:sz w:val="18"/>
          <w:szCs w:val="18"/>
          <w:lang w:val="en-US" w:eastAsia="zh-CN" w:bidi="ar-SA"/>
        </w:rPr>
        <w:t>应根据</w:t>
      </w:r>
      <w:r>
        <w:rPr>
          <w:rFonts w:hint="eastAsia" w:ascii="宋体" w:hAnsi="宋体" w:eastAsia="宋体" w:cs="宋体"/>
          <w:color w:val="auto"/>
          <w:sz w:val="18"/>
          <w:szCs w:val="18"/>
          <w:lang w:val="en-US" w:eastAsia="zh-CN" w:bidi="ar-SA"/>
        </w:rPr>
        <w:t>销售机构</w:t>
      </w:r>
      <w:r>
        <w:rPr>
          <w:rFonts w:hint="eastAsia" w:ascii="宋体" w:hAnsi="宋体" w:eastAsia="宋体" w:cs="宋体"/>
          <w:bCs/>
          <w:color w:val="auto"/>
          <w:sz w:val="18"/>
          <w:szCs w:val="18"/>
          <w:lang w:val="en-US" w:eastAsia="zh-CN" w:bidi="ar-SA"/>
        </w:rPr>
        <w:t>线上渠道的具体要求执行。</w:t>
      </w:r>
    </w:p>
    <w:p w14:paraId="2AE69932">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3.</w:t>
      </w:r>
      <w:r>
        <w:rPr>
          <w:rFonts w:hint="eastAsia" w:ascii="宋体" w:hAnsi="宋体" w:eastAsia="宋体" w:cs="宋体"/>
          <w:b/>
          <w:bCs/>
          <w:color w:val="auto"/>
          <w:sz w:val="18"/>
          <w:szCs w:val="18"/>
          <w:lang w:val="en-US" w:eastAsia="zh-CN" w:bidi="ar-SA"/>
        </w:rPr>
        <w:t>认购的确认</w:t>
      </w:r>
    </w:p>
    <w:tbl>
      <w:tblPr>
        <w:tblStyle w:val="8"/>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14:paraId="45E9C01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14:paraId="6C06ED33">
            <w:pPr>
              <w:spacing w:line="360" w:lineRule="auto"/>
              <w:ind w:firstLine="361" w:firstLineChars="200"/>
              <w:rPr>
                <w:rFonts w:ascii="宋体" w:hAnsi="宋体" w:eastAsia="宋体" w:cs="宋体"/>
                <w:b/>
                <w:bCs/>
                <w:sz w:val="18"/>
                <w:szCs w:val="18"/>
              </w:rPr>
            </w:pPr>
            <w:r>
              <w:rPr>
                <w:rFonts w:hint="eastAsia" w:ascii="宋体" w:hAnsi="宋体" w:cs="Times New Roman"/>
                <w:b/>
                <w:bCs/>
                <w:kern w:val="0"/>
                <w:sz w:val="18"/>
                <w:szCs w:val="18"/>
              </w:rPr>
              <w:t>认购期/募集期</w:t>
            </w:r>
          </w:p>
        </w:tc>
        <w:tc>
          <w:tcPr>
            <w:tcW w:w="4267" w:type="dxa"/>
            <w:vAlign w:val="center"/>
          </w:tcPr>
          <w:p w14:paraId="7ACA2B45">
            <w:pPr>
              <w:spacing w:line="360" w:lineRule="auto"/>
              <w:ind w:firstLine="361" w:firstLineChars="200"/>
              <w:jc w:val="center"/>
              <w:rPr>
                <w:rFonts w:ascii="宋体" w:hAnsi="宋体" w:eastAsia="宋体" w:cs="宋体"/>
                <w:b/>
                <w:bCs/>
                <w:sz w:val="18"/>
                <w:szCs w:val="18"/>
              </w:rPr>
            </w:pPr>
            <w:r>
              <w:rPr>
                <w:rFonts w:hint="eastAsia" w:ascii="宋体" w:hAnsi="宋体" w:cs="Times New Roman"/>
                <w:b/>
                <w:bCs/>
                <w:kern w:val="0"/>
                <w:sz w:val="18"/>
                <w:szCs w:val="18"/>
              </w:rPr>
              <w:t>认购确认方式</w:t>
            </w:r>
          </w:p>
        </w:tc>
        <w:tc>
          <w:tcPr>
            <w:tcW w:w="1610" w:type="dxa"/>
            <w:vAlign w:val="center"/>
          </w:tcPr>
          <w:p w14:paraId="1FADCB1A">
            <w:pPr>
              <w:spacing w:line="360" w:lineRule="auto"/>
              <w:rPr>
                <w:rFonts w:ascii="宋体" w:hAnsi="宋体" w:eastAsia="宋体" w:cs="宋体"/>
                <w:b/>
                <w:bCs/>
                <w:sz w:val="18"/>
                <w:szCs w:val="18"/>
              </w:rPr>
            </w:pPr>
            <w:r>
              <w:rPr>
                <w:rFonts w:hint="eastAsia" w:ascii="宋体" w:hAnsi="宋体" w:cs="Times New Roman"/>
                <w:b/>
                <w:bCs/>
                <w:kern w:val="0"/>
                <w:sz w:val="18"/>
                <w:szCs w:val="18"/>
              </w:rPr>
              <w:t>认购确认日</w:t>
            </w:r>
          </w:p>
        </w:tc>
      </w:tr>
      <w:tr w14:paraId="5F5BB23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14:paraId="48FDFB5E">
            <w:pPr>
              <w:spacing w:line="360" w:lineRule="auto"/>
              <w:jc w:val="left"/>
              <w:rPr>
                <w:rFonts w:ascii="宋体" w:hAnsi="宋体" w:eastAsia="宋体" w:cs="宋体"/>
                <w:bCs/>
                <w:kern w:val="0"/>
                <w:sz w:val="18"/>
                <w:szCs w:val="18"/>
              </w:rPr>
            </w:pPr>
            <w:r>
              <w:rPr>
                <w:rFonts w:hint="eastAsia" w:ascii="宋体" w:hAnsi="宋体" w:eastAsia="宋体" w:cs="Times New Roman"/>
                <w:bCs/>
                <w:kern w:val="0"/>
                <w:sz w:val="18"/>
                <w:szCs w:val="18"/>
              </w:rPr>
              <w:t>募集期开始日</w:t>
            </w:r>
            <w:r>
              <w:rPr>
                <w:rFonts w:ascii="宋体" w:hAnsi="宋体" w:eastAsia="宋体" w:cs="Times New Roman"/>
                <w:bCs/>
                <w:kern w:val="0"/>
                <w:sz w:val="18"/>
                <w:szCs w:val="18"/>
              </w:rPr>
              <w:t>至募集期终止日</w:t>
            </w:r>
          </w:p>
        </w:tc>
        <w:tc>
          <w:tcPr>
            <w:tcW w:w="4267" w:type="dxa"/>
            <w:vAlign w:val="center"/>
          </w:tcPr>
          <w:p w14:paraId="5ACBC584">
            <w:pPr>
              <w:spacing w:line="360" w:lineRule="auto"/>
              <w:rPr>
                <w:rFonts w:ascii="宋体" w:hAnsi="宋体" w:eastAsia="宋体" w:cs="宋体"/>
                <w:bCs/>
                <w:sz w:val="18"/>
                <w:szCs w:val="18"/>
              </w:rPr>
            </w:pPr>
            <w:r>
              <w:rPr>
                <w:rFonts w:hint="eastAsia" w:ascii="宋体" w:hAnsi="宋体" w:cs="Times New Roman"/>
                <w:bCs/>
                <w:kern w:val="0"/>
                <w:sz w:val="18"/>
                <w:szCs w:val="18"/>
              </w:rPr>
              <w:t>产品管理人在产品成立日对投资者的认购申请的有效性进行确认</w:t>
            </w:r>
            <w:r>
              <w:rPr>
                <w:rFonts w:hint="eastAsia" w:ascii="宋体" w:hAnsi="宋体" w:eastAsia="宋体" w:cs="Times New Roman"/>
                <w:bCs/>
                <w:sz w:val="18"/>
                <w:szCs w:val="18"/>
              </w:rPr>
              <w:t>，并登记理财份额</w:t>
            </w:r>
            <w:r>
              <w:rPr>
                <w:rFonts w:hint="eastAsia" w:ascii="宋体" w:hAnsi="宋体" w:cs="Times New Roman"/>
                <w:bCs/>
                <w:kern w:val="0"/>
                <w:sz w:val="18"/>
                <w:szCs w:val="18"/>
              </w:rPr>
              <w:t>。</w:t>
            </w:r>
          </w:p>
        </w:tc>
        <w:tc>
          <w:tcPr>
            <w:tcW w:w="1610" w:type="dxa"/>
            <w:vAlign w:val="center"/>
          </w:tcPr>
          <w:p w14:paraId="776AA232">
            <w:pPr>
              <w:spacing w:line="360" w:lineRule="auto"/>
              <w:rPr>
                <w:rFonts w:ascii="宋体" w:hAnsi="宋体" w:eastAsia="宋体" w:cs="宋体"/>
                <w:bCs/>
                <w:sz w:val="18"/>
                <w:szCs w:val="18"/>
              </w:rPr>
            </w:pPr>
            <w:r>
              <w:rPr>
                <w:rFonts w:hint="eastAsia" w:ascii="宋体" w:hAnsi="宋体" w:cs="Times New Roman"/>
                <w:bCs/>
                <w:kern w:val="0"/>
                <w:sz w:val="18"/>
                <w:szCs w:val="18"/>
              </w:rPr>
              <w:t>产品成立日</w:t>
            </w:r>
          </w:p>
        </w:tc>
      </w:tr>
    </w:tbl>
    <w:p w14:paraId="2714C0B3">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认购期/募集期内投资者可提交认购申请。</w:t>
      </w:r>
      <w:r>
        <w:rPr>
          <w:rFonts w:hint="eastAsia" w:ascii="宋体" w:hAnsi="宋体" w:eastAsia="宋体" w:cs="宋体"/>
          <w:color w:val="000000"/>
          <w:sz w:val="18"/>
          <w:szCs w:val="18"/>
          <w:lang w:val="en-US" w:eastAsia="zh-CN" w:bidi="ar-SA"/>
        </w:rPr>
        <w:t>提交</w:t>
      </w:r>
      <w:r>
        <w:rPr>
          <w:rFonts w:ascii="宋体" w:hAnsi="宋体" w:eastAsia="宋体" w:cs="宋体"/>
          <w:color w:val="000000"/>
          <w:sz w:val="18"/>
          <w:szCs w:val="18"/>
          <w:lang w:val="en-US" w:eastAsia="zh-CN" w:bidi="ar-SA"/>
        </w:rPr>
        <w:t>认购</w:t>
      </w:r>
      <w:r>
        <w:rPr>
          <w:rFonts w:hint="eastAsia" w:ascii="宋体" w:hAnsi="宋体" w:eastAsia="宋体" w:cs="宋体"/>
          <w:color w:val="000000"/>
          <w:sz w:val="18"/>
          <w:szCs w:val="18"/>
          <w:lang w:val="en-US" w:eastAsia="zh-CN" w:bidi="ar-SA"/>
        </w:rPr>
        <w:t>申请并不代表认购成功，产品管理人将在认购确认日确认投资者是否认购成功，是否成功以管理人的确认结果为准。</w:t>
      </w:r>
    </w:p>
    <w:p w14:paraId="78EFC7F5">
      <w:pPr>
        <w:spacing w:line="360" w:lineRule="auto"/>
        <w:ind w:firstLine="361" w:firstLineChars="200"/>
        <w:rPr>
          <w:rFonts w:ascii="宋体" w:hAnsi="宋体" w:cs="宋体"/>
          <w:b/>
          <w:bCs/>
          <w:sz w:val="18"/>
          <w:szCs w:val="18"/>
        </w:rPr>
      </w:pPr>
      <w:r>
        <w:rPr>
          <w:rFonts w:ascii="宋体" w:hAnsi="宋体" w:cs="宋体"/>
          <w:b/>
          <w:bCs/>
          <w:sz w:val="18"/>
          <w:szCs w:val="18"/>
        </w:rPr>
        <w:t>4</w:t>
      </w:r>
      <w:r>
        <w:rPr>
          <w:rFonts w:hint="eastAsia" w:ascii="宋体" w:hAnsi="宋体" w:cs="宋体"/>
          <w:b/>
          <w:bCs/>
          <w:sz w:val="18"/>
          <w:szCs w:val="18"/>
        </w:rPr>
        <w:t>.</w:t>
      </w:r>
      <w:r>
        <w:rPr>
          <w:rFonts w:ascii="宋体" w:hAnsi="宋体" w:cs="宋体"/>
          <w:b/>
          <w:bCs/>
          <w:sz w:val="18"/>
          <w:szCs w:val="18"/>
        </w:rPr>
        <w:t>认购的价格</w:t>
      </w:r>
    </w:p>
    <w:p w14:paraId="6FCD3EA7">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本产品的认购价格为每份理财份额人民币</w:t>
      </w:r>
      <w:r>
        <w:rPr>
          <w:rFonts w:ascii="宋体" w:hAnsi="宋体" w:eastAsia="宋体" w:cs="宋体"/>
          <w:color w:val="auto"/>
          <w:sz w:val="18"/>
          <w:szCs w:val="18"/>
          <w:lang w:val="en-US" w:eastAsia="zh-CN" w:bidi="ar-SA"/>
        </w:rPr>
        <w:t>1.00</w:t>
      </w:r>
      <w:r>
        <w:rPr>
          <w:rFonts w:hint="eastAsia" w:ascii="宋体" w:hAnsi="宋体" w:eastAsia="宋体" w:cs="宋体"/>
          <w:color w:val="auto"/>
          <w:sz w:val="18"/>
          <w:szCs w:val="18"/>
          <w:lang w:val="en-US" w:eastAsia="zh-CN" w:bidi="ar-SA"/>
        </w:rPr>
        <w:t>元。</w:t>
      </w:r>
    </w:p>
    <w:p w14:paraId="1E9974D5">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5</w:t>
      </w:r>
      <w:r>
        <w:rPr>
          <w:rFonts w:hint="eastAsia" w:ascii="宋体" w:hAnsi="宋体" w:eastAsia="宋体" w:cs="宋体"/>
          <w:b/>
          <w:color w:val="auto"/>
          <w:sz w:val="18"/>
          <w:szCs w:val="18"/>
          <w:lang w:val="en-US" w:eastAsia="zh-CN" w:bidi="ar-SA"/>
        </w:rPr>
        <w:t>.认购的费用</w:t>
      </w:r>
    </w:p>
    <w:p w14:paraId="7A086D63">
      <w:pPr>
        <w:spacing w:line="360" w:lineRule="auto"/>
        <w:ind w:firstLine="360" w:firstLineChars="200"/>
        <w:rPr>
          <w:rFonts w:ascii="Calibri" w:hAnsi="Calibri" w:cs="宋体"/>
          <w:bCs/>
          <w:sz w:val="18"/>
          <w:szCs w:val="18"/>
        </w:rPr>
      </w:pPr>
      <w:r>
        <w:rPr>
          <w:rFonts w:hint="eastAsia" w:ascii="宋体" w:hAnsi="宋体" w:cs="宋体"/>
          <w:sz w:val="18"/>
          <w:szCs w:val="18"/>
        </w:rPr>
        <w:t>详见</w:t>
      </w:r>
      <w:r>
        <w:rPr>
          <w:rFonts w:hint="eastAsia" w:ascii="宋体" w:hAnsi="宋体" w:eastAsia="宋体" w:cs="宋体"/>
          <w:sz w:val="18"/>
          <w:szCs w:val="18"/>
        </w:rPr>
        <w:t>《产品说明书》“第二条 理财产品基本情况”</w:t>
      </w:r>
      <w:r>
        <w:rPr>
          <w:rFonts w:hint="eastAsia" w:ascii="Calibri" w:hAnsi="Calibri" w:cs="宋体"/>
          <w:bCs/>
          <w:sz w:val="18"/>
          <w:szCs w:val="18"/>
        </w:rPr>
        <w:t>。</w:t>
      </w:r>
    </w:p>
    <w:p w14:paraId="4AD34A92">
      <w:pPr>
        <w:spacing w:line="360" w:lineRule="auto"/>
        <w:ind w:firstLine="361" w:firstLineChars="200"/>
        <w:rPr>
          <w:rFonts w:ascii="宋体" w:hAnsi="宋体" w:cs="宋体"/>
          <w:b/>
          <w:bCs/>
          <w:sz w:val="18"/>
          <w:szCs w:val="18"/>
        </w:rPr>
      </w:pPr>
      <w:r>
        <w:rPr>
          <w:rFonts w:ascii="宋体" w:hAnsi="宋体" w:cs="宋体"/>
          <w:b/>
          <w:bCs/>
          <w:sz w:val="18"/>
          <w:szCs w:val="18"/>
        </w:rPr>
        <w:t>6.认购份额的计算</w:t>
      </w:r>
    </w:p>
    <w:p w14:paraId="6E97C435">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本产品的认购金额包括认购费用和净认购金额。认购份额的计算公式为：</w:t>
      </w:r>
    </w:p>
    <w:p w14:paraId="01593C17">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净认购金额</w:t>
      </w:r>
      <w:r>
        <w:rPr>
          <w:rFonts w:ascii="宋体" w:hAnsi="宋体" w:eastAsia="宋体" w:cs="宋体"/>
          <w:color w:val="auto"/>
          <w:sz w:val="18"/>
          <w:szCs w:val="18"/>
          <w:lang w:val="en-US" w:eastAsia="zh-CN" w:bidi="ar-SA"/>
        </w:rPr>
        <w:t>=认购金额/（1+认购费率）</w:t>
      </w:r>
    </w:p>
    <w:p w14:paraId="308BDC03">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认购费用</w:t>
      </w:r>
      <w:r>
        <w:rPr>
          <w:rFonts w:ascii="宋体" w:hAnsi="宋体" w:eastAsia="宋体" w:cs="宋体"/>
          <w:color w:val="auto"/>
          <w:sz w:val="18"/>
          <w:szCs w:val="18"/>
          <w:lang w:val="en-US" w:eastAsia="zh-CN" w:bidi="ar-SA"/>
        </w:rPr>
        <w:t>=认购金额－净认购金额</w:t>
      </w:r>
    </w:p>
    <w:p w14:paraId="6A07C77D">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认购份额</w:t>
      </w:r>
      <w:r>
        <w:rPr>
          <w:rFonts w:ascii="宋体" w:hAnsi="宋体" w:eastAsia="宋体" w:cs="宋体"/>
          <w:color w:val="auto"/>
          <w:sz w:val="18"/>
          <w:szCs w:val="18"/>
          <w:lang w:val="en-US" w:eastAsia="zh-CN" w:bidi="ar-SA"/>
        </w:rPr>
        <w:t>=净认购金额/产品份额面值</w:t>
      </w:r>
    </w:p>
    <w:p w14:paraId="4225906B">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上述计算结果均按四舍五入方法，保留到小数点后</w:t>
      </w:r>
      <w:r>
        <w:rPr>
          <w:rFonts w:ascii="宋体" w:hAnsi="宋体" w:eastAsia="宋体" w:cs="宋体"/>
          <w:bCs/>
          <w:color w:val="auto"/>
          <w:sz w:val="18"/>
          <w:szCs w:val="18"/>
          <w:lang w:val="en-US" w:eastAsia="zh-CN" w:bidi="ar-SA"/>
        </w:rPr>
        <w:t>2</w:t>
      </w:r>
      <w:r>
        <w:rPr>
          <w:rFonts w:hint="eastAsia" w:ascii="宋体" w:hAnsi="宋体" w:eastAsia="宋体" w:cs="宋体"/>
          <w:bCs/>
          <w:color w:val="auto"/>
          <w:sz w:val="18"/>
          <w:szCs w:val="18"/>
          <w:lang w:val="en-US" w:eastAsia="zh-CN" w:bidi="ar-SA"/>
        </w:rPr>
        <w:t>位，由此产生的收益或损失由理财产品承担。</w:t>
      </w:r>
    </w:p>
    <w:p w14:paraId="1D63875F">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7</w:t>
      </w:r>
      <w:r>
        <w:rPr>
          <w:rFonts w:hint="eastAsia" w:ascii="宋体" w:hAnsi="宋体" w:eastAsia="宋体" w:cs="宋体"/>
          <w:b/>
          <w:color w:val="auto"/>
          <w:sz w:val="18"/>
          <w:szCs w:val="18"/>
          <w:lang w:val="en-US" w:eastAsia="zh-CN" w:bidi="ar-SA"/>
        </w:rPr>
        <w:t>.认购的起点和递增金额</w:t>
      </w:r>
    </w:p>
    <w:p w14:paraId="2B82388B">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 理财产品基本情况”。</w:t>
      </w:r>
    </w:p>
    <w:p w14:paraId="5E3C547C">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8.认购的数量限制</w:t>
      </w:r>
    </w:p>
    <w:p w14:paraId="386B4EA6">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 理财产品基本情况”。</w:t>
      </w:r>
    </w:p>
    <w:p w14:paraId="192D5FD2">
      <w:pPr>
        <w:spacing w:line="360" w:lineRule="auto"/>
        <w:ind w:firstLine="361" w:firstLineChars="200"/>
        <w:rPr>
          <w:rFonts w:ascii="宋体" w:hAnsi="宋体" w:cs="宋体"/>
          <w:b/>
          <w:bCs/>
          <w:sz w:val="18"/>
          <w:szCs w:val="18"/>
        </w:rPr>
      </w:pPr>
      <w:r>
        <w:rPr>
          <w:rFonts w:ascii="宋体" w:hAnsi="宋体" w:cs="宋体"/>
          <w:b/>
          <w:bCs/>
          <w:sz w:val="18"/>
          <w:szCs w:val="18"/>
        </w:rPr>
        <w:t>9.募集期认购资金利息的处理</w:t>
      </w:r>
    </w:p>
    <w:p w14:paraId="5BF3A544">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投资者认购资金在产品认购期内产生的利息不作为理财资金进入运作，不计算理财利益。</w:t>
      </w:r>
    </w:p>
    <w:p w14:paraId="183662F2">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（二）认购的原则</w:t>
      </w:r>
    </w:p>
    <w:p w14:paraId="0699DDE8">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w:t>
      </w:r>
      <w:r>
        <w:rPr>
          <w:rFonts w:ascii="宋体" w:hAnsi="宋体" w:eastAsia="宋体" w:cs="宋体"/>
          <w:color w:val="auto"/>
          <w:sz w:val="18"/>
          <w:szCs w:val="18"/>
          <w:lang w:val="en-US" w:eastAsia="zh-CN" w:bidi="ar-SA"/>
        </w:rPr>
        <w:t>“</w:t>
      </w:r>
      <w:r>
        <w:rPr>
          <w:rFonts w:hint="eastAsia" w:ascii="宋体" w:hAnsi="宋体" w:eastAsia="宋体" w:cs="宋体"/>
          <w:color w:val="auto"/>
          <w:sz w:val="18"/>
          <w:szCs w:val="18"/>
          <w:lang w:val="en-US" w:eastAsia="zh-CN" w:bidi="ar-SA"/>
        </w:rPr>
        <w:t>金额认购</w:t>
      </w:r>
      <w:r>
        <w:rPr>
          <w:rFonts w:ascii="宋体" w:hAnsi="宋体" w:eastAsia="宋体" w:cs="宋体"/>
          <w:color w:val="auto"/>
          <w:sz w:val="18"/>
          <w:szCs w:val="18"/>
          <w:lang w:val="en-US" w:eastAsia="zh-CN" w:bidi="ar-SA"/>
        </w:rPr>
        <w:t>”</w:t>
      </w:r>
      <w:r>
        <w:rPr>
          <w:rFonts w:hint="eastAsia" w:ascii="宋体" w:hAnsi="宋体" w:eastAsia="宋体" w:cs="宋体"/>
          <w:color w:val="auto"/>
          <w:sz w:val="18"/>
          <w:szCs w:val="18"/>
          <w:lang w:val="en-US" w:eastAsia="zh-CN" w:bidi="ar-SA"/>
        </w:rPr>
        <w:t>原则，即认购以金额申请。</w:t>
      </w:r>
    </w:p>
    <w:p w14:paraId="7B3A7695">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.认购</w:t>
      </w:r>
      <w:r>
        <w:rPr>
          <w:rFonts w:ascii="宋体" w:hAnsi="宋体" w:eastAsia="宋体" w:cs="宋体"/>
          <w:color w:val="auto"/>
          <w:sz w:val="18"/>
          <w:szCs w:val="18"/>
          <w:lang w:val="en-US" w:eastAsia="zh-CN" w:bidi="ar-SA"/>
        </w:rPr>
        <w:t>申请可以在对应认购期截止前撤销，最终申</w:t>
      </w:r>
      <w:r>
        <w:rPr>
          <w:rFonts w:hint="eastAsia" w:ascii="宋体" w:hAnsi="宋体" w:eastAsia="宋体" w:cs="宋体"/>
          <w:color w:val="auto"/>
          <w:sz w:val="18"/>
          <w:szCs w:val="18"/>
          <w:lang w:val="en-US" w:eastAsia="zh-CN" w:bidi="ar-SA"/>
        </w:rPr>
        <w:t>请</w:t>
      </w:r>
      <w:r>
        <w:rPr>
          <w:rFonts w:ascii="宋体" w:hAnsi="宋体" w:eastAsia="宋体" w:cs="宋体"/>
          <w:color w:val="auto"/>
          <w:sz w:val="18"/>
          <w:szCs w:val="18"/>
          <w:lang w:val="en-US" w:eastAsia="zh-CN" w:bidi="ar-SA"/>
        </w:rPr>
        <w:t>确认情况以投资者在</w:t>
      </w:r>
      <w:r>
        <w:rPr>
          <w:rFonts w:hint="eastAsia" w:ascii="宋体" w:hAnsi="宋体" w:eastAsia="宋体" w:cs="宋体"/>
          <w:color w:val="auto"/>
          <w:sz w:val="18"/>
          <w:szCs w:val="18"/>
          <w:lang w:val="en-US" w:eastAsia="zh-CN" w:bidi="ar-SA"/>
        </w:rPr>
        <w:t>销售机构线下渠道</w:t>
      </w:r>
      <w:r>
        <w:rPr>
          <w:rFonts w:ascii="宋体" w:hAnsi="宋体" w:eastAsia="宋体" w:cs="宋体"/>
          <w:color w:val="auto"/>
          <w:sz w:val="18"/>
          <w:szCs w:val="18"/>
          <w:lang w:val="en-US" w:eastAsia="zh-CN" w:bidi="ar-SA"/>
        </w:rPr>
        <w:t>或线上渠道确认的结果为准。</w:t>
      </w:r>
    </w:p>
    <w:p w14:paraId="68C0B618">
      <w:pPr>
        <w:spacing w:line="360" w:lineRule="auto"/>
        <w:ind w:firstLine="271" w:firstLineChars="150"/>
        <w:rPr>
          <w:rFonts w:ascii="宋体" w:hAnsi="宋体" w:eastAsia="宋体" w:cs="宋体"/>
          <w:b/>
          <w:sz w:val="18"/>
          <w:szCs w:val="18"/>
        </w:rPr>
      </w:pPr>
      <w:r>
        <w:rPr>
          <w:rFonts w:hint="eastAsia" w:ascii="宋体" w:hAnsi="宋体" w:eastAsia="宋体" w:cs="宋体"/>
          <w:b/>
          <w:sz w:val="18"/>
          <w:szCs w:val="18"/>
        </w:rPr>
        <w:t>（三）拒绝或暂停认购的情形</w:t>
      </w:r>
    </w:p>
    <w:p w14:paraId="7027D860">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发生下列情况时，产品管理人可拒绝或暂停接受投资者的认购</w:t>
      </w:r>
      <w:r>
        <w:rPr>
          <w:rFonts w:ascii="宋体" w:hAnsi="宋体" w:eastAsia="宋体" w:cs="宋体"/>
          <w:color w:val="auto"/>
          <w:sz w:val="18"/>
          <w:szCs w:val="18"/>
          <w:lang w:val="en-US" w:eastAsia="zh-CN" w:bidi="ar-SA"/>
        </w:rPr>
        <w:t>申请：</w:t>
      </w:r>
    </w:p>
    <w:p w14:paraId="4BFAC5D1">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.因不可抗力导致理财产品无法正常运作。</w:t>
      </w:r>
    </w:p>
    <w:p w14:paraId="75CC3968">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.产品管理人和产品托管人的技术保障等异常情况导致理财销售系统或会计系统无法正常运行。</w:t>
      </w:r>
    </w:p>
    <w:p w14:paraId="142311D1">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w:t>
      </w:r>
      <w:r>
        <w:rPr>
          <w:rFonts w:hint="eastAsia" w:ascii="宋体" w:hAnsi="宋体" w:eastAsia="宋体" w:cs="宋体"/>
          <w:color w:val="auto"/>
          <w:sz w:val="18"/>
          <w:szCs w:val="18"/>
          <w:lang w:val="en-US" w:eastAsia="zh-CN" w:bidi="ar-SA"/>
        </w:rPr>
        <w:t>.法律法规规定或监管机构认定的其他情形。</w:t>
      </w:r>
    </w:p>
    <w:p w14:paraId="4BD72581">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如果投资者的认购申请被拒绝，被拒绝的认购款项将退还给投资者。在暂停认购的情况消除时，产品管理人应及时恢复认购业务的办理。</w:t>
      </w:r>
    </w:p>
    <w:p w14:paraId="1EDA3C71">
      <w:pPr>
        <w:widowControl w:val="0"/>
        <w:autoSpaceDE w:val="0"/>
        <w:autoSpaceDN w:val="0"/>
        <w:adjustRightInd w:val="0"/>
        <w:spacing w:line="360" w:lineRule="auto"/>
        <w:ind w:left="210" w:leftChars="100" w:firstLine="181" w:firstLineChars="100"/>
        <w:rPr>
          <w:rFonts w:ascii="宋体" w:hAnsi="宋体" w:eastAsia="宋体" w:cs="宋体"/>
          <w:color w:val="auto"/>
          <w:sz w:val="18"/>
          <w:szCs w:val="18"/>
          <w:lang w:val="en-US" w:eastAsia="zh-CN" w:bidi="ar-SA"/>
        </w:rPr>
      </w:pPr>
      <w:r>
        <w:rPr>
          <w:rFonts w:hint="eastAsia" w:ascii="宋体" w:hAnsi="宋体" w:eastAsia="宋体" w:cs="宋体"/>
          <w:b/>
          <w:color w:val="auto"/>
          <w:sz w:val="18"/>
          <w:szCs w:val="18"/>
          <w:lang w:val="en-US" w:eastAsia="zh-CN" w:bidi="ar-SA"/>
        </w:rPr>
        <w:t>（四）日期遇非工作日的调整</w:t>
      </w:r>
    </w:p>
    <w:p w14:paraId="583635E6">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前述日期（包括但不限于认购期及</w:t>
      </w:r>
      <w:r>
        <w:rPr>
          <w:rFonts w:ascii="宋体" w:hAnsi="宋体" w:eastAsia="宋体" w:cs="宋体"/>
          <w:color w:val="auto"/>
          <w:sz w:val="18"/>
          <w:szCs w:val="18"/>
          <w:lang w:val="en-US" w:eastAsia="zh-CN" w:bidi="ar-SA"/>
        </w:rPr>
        <w:t>认购确认日</w:t>
      </w:r>
      <w:r>
        <w:rPr>
          <w:rFonts w:hint="eastAsia" w:ascii="宋体" w:hAnsi="宋体" w:eastAsia="宋体" w:cs="宋体"/>
          <w:color w:val="auto"/>
          <w:sz w:val="18"/>
          <w:szCs w:val="18"/>
          <w:lang w:val="en-US" w:eastAsia="zh-CN" w:bidi="ar-SA"/>
        </w:rPr>
        <w:t>等）如遇非工作日则产品管理人可做相应调整。产品管理人对上述日期保留变更的权利，调整后的日期以产品管理人发布的公告中所载明的日期为准。</w:t>
      </w:r>
    </w:p>
    <w:p w14:paraId="30ECA505">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hint="eastAsia" w:ascii="宋体" w:hAnsi="宋体" w:eastAsia="宋体" w:cs="宋体"/>
          <w:b/>
          <w:bCs/>
          <w:color w:val="auto"/>
          <w:sz w:val="18"/>
          <w:szCs w:val="18"/>
          <w:lang w:val="en-US" w:eastAsia="zh-CN" w:bidi="ar-SA"/>
        </w:rPr>
        <w:t>（五）投资者持有理财份额的限额和理财产品总规模限额</w:t>
      </w:r>
    </w:p>
    <w:p w14:paraId="4A0245B8">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产品管理人有权决定理财份额持有人持有本产品的最高限额、最低限额和本产品的总规模限额。</w:t>
      </w:r>
    </w:p>
    <w:p w14:paraId="4427F89F">
      <w:pPr>
        <w:spacing w:line="360" w:lineRule="auto"/>
        <w:ind w:firstLine="360" w:firstLineChars="200"/>
        <w:rPr>
          <w:rFonts w:ascii="宋体" w:hAnsi="宋体" w:cs="宋体"/>
          <w:bCs/>
          <w:sz w:val="18"/>
          <w:szCs w:val="18"/>
        </w:rPr>
      </w:pPr>
    </w:p>
    <w:p w14:paraId="682695EB">
      <w:pPr>
        <w:widowControl/>
        <w:spacing w:line="360" w:lineRule="auto"/>
        <w:jc w:val="left"/>
        <w:rPr>
          <w:rFonts w:ascii="宋体" w:hAnsi="宋体" w:cs="宋体"/>
          <w:bCs/>
          <w:sz w:val="18"/>
          <w:szCs w:val="18"/>
        </w:rPr>
      </w:pPr>
      <w:r>
        <w:rPr>
          <w:rFonts w:ascii="宋体" w:hAnsi="宋体" w:cs="宋体"/>
          <w:bCs/>
          <w:sz w:val="18"/>
          <w:szCs w:val="18"/>
        </w:rPr>
        <w:br w:type="page"/>
      </w:r>
    </w:p>
    <w:p w14:paraId="7F167BAB">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108" w:name="_Toc92377133"/>
      <w:bookmarkStart w:id="109" w:name="_Toc29856"/>
      <w:bookmarkStart w:id="110" w:name="_Toc32177"/>
      <w:bookmarkStart w:id="111" w:name="_Toc79154667"/>
      <w:bookmarkStart w:id="112" w:name="_Toc6529"/>
      <w:r>
        <w:rPr>
          <w:rFonts w:hint="eastAsia" w:ascii="Times New Roman" w:hAnsi="Calibri" w:eastAsia="宋体" w:cs="宋体"/>
          <w:b/>
          <w:bCs/>
          <w:kern w:val="44"/>
          <w:sz w:val="30"/>
          <w:szCs w:val="44"/>
          <w:lang w:val="en-US" w:eastAsia="zh-CN" w:bidi="ar-SA"/>
        </w:rPr>
        <w:t xml:space="preserve">第四条 </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理财产品的申购与赎回</w:t>
      </w:r>
      <w:bookmarkEnd w:id="108"/>
      <w:bookmarkEnd w:id="109"/>
      <w:bookmarkEnd w:id="110"/>
      <w:bookmarkEnd w:id="111"/>
      <w:bookmarkEnd w:id="112"/>
    </w:p>
    <w:bookmarkEnd w:id="107"/>
    <w:p w14:paraId="3FD748CC">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hint="eastAsia" w:ascii="宋体" w:hAnsi="宋体" w:eastAsia="宋体" w:cs="宋体"/>
          <w:b/>
          <w:bCs/>
          <w:color w:val="auto"/>
          <w:sz w:val="18"/>
          <w:szCs w:val="18"/>
          <w:lang w:val="en-US" w:eastAsia="zh-CN" w:bidi="ar-SA"/>
        </w:rPr>
        <w:t>（一）理财产品的申购</w:t>
      </w:r>
    </w:p>
    <w:p w14:paraId="6500E748">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1.</w:t>
      </w:r>
      <w:r>
        <w:rPr>
          <w:rFonts w:hint="eastAsia" w:ascii="宋体" w:hAnsi="宋体" w:eastAsia="宋体" w:cs="宋体"/>
          <w:b/>
          <w:bCs/>
          <w:color w:val="auto"/>
          <w:sz w:val="18"/>
          <w:szCs w:val="18"/>
          <w:lang w:val="en-US" w:eastAsia="zh-CN" w:bidi="ar-SA"/>
        </w:rPr>
        <w:t>申购的时间</w:t>
      </w:r>
    </w:p>
    <w:p w14:paraId="691F2BBB">
      <w:pPr>
        <w:ind w:firstLine="360"/>
        <w:jc w:val="both"/>
        <w:rPr>
          <w:rFonts w:ascii="宋体" w:hAnsi="宋体" w:eastAsia="宋体" w:cs="Calibri"/>
          <w:bCs/>
          <w:kern w:val="2"/>
          <w:sz w:val="18"/>
          <w:szCs w:val="18"/>
          <w:lang w:val="en-US" w:eastAsia="zh-CN" w:bidi="ar-SA"/>
        </w:rPr>
      </w:pPr>
      <w:r>
        <w:rPr>
          <w:rFonts w:hint="eastAsia" w:ascii="宋体" w:hAnsi="宋体" w:eastAsia="宋体" w:cs="Calibri"/>
          <w:kern w:val="2"/>
          <w:sz w:val="18"/>
          <w:szCs w:val="18"/>
          <w:lang w:val="en-US" w:eastAsia="zh-CN" w:bidi="ar-SA"/>
        </w:rPr>
        <w:t>本产品</w:t>
      </w:r>
      <w:r>
        <w:rPr>
          <w:rFonts w:hint="eastAsia" w:ascii="宋体" w:hAnsi="宋体" w:eastAsia="宋体" w:cs="Calibri"/>
          <w:bCs/>
          <w:kern w:val="2"/>
          <w:sz w:val="18"/>
          <w:szCs w:val="18"/>
          <w:lang w:val="en-US" w:eastAsia="zh-CN" w:bidi="ar-SA"/>
        </w:rPr>
        <w:t>具体申购时间以</w:t>
      </w:r>
      <w:r>
        <w:rPr>
          <w:rFonts w:hint="eastAsia" w:ascii="宋体" w:hAnsi="宋体" w:eastAsia="宋体" w:cs="Calibri"/>
          <w:kern w:val="2"/>
          <w:sz w:val="18"/>
          <w:szCs w:val="18"/>
          <w:lang w:val="en-US" w:eastAsia="zh-CN" w:bidi="ar-SA"/>
        </w:rPr>
        <w:t>《产品说明书》“第二条 理财产品基本情况”</w:t>
      </w:r>
      <w:r>
        <w:rPr>
          <w:rFonts w:hint="eastAsia" w:ascii="宋体" w:hAnsi="宋体" w:eastAsia="宋体" w:cs="Calibri"/>
          <w:bCs/>
          <w:kern w:val="2"/>
          <w:sz w:val="18"/>
          <w:szCs w:val="18"/>
          <w:lang w:val="en-US" w:eastAsia="zh-CN" w:bidi="ar-SA"/>
        </w:rPr>
        <w:t>为准。</w:t>
      </w:r>
    </w:p>
    <w:p w14:paraId="1C08BBAC">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2.申购的方式</w:t>
      </w:r>
    </w:p>
    <w:p w14:paraId="74C64FDF">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投资者可通过</w:t>
      </w:r>
      <w:r>
        <w:rPr>
          <w:rFonts w:hint="eastAsia" w:ascii="宋体" w:hAnsi="宋体" w:eastAsia="宋体" w:cs="宋体"/>
          <w:bCs/>
          <w:color w:val="auto"/>
          <w:sz w:val="18"/>
          <w:szCs w:val="18"/>
          <w:lang w:val="en-US" w:eastAsia="zh-CN" w:bidi="ar-SA"/>
        </w:rPr>
        <w:t>销售机构的销售</w:t>
      </w:r>
      <w:r>
        <w:rPr>
          <w:rFonts w:ascii="宋体" w:hAnsi="宋体" w:eastAsia="宋体" w:cs="宋体"/>
          <w:bCs/>
          <w:color w:val="auto"/>
          <w:sz w:val="18"/>
          <w:szCs w:val="18"/>
          <w:lang w:val="en-US" w:eastAsia="zh-CN" w:bidi="ar-SA"/>
        </w:rPr>
        <w:t>渠道</w:t>
      </w:r>
      <w:r>
        <w:rPr>
          <w:rFonts w:hint="eastAsia" w:ascii="宋体" w:hAnsi="宋体" w:eastAsia="宋体" w:cs="宋体"/>
          <w:bCs/>
          <w:color w:val="auto"/>
          <w:sz w:val="18"/>
          <w:szCs w:val="18"/>
          <w:lang w:val="en-US" w:eastAsia="zh-CN" w:bidi="ar-SA"/>
        </w:rPr>
        <w:t>申购。不同销售机构</w:t>
      </w:r>
      <w:r>
        <w:rPr>
          <w:rFonts w:ascii="宋体" w:hAnsi="宋体" w:eastAsia="宋体" w:cs="宋体"/>
          <w:bCs/>
          <w:color w:val="auto"/>
          <w:sz w:val="18"/>
          <w:szCs w:val="18"/>
          <w:lang w:val="en-US" w:eastAsia="zh-CN" w:bidi="ar-SA"/>
        </w:rPr>
        <w:t>的销售</w:t>
      </w:r>
      <w:r>
        <w:rPr>
          <w:rFonts w:hint="eastAsia" w:ascii="宋体" w:hAnsi="宋体" w:eastAsia="宋体" w:cs="宋体"/>
          <w:bCs/>
          <w:color w:val="auto"/>
          <w:sz w:val="18"/>
          <w:szCs w:val="18"/>
          <w:lang w:val="en-US" w:eastAsia="zh-CN" w:bidi="ar-SA"/>
        </w:rPr>
        <w:t>渠道，申购确认时效可能存在</w:t>
      </w:r>
      <w:r>
        <w:rPr>
          <w:rFonts w:ascii="宋体" w:hAnsi="宋体" w:eastAsia="宋体" w:cs="宋体"/>
          <w:bCs/>
          <w:color w:val="auto"/>
          <w:sz w:val="18"/>
          <w:szCs w:val="18"/>
          <w:lang w:val="en-US" w:eastAsia="zh-CN" w:bidi="ar-SA"/>
        </w:rPr>
        <w:t>差异</w:t>
      </w:r>
      <w:r>
        <w:rPr>
          <w:rFonts w:hint="eastAsia" w:ascii="宋体" w:hAnsi="宋体" w:eastAsia="宋体" w:cs="宋体"/>
          <w:bCs/>
          <w:color w:val="auto"/>
          <w:sz w:val="18"/>
          <w:szCs w:val="18"/>
          <w:lang w:val="en-US" w:eastAsia="zh-CN" w:bidi="ar-SA"/>
        </w:rPr>
        <w:t>。</w:t>
      </w:r>
    </w:p>
    <w:p w14:paraId="1E53AFAA">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投资者通过</w:t>
      </w:r>
      <w:r>
        <w:rPr>
          <w:rFonts w:hint="eastAsia" w:ascii="宋体" w:hAnsi="宋体" w:eastAsia="宋体" w:cs="宋体"/>
          <w:bCs/>
          <w:color w:val="auto"/>
          <w:sz w:val="18"/>
          <w:szCs w:val="18"/>
          <w:lang w:val="en-US" w:eastAsia="zh-CN" w:bidi="ar-SA"/>
        </w:rPr>
        <w:t>销售机构线下</w:t>
      </w:r>
      <w:r>
        <w:rPr>
          <w:rFonts w:ascii="宋体" w:hAnsi="宋体" w:eastAsia="宋体" w:cs="宋体"/>
          <w:bCs/>
          <w:color w:val="auto"/>
          <w:sz w:val="18"/>
          <w:szCs w:val="18"/>
          <w:lang w:val="en-US" w:eastAsia="zh-CN" w:bidi="ar-SA"/>
        </w:rPr>
        <w:t>渠道申购</w:t>
      </w:r>
      <w:r>
        <w:rPr>
          <w:rFonts w:hint="eastAsia" w:ascii="宋体" w:hAnsi="宋体" w:eastAsia="宋体" w:cs="宋体"/>
          <w:bCs/>
          <w:color w:val="auto"/>
          <w:sz w:val="18"/>
          <w:szCs w:val="18"/>
          <w:lang w:val="en-US" w:eastAsia="zh-CN" w:bidi="ar-SA"/>
        </w:rPr>
        <w:t>的，应签署有关理财产品销售文件。</w:t>
      </w:r>
    </w:p>
    <w:p w14:paraId="1EE3753B">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投资者通过销售机构线上渠道申购的，应根据销售机构线上渠道的具体要求执行。</w:t>
      </w:r>
    </w:p>
    <w:p w14:paraId="69D14D90">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3.</w:t>
      </w:r>
      <w:r>
        <w:rPr>
          <w:rFonts w:hint="eastAsia" w:ascii="宋体" w:hAnsi="宋体" w:eastAsia="宋体" w:cs="宋体"/>
          <w:b/>
          <w:bCs/>
          <w:color w:val="auto"/>
          <w:sz w:val="18"/>
          <w:szCs w:val="18"/>
          <w:lang w:val="en-US" w:eastAsia="zh-CN" w:bidi="ar-SA"/>
        </w:rPr>
        <w:t>申购的确认</w:t>
      </w:r>
    </w:p>
    <w:p w14:paraId="5128BC22">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详见《产品说明书》“第二条 理财产品基本情况”。</w:t>
      </w:r>
    </w:p>
    <w:p w14:paraId="47D89866">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color w:val="auto"/>
          <w:sz w:val="18"/>
          <w:szCs w:val="18"/>
          <w:lang w:val="en-US" w:eastAsia="zh-CN" w:bidi="ar-SA"/>
        </w:rPr>
        <w:t>提交申购申请并不代表申购成功，产品管理人将在申购确认日确认投资者是否申购成功，是否成功以管理人的确认结果为准。</w:t>
      </w:r>
    </w:p>
    <w:p w14:paraId="55C9BB6C">
      <w:pPr>
        <w:spacing w:line="360" w:lineRule="auto"/>
        <w:ind w:firstLine="361" w:firstLineChars="200"/>
        <w:rPr>
          <w:rFonts w:ascii="宋体" w:hAnsi="宋体" w:cs="宋体"/>
          <w:b/>
          <w:bCs/>
          <w:sz w:val="18"/>
          <w:szCs w:val="18"/>
        </w:rPr>
      </w:pPr>
      <w:r>
        <w:rPr>
          <w:rFonts w:ascii="宋体" w:hAnsi="宋体" w:cs="宋体"/>
          <w:b/>
          <w:bCs/>
          <w:sz w:val="18"/>
          <w:szCs w:val="18"/>
        </w:rPr>
        <w:t>4</w:t>
      </w:r>
      <w:r>
        <w:rPr>
          <w:rFonts w:hint="eastAsia" w:ascii="宋体" w:hAnsi="宋体" w:cs="宋体"/>
          <w:b/>
          <w:bCs/>
          <w:sz w:val="18"/>
          <w:szCs w:val="18"/>
        </w:rPr>
        <w:t>.申购</w:t>
      </w:r>
      <w:r>
        <w:rPr>
          <w:rFonts w:ascii="宋体" w:hAnsi="宋体" w:cs="宋体"/>
          <w:b/>
          <w:bCs/>
          <w:sz w:val="18"/>
          <w:szCs w:val="18"/>
        </w:rPr>
        <w:t>的价格</w:t>
      </w:r>
    </w:p>
    <w:p w14:paraId="7C1AF63F">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申购价格为申购日的产品份额净值。</w:t>
      </w:r>
    </w:p>
    <w:p w14:paraId="659B84D3">
      <w:pPr>
        <w:spacing w:line="360" w:lineRule="auto"/>
        <w:ind w:firstLine="361" w:firstLineChars="200"/>
        <w:rPr>
          <w:rFonts w:ascii="宋体" w:hAnsi="宋体" w:cs="宋体"/>
          <w:b/>
          <w:bCs/>
          <w:sz w:val="18"/>
          <w:szCs w:val="18"/>
        </w:rPr>
      </w:pPr>
      <w:r>
        <w:rPr>
          <w:rFonts w:ascii="宋体" w:hAnsi="宋体" w:cs="宋体"/>
          <w:b/>
          <w:bCs/>
          <w:sz w:val="18"/>
          <w:szCs w:val="18"/>
        </w:rPr>
        <w:t>5.</w:t>
      </w:r>
      <w:r>
        <w:rPr>
          <w:rFonts w:hint="eastAsia" w:ascii="宋体" w:hAnsi="宋体" w:cs="宋体"/>
          <w:b/>
          <w:bCs/>
          <w:sz w:val="18"/>
          <w:szCs w:val="18"/>
        </w:rPr>
        <w:t>申购的</w:t>
      </w:r>
      <w:r>
        <w:rPr>
          <w:rFonts w:ascii="宋体" w:hAnsi="宋体" w:cs="宋体"/>
          <w:b/>
          <w:bCs/>
          <w:sz w:val="18"/>
          <w:szCs w:val="18"/>
        </w:rPr>
        <w:t>费用</w:t>
      </w:r>
    </w:p>
    <w:p w14:paraId="4A561E2C">
      <w:pPr>
        <w:spacing w:line="360" w:lineRule="auto"/>
        <w:ind w:firstLine="360" w:firstLineChars="200"/>
        <w:rPr>
          <w:rFonts w:ascii="Calibri" w:hAnsi="Calibri" w:cs="宋体"/>
          <w:bCs/>
          <w:sz w:val="18"/>
          <w:szCs w:val="18"/>
        </w:rPr>
      </w:pPr>
      <w:r>
        <w:rPr>
          <w:rFonts w:hint="eastAsia" w:ascii="宋体" w:hAnsi="宋体" w:cs="宋体"/>
          <w:sz w:val="18"/>
          <w:szCs w:val="18"/>
        </w:rPr>
        <w:t>详见</w:t>
      </w:r>
      <w:r>
        <w:rPr>
          <w:rFonts w:hint="eastAsia" w:ascii="宋体" w:hAnsi="宋体" w:eastAsia="宋体" w:cs="宋体"/>
          <w:sz w:val="18"/>
          <w:szCs w:val="18"/>
        </w:rPr>
        <w:t>《产品说明书》“第二条</w:t>
      </w:r>
      <w:r>
        <w:rPr>
          <w:rFonts w:ascii="宋体" w:hAnsi="宋体" w:eastAsia="宋体" w:cs="宋体"/>
          <w:sz w:val="18"/>
          <w:szCs w:val="18"/>
        </w:rPr>
        <w:t xml:space="preserve"> </w:t>
      </w:r>
      <w:r>
        <w:rPr>
          <w:rFonts w:hint="eastAsia" w:ascii="宋体" w:hAnsi="宋体" w:eastAsia="宋体" w:cs="宋体"/>
          <w:sz w:val="18"/>
          <w:szCs w:val="18"/>
        </w:rPr>
        <w:t>理财产品基本情况”</w:t>
      </w:r>
      <w:r>
        <w:rPr>
          <w:rFonts w:hint="eastAsia" w:ascii="Calibri" w:hAnsi="Calibri" w:cs="宋体"/>
          <w:bCs/>
          <w:sz w:val="18"/>
          <w:szCs w:val="18"/>
        </w:rPr>
        <w:t>。</w:t>
      </w:r>
    </w:p>
    <w:p w14:paraId="46FF601B">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bCs/>
          <w:color w:val="auto"/>
          <w:sz w:val="18"/>
          <w:szCs w:val="18"/>
          <w:lang w:val="en-US" w:eastAsia="zh-CN" w:bidi="ar-SA"/>
        </w:rPr>
        <w:t>6.</w:t>
      </w:r>
      <w:r>
        <w:rPr>
          <w:rFonts w:hint="eastAsia" w:ascii="宋体" w:hAnsi="宋体" w:eastAsia="宋体" w:cs="宋体"/>
          <w:b/>
          <w:bCs/>
          <w:color w:val="000000"/>
          <w:sz w:val="18"/>
          <w:szCs w:val="18"/>
          <w:lang w:val="en-US" w:eastAsia="zh-CN" w:bidi="ar-SA"/>
        </w:rPr>
        <w:t>申购份额计算</w:t>
      </w:r>
    </w:p>
    <w:p w14:paraId="385910D2">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本产品的申购金额包括申购费用和净申购金额。申购份额的计算公式为：</w:t>
      </w:r>
    </w:p>
    <w:p w14:paraId="40518377">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净申购金额</w:t>
      </w:r>
      <w:r>
        <w:rPr>
          <w:rFonts w:ascii="宋体" w:hAnsi="宋体" w:eastAsia="宋体" w:cs="宋体"/>
          <w:bCs/>
          <w:color w:val="auto"/>
          <w:sz w:val="18"/>
          <w:szCs w:val="18"/>
          <w:lang w:val="en-US" w:eastAsia="zh-CN" w:bidi="ar-SA"/>
        </w:rPr>
        <w:t>=申购金额/（1+申购费率）</w:t>
      </w:r>
    </w:p>
    <w:p w14:paraId="6236ADF8">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申购费用</w:t>
      </w:r>
      <w:r>
        <w:rPr>
          <w:rFonts w:ascii="宋体" w:hAnsi="宋体" w:eastAsia="宋体" w:cs="宋体"/>
          <w:bCs/>
          <w:color w:val="auto"/>
          <w:sz w:val="18"/>
          <w:szCs w:val="18"/>
          <w:lang w:val="en-US" w:eastAsia="zh-CN" w:bidi="ar-SA"/>
        </w:rPr>
        <w:t>=申购金额－净申购金额</w:t>
      </w:r>
    </w:p>
    <w:p w14:paraId="484FE93B">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申购份额</w:t>
      </w:r>
      <w:r>
        <w:rPr>
          <w:rFonts w:ascii="宋体" w:hAnsi="宋体" w:eastAsia="宋体" w:cs="宋体"/>
          <w:bCs/>
          <w:color w:val="auto"/>
          <w:sz w:val="18"/>
          <w:szCs w:val="18"/>
          <w:lang w:val="en-US" w:eastAsia="zh-CN" w:bidi="ar-SA"/>
        </w:rPr>
        <w:t>=净申购金额/申购日产品份额净值</w:t>
      </w:r>
    </w:p>
    <w:p w14:paraId="66D6E33B">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上述计算结果均按四舍五入方法，保留到小数点后</w:t>
      </w:r>
      <w:r>
        <w:rPr>
          <w:rFonts w:ascii="宋体" w:hAnsi="宋体" w:eastAsia="宋体" w:cs="宋体"/>
          <w:bCs/>
          <w:color w:val="auto"/>
          <w:sz w:val="18"/>
          <w:szCs w:val="18"/>
          <w:lang w:val="en-US" w:eastAsia="zh-CN" w:bidi="ar-SA"/>
        </w:rPr>
        <w:t>2位，由此产生的收益或损失由理财产品承担。</w:t>
      </w:r>
    </w:p>
    <w:p w14:paraId="5B1086AB">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7.</w:t>
      </w:r>
      <w:r>
        <w:rPr>
          <w:rFonts w:hint="eastAsia" w:ascii="宋体" w:hAnsi="宋体" w:eastAsia="宋体" w:cs="宋体"/>
          <w:b/>
          <w:color w:val="auto"/>
          <w:sz w:val="18"/>
          <w:szCs w:val="18"/>
          <w:lang w:val="en-US" w:eastAsia="zh-CN" w:bidi="ar-SA"/>
        </w:rPr>
        <w:t>申购的起点和递增金额</w:t>
      </w:r>
    </w:p>
    <w:p w14:paraId="5B7C7A33">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w:t>
      </w:r>
      <w:r>
        <w:rPr>
          <w:rFonts w:ascii="宋体" w:hAnsi="宋体" w:eastAsia="宋体" w:cs="宋体"/>
          <w:color w:val="auto"/>
          <w:sz w:val="18"/>
          <w:szCs w:val="18"/>
          <w:lang w:val="en-US" w:eastAsia="zh-CN" w:bidi="ar-SA"/>
        </w:rPr>
        <w:t xml:space="preserve"> </w:t>
      </w:r>
      <w:r>
        <w:rPr>
          <w:rFonts w:hint="eastAsia" w:ascii="宋体" w:hAnsi="宋体" w:eastAsia="宋体" w:cs="宋体"/>
          <w:color w:val="auto"/>
          <w:sz w:val="18"/>
          <w:szCs w:val="18"/>
          <w:lang w:val="en-US" w:eastAsia="zh-CN" w:bidi="ar-SA"/>
        </w:rPr>
        <w:t>理财产品基本情况”。</w:t>
      </w:r>
    </w:p>
    <w:p w14:paraId="2542D79E">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8.</w:t>
      </w:r>
      <w:r>
        <w:rPr>
          <w:rFonts w:hint="eastAsia" w:ascii="宋体" w:hAnsi="宋体" w:eastAsia="宋体" w:cs="宋体"/>
          <w:b/>
          <w:color w:val="auto"/>
          <w:sz w:val="18"/>
          <w:szCs w:val="18"/>
          <w:lang w:val="en-US" w:eastAsia="zh-CN" w:bidi="ar-SA"/>
        </w:rPr>
        <w:t>申购</w:t>
      </w:r>
      <w:r>
        <w:rPr>
          <w:rFonts w:ascii="宋体" w:hAnsi="宋体" w:eastAsia="宋体" w:cs="宋体"/>
          <w:b/>
          <w:color w:val="auto"/>
          <w:sz w:val="18"/>
          <w:szCs w:val="18"/>
          <w:lang w:val="en-US" w:eastAsia="zh-CN" w:bidi="ar-SA"/>
        </w:rPr>
        <w:t>的数量限制</w:t>
      </w:r>
    </w:p>
    <w:p w14:paraId="1EAEA2DE">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w:t>
      </w:r>
      <w:r>
        <w:rPr>
          <w:rFonts w:ascii="宋体" w:hAnsi="宋体" w:eastAsia="宋体" w:cs="宋体"/>
          <w:color w:val="auto"/>
          <w:sz w:val="18"/>
          <w:szCs w:val="18"/>
          <w:lang w:val="en-US" w:eastAsia="zh-CN" w:bidi="ar-SA"/>
        </w:rPr>
        <w:t xml:space="preserve"> </w:t>
      </w:r>
      <w:r>
        <w:rPr>
          <w:rFonts w:hint="eastAsia" w:ascii="宋体" w:hAnsi="宋体" w:eastAsia="宋体" w:cs="宋体"/>
          <w:color w:val="auto"/>
          <w:sz w:val="18"/>
          <w:szCs w:val="18"/>
          <w:lang w:val="en-US" w:eastAsia="zh-CN" w:bidi="ar-SA"/>
        </w:rPr>
        <w:t>理财产品基本情况”。</w:t>
      </w:r>
    </w:p>
    <w:p w14:paraId="3FAA217B">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（二）理财产品的赎回</w:t>
      </w:r>
    </w:p>
    <w:p w14:paraId="18CDDCF1">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1.</w:t>
      </w:r>
      <w:r>
        <w:rPr>
          <w:rFonts w:hint="eastAsia" w:ascii="宋体" w:hAnsi="宋体" w:eastAsia="宋体" w:cs="宋体"/>
          <w:b/>
          <w:bCs/>
          <w:color w:val="auto"/>
          <w:sz w:val="18"/>
          <w:szCs w:val="18"/>
          <w:lang w:val="en-US" w:eastAsia="zh-CN" w:bidi="ar-SA"/>
        </w:rPr>
        <w:t>赎回的时间</w:t>
      </w:r>
    </w:p>
    <w:p w14:paraId="45AABEB5">
      <w:pPr>
        <w:ind w:firstLine="360"/>
        <w:jc w:val="both"/>
        <w:rPr>
          <w:rFonts w:ascii="宋体" w:hAnsi="宋体" w:eastAsia="宋体" w:cs="Calibri"/>
          <w:bCs/>
          <w:kern w:val="2"/>
          <w:sz w:val="18"/>
          <w:szCs w:val="18"/>
          <w:lang w:val="en-US" w:eastAsia="zh-CN" w:bidi="ar-SA"/>
        </w:rPr>
      </w:pPr>
      <w:r>
        <w:rPr>
          <w:rFonts w:hint="eastAsia" w:ascii="宋体" w:hAnsi="宋体" w:eastAsia="宋体" w:cs="Calibri"/>
          <w:kern w:val="2"/>
          <w:sz w:val="18"/>
          <w:szCs w:val="18"/>
          <w:lang w:val="en-US" w:eastAsia="zh-CN" w:bidi="ar-SA"/>
        </w:rPr>
        <w:t>本产品</w:t>
      </w:r>
      <w:r>
        <w:rPr>
          <w:rFonts w:hint="eastAsia" w:ascii="宋体" w:hAnsi="宋体" w:eastAsia="宋体" w:cs="Calibri"/>
          <w:bCs/>
          <w:kern w:val="2"/>
          <w:sz w:val="18"/>
          <w:szCs w:val="18"/>
          <w:lang w:val="en-US" w:eastAsia="zh-CN" w:bidi="ar-SA"/>
        </w:rPr>
        <w:t>具体赎回时间以</w:t>
      </w:r>
      <w:r>
        <w:rPr>
          <w:rFonts w:hint="eastAsia" w:ascii="宋体" w:hAnsi="宋体" w:eastAsia="宋体" w:cs="Calibri"/>
          <w:kern w:val="2"/>
          <w:sz w:val="18"/>
          <w:szCs w:val="18"/>
          <w:lang w:val="en-US" w:eastAsia="zh-CN" w:bidi="ar-SA"/>
        </w:rPr>
        <w:t>《产品说明书》“第二条</w:t>
      </w:r>
      <w:r>
        <w:rPr>
          <w:rFonts w:ascii="宋体" w:hAnsi="宋体" w:eastAsia="宋体" w:cs="Calibri"/>
          <w:kern w:val="2"/>
          <w:sz w:val="18"/>
          <w:szCs w:val="18"/>
          <w:lang w:val="en-US" w:eastAsia="zh-CN" w:bidi="ar-SA"/>
        </w:rPr>
        <w:t xml:space="preserve"> </w:t>
      </w:r>
      <w:r>
        <w:rPr>
          <w:rFonts w:hint="eastAsia" w:ascii="宋体" w:hAnsi="宋体" w:eastAsia="宋体" w:cs="Calibri"/>
          <w:kern w:val="2"/>
          <w:sz w:val="18"/>
          <w:szCs w:val="18"/>
          <w:lang w:val="en-US" w:eastAsia="zh-CN" w:bidi="ar-SA"/>
        </w:rPr>
        <w:t>理财产品基本情况”</w:t>
      </w:r>
      <w:r>
        <w:rPr>
          <w:rFonts w:hint="eastAsia" w:ascii="宋体" w:hAnsi="宋体" w:eastAsia="宋体" w:cs="Calibri"/>
          <w:bCs/>
          <w:kern w:val="2"/>
          <w:sz w:val="18"/>
          <w:szCs w:val="18"/>
          <w:lang w:val="en-US" w:eastAsia="zh-CN" w:bidi="ar-SA"/>
        </w:rPr>
        <w:t>为准。</w:t>
      </w:r>
    </w:p>
    <w:p w14:paraId="49455DB7">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2.赎回的方式</w:t>
      </w:r>
    </w:p>
    <w:p w14:paraId="03C9DBA0">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投资者可通过</w:t>
      </w:r>
      <w:r>
        <w:rPr>
          <w:rFonts w:hint="eastAsia" w:ascii="宋体" w:hAnsi="宋体" w:eastAsia="宋体" w:cs="宋体"/>
          <w:color w:val="auto"/>
          <w:sz w:val="18"/>
          <w:szCs w:val="18"/>
          <w:lang w:val="en-US" w:eastAsia="zh-CN" w:bidi="ar-SA"/>
        </w:rPr>
        <w:t>销售机构的销售</w:t>
      </w:r>
      <w:r>
        <w:rPr>
          <w:rFonts w:ascii="宋体" w:hAnsi="宋体" w:eastAsia="宋体" w:cs="宋体"/>
          <w:color w:val="auto"/>
          <w:sz w:val="18"/>
          <w:szCs w:val="18"/>
          <w:lang w:val="en-US" w:eastAsia="zh-CN" w:bidi="ar-SA"/>
        </w:rPr>
        <w:t>渠道</w:t>
      </w:r>
      <w:r>
        <w:rPr>
          <w:rFonts w:hint="eastAsia" w:ascii="宋体" w:hAnsi="宋体" w:eastAsia="宋体" w:cs="宋体"/>
          <w:color w:val="auto"/>
          <w:sz w:val="18"/>
          <w:szCs w:val="18"/>
          <w:lang w:val="en-US" w:eastAsia="zh-CN" w:bidi="ar-SA"/>
        </w:rPr>
        <w:t>赎回</w:t>
      </w:r>
      <w:r>
        <w:rPr>
          <w:rFonts w:ascii="宋体" w:hAnsi="宋体" w:eastAsia="宋体" w:cs="宋体"/>
          <w:color w:val="auto"/>
          <w:sz w:val="18"/>
          <w:szCs w:val="18"/>
          <w:lang w:val="en-US" w:eastAsia="zh-CN" w:bidi="ar-SA"/>
        </w:rPr>
        <w:t>。</w:t>
      </w:r>
      <w:r>
        <w:rPr>
          <w:rFonts w:hint="eastAsia" w:ascii="宋体" w:hAnsi="宋体" w:eastAsia="宋体" w:cs="宋体"/>
          <w:bCs/>
          <w:color w:val="auto"/>
          <w:sz w:val="18"/>
          <w:szCs w:val="18"/>
          <w:lang w:val="en-US" w:eastAsia="zh-CN" w:bidi="ar-SA"/>
        </w:rPr>
        <w:t>不同销售机构</w:t>
      </w:r>
      <w:r>
        <w:rPr>
          <w:rFonts w:ascii="宋体" w:hAnsi="宋体" w:eastAsia="宋体" w:cs="宋体"/>
          <w:bCs/>
          <w:color w:val="auto"/>
          <w:sz w:val="18"/>
          <w:szCs w:val="18"/>
          <w:lang w:val="en-US" w:eastAsia="zh-CN" w:bidi="ar-SA"/>
        </w:rPr>
        <w:t>的销售</w:t>
      </w:r>
      <w:r>
        <w:rPr>
          <w:rFonts w:hint="eastAsia" w:ascii="宋体" w:hAnsi="宋体" w:eastAsia="宋体" w:cs="宋体"/>
          <w:bCs/>
          <w:color w:val="auto"/>
          <w:sz w:val="18"/>
          <w:szCs w:val="18"/>
          <w:lang w:val="en-US" w:eastAsia="zh-CN" w:bidi="ar-SA"/>
        </w:rPr>
        <w:t>渠道，赎回确认时效可能存在</w:t>
      </w:r>
      <w:r>
        <w:rPr>
          <w:rFonts w:ascii="宋体" w:hAnsi="宋体" w:eastAsia="宋体" w:cs="宋体"/>
          <w:bCs/>
          <w:color w:val="auto"/>
          <w:sz w:val="18"/>
          <w:szCs w:val="18"/>
          <w:lang w:val="en-US" w:eastAsia="zh-CN" w:bidi="ar-SA"/>
        </w:rPr>
        <w:t>差异</w:t>
      </w:r>
      <w:r>
        <w:rPr>
          <w:rFonts w:hint="eastAsia" w:ascii="宋体" w:hAnsi="宋体" w:eastAsia="宋体" w:cs="宋体"/>
          <w:bCs/>
          <w:color w:val="auto"/>
          <w:sz w:val="18"/>
          <w:szCs w:val="18"/>
          <w:lang w:val="en-US" w:eastAsia="zh-CN" w:bidi="ar-SA"/>
        </w:rPr>
        <w:t>。</w:t>
      </w:r>
    </w:p>
    <w:p w14:paraId="12355D97">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投资者通过</w:t>
      </w:r>
      <w:r>
        <w:rPr>
          <w:rFonts w:hint="eastAsia" w:ascii="宋体" w:hAnsi="宋体" w:eastAsia="宋体" w:cs="宋体"/>
          <w:color w:val="auto"/>
          <w:sz w:val="18"/>
          <w:szCs w:val="18"/>
          <w:lang w:val="en-US" w:eastAsia="zh-CN" w:bidi="ar-SA"/>
        </w:rPr>
        <w:t>销售机构线下</w:t>
      </w:r>
      <w:r>
        <w:rPr>
          <w:rFonts w:ascii="宋体" w:hAnsi="宋体" w:eastAsia="宋体" w:cs="宋体"/>
          <w:color w:val="auto"/>
          <w:sz w:val="18"/>
          <w:szCs w:val="18"/>
          <w:lang w:val="en-US" w:eastAsia="zh-CN" w:bidi="ar-SA"/>
        </w:rPr>
        <w:t>渠道赎回的</w:t>
      </w:r>
      <w:r>
        <w:rPr>
          <w:rFonts w:hint="eastAsia" w:ascii="宋体" w:hAnsi="宋体" w:eastAsia="宋体" w:cs="宋体"/>
          <w:color w:val="auto"/>
          <w:sz w:val="18"/>
          <w:szCs w:val="18"/>
          <w:lang w:val="en-US" w:eastAsia="zh-CN" w:bidi="ar-SA"/>
        </w:rPr>
        <w:t>，应签署</w:t>
      </w:r>
      <w:r>
        <w:rPr>
          <w:rFonts w:hint="eastAsia" w:ascii="宋体" w:hAnsi="宋体" w:eastAsia="宋体" w:cs="宋体"/>
          <w:bCs/>
          <w:color w:val="auto"/>
          <w:sz w:val="18"/>
          <w:szCs w:val="18"/>
          <w:lang w:val="en-US" w:eastAsia="zh-CN" w:bidi="ar-SA"/>
        </w:rPr>
        <w:t>有关理财产品销售文件</w:t>
      </w:r>
      <w:r>
        <w:rPr>
          <w:rFonts w:hint="eastAsia" w:ascii="宋体" w:hAnsi="宋体" w:eastAsia="宋体" w:cs="宋体"/>
          <w:color w:val="auto"/>
          <w:sz w:val="18"/>
          <w:szCs w:val="18"/>
          <w:lang w:val="en-US" w:eastAsia="zh-CN" w:bidi="ar-SA"/>
        </w:rPr>
        <w:t>。</w:t>
      </w:r>
    </w:p>
    <w:p w14:paraId="771DF025">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color w:val="auto"/>
          <w:sz w:val="18"/>
          <w:szCs w:val="18"/>
          <w:lang w:val="en-US" w:eastAsia="zh-CN" w:bidi="ar-SA"/>
        </w:rPr>
        <w:t>投资者通过销售机构线上渠道赎回的，</w:t>
      </w:r>
      <w:r>
        <w:rPr>
          <w:rFonts w:hint="eastAsia" w:ascii="宋体" w:hAnsi="宋体" w:eastAsia="宋体" w:cs="宋体"/>
          <w:bCs/>
          <w:color w:val="auto"/>
          <w:sz w:val="18"/>
          <w:szCs w:val="18"/>
          <w:lang w:val="en-US" w:eastAsia="zh-CN" w:bidi="ar-SA"/>
        </w:rPr>
        <w:t>应根据销售机构线上渠道的具体要求执行。</w:t>
      </w:r>
    </w:p>
    <w:p w14:paraId="0B6EB444">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3.</w:t>
      </w:r>
      <w:r>
        <w:rPr>
          <w:rFonts w:hint="eastAsia" w:ascii="宋体" w:hAnsi="宋体" w:eastAsia="宋体" w:cs="宋体"/>
          <w:b/>
          <w:bCs/>
          <w:color w:val="auto"/>
          <w:sz w:val="18"/>
          <w:szCs w:val="18"/>
          <w:lang w:val="en-US" w:eastAsia="zh-CN" w:bidi="ar-SA"/>
        </w:rPr>
        <w:t>赎回的确认</w:t>
      </w:r>
    </w:p>
    <w:p w14:paraId="76C904B4">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详见《产品说明书》“第二条 理财产品基本情况”。</w:t>
      </w:r>
    </w:p>
    <w:p w14:paraId="0E7BA03A">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color w:val="auto"/>
          <w:sz w:val="18"/>
          <w:szCs w:val="18"/>
          <w:lang w:val="en-US" w:eastAsia="zh-CN" w:bidi="ar-SA"/>
        </w:rPr>
        <w:t>提交赎回申请并不代表赎回成功，产品管理人将在赎回确认日确认投资者是否赎回成功。赎回是否成功以管理人的确认结果为准。</w:t>
      </w:r>
    </w:p>
    <w:p w14:paraId="1187EE66">
      <w:pPr>
        <w:spacing w:line="360" w:lineRule="auto"/>
        <w:ind w:firstLine="361" w:firstLineChars="200"/>
        <w:rPr>
          <w:rFonts w:ascii="宋体" w:hAnsi="宋体" w:cs="宋体"/>
          <w:b/>
          <w:bCs/>
          <w:sz w:val="18"/>
          <w:szCs w:val="18"/>
        </w:rPr>
      </w:pPr>
      <w:r>
        <w:rPr>
          <w:rFonts w:ascii="宋体" w:hAnsi="宋体" w:cs="宋体"/>
          <w:b/>
          <w:bCs/>
          <w:sz w:val="18"/>
          <w:szCs w:val="18"/>
        </w:rPr>
        <w:t>4</w:t>
      </w:r>
      <w:r>
        <w:rPr>
          <w:rFonts w:hint="eastAsia" w:ascii="宋体" w:hAnsi="宋体" w:cs="宋体"/>
          <w:b/>
          <w:bCs/>
          <w:sz w:val="18"/>
          <w:szCs w:val="18"/>
        </w:rPr>
        <w:t>.赎回</w:t>
      </w:r>
      <w:r>
        <w:rPr>
          <w:rFonts w:ascii="宋体" w:hAnsi="宋体" w:cs="宋体"/>
          <w:b/>
          <w:bCs/>
          <w:sz w:val="18"/>
          <w:szCs w:val="18"/>
        </w:rPr>
        <w:t>的价格</w:t>
      </w:r>
    </w:p>
    <w:p w14:paraId="11EDCE7F">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bCs/>
          <w:color w:val="auto"/>
          <w:sz w:val="18"/>
          <w:szCs w:val="18"/>
          <w:lang w:val="en-US" w:eastAsia="zh-CN" w:bidi="ar-SA"/>
        </w:rPr>
        <w:t>赎回</w:t>
      </w:r>
      <w:r>
        <w:rPr>
          <w:rFonts w:ascii="宋体" w:hAnsi="宋体" w:eastAsia="宋体" w:cs="宋体"/>
          <w:bCs/>
          <w:color w:val="auto"/>
          <w:sz w:val="18"/>
          <w:szCs w:val="18"/>
          <w:lang w:val="en-US" w:eastAsia="zh-CN" w:bidi="ar-SA"/>
        </w:rPr>
        <w:t>价格为赎回日</w:t>
      </w:r>
      <w:r>
        <w:rPr>
          <w:rFonts w:hint="eastAsia" w:ascii="宋体" w:hAnsi="宋体" w:eastAsia="宋体" w:cs="宋体"/>
          <w:bCs/>
          <w:color w:val="auto"/>
          <w:sz w:val="18"/>
          <w:szCs w:val="18"/>
          <w:lang w:val="en-US" w:eastAsia="zh-CN" w:bidi="ar-SA"/>
        </w:rPr>
        <w:t>的</w:t>
      </w:r>
      <w:r>
        <w:rPr>
          <w:rFonts w:ascii="宋体" w:hAnsi="宋体" w:eastAsia="宋体" w:cs="宋体"/>
          <w:bCs/>
          <w:color w:val="auto"/>
          <w:sz w:val="18"/>
          <w:szCs w:val="18"/>
          <w:lang w:val="en-US" w:eastAsia="zh-CN" w:bidi="ar-SA"/>
        </w:rPr>
        <w:t>产品份额净值</w:t>
      </w:r>
      <w:r>
        <w:rPr>
          <w:rFonts w:hint="eastAsia" w:ascii="宋体" w:hAnsi="宋体" w:eastAsia="宋体" w:cs="宋体"/>
          <w:bCs/>
          <w:color w:val="auto"/>
          <w:sz w:val="18"/>
          <w:szCs w:val="18"/>
          <w:lang w:val="en-US" w:eastAsia="zh-CN" w:bidi="ar-SA"/>
        </w:rPr>
        <w:t>。</w:t>
      </w:r>
    </w:p>
    <w:p w14:paraId="6CD09E0A">
      <w:pPr>
        <w:spacing w:line="360" w:lineRule="auto"/>
        <w:ind w:firstLine="361" w:firstLineChars="200"/>
        <w:rPr>
          <w:rFonts w:ascii="宋体" w:hAnsi="宋体" w:cs="宋体"/>
          <w:b/>
          <w:bCs/>
          <w:sz w:val="18"/>
          <w:szCs w:val="18"/>
        </w:rPr>
      </w:pPr>
      <w:r>
        <w:rPr>
          <w:rFonts w:ascii="宋体" w:hAnsi="宋体" w:cs="宋体"/>
          <w:b/>
          <w:bCs/>
          <w:sz w:val="18"/>
          <w:szCs w:val="18"/>
        </w:rPr>
        <w:t>5.</w:t>
      </w:r>
      <w:r>
        <w:rPr>
          <w:rFonts w:hint="eastAsia" w:ascii="宋体" w:hAnsi="宋体" w:cs="宋体"/>
          <w:b/>
          <w:bCs/>
          <w:sz w:val="18"/>
          <w:szCs w:val="18"/>
        </w:rPr>
        <w:t>赎回的</w:t>
      </w:r>
      <w:r>
        <w:rPr>
          <w:rFonts w:ascii="宋体" w:hAnsi="宋体" w:cs="宋体"/>
          <w:b/>
          <w:bCs/>
          <w:sz w:val="18"/>
          <w:szCs w:val="18"/>
        </w:rPr>
        <w:t>费用</w:t>
      </w:r>
    </w:p>
    <w:p w14:paraId="4F697C52">
      <w:pPr>
        <w:spacing w:line="360" w:lineRule="auto"/>
        <w:ind w:firstLine="360" w:firstLineChars="200"/>
        <w:rPr>
          <w:rFonts w:ascii="Calibri" w:hAnsi="Calibri" w:cs="宋体"/>
          <w:bCs/>
          <w:sz w:val="18"/>
          <w:szCs w:val="18"/>
        </w:rPr>
      </w:pPr>
      <w:r>
        <w:rPr>
          <w:rFonts w:hint="eastAsia" w:ascii="宋体" w:hAnsi="宋体" w:cs="宋体"/>
          <w:sz w:val="18"/>
          <w:szCs w:val="18"/>
        </w:rPr>
        <w:t>详见</w:t>
      </w:r>
      <w:r>
        <w:rPr>
          <w:rFonts w:hint="eastAsia" w:ascii="宋体" w:hAnsi="宋体" w:eastAsia="宋体" w:cs="宋体"/>
          <w:sz w:val="18"/>
          <w:szCs w:val="18"/>
        </w:rPr>
        <w:t>《产品说明书》“第二条</w:t>
      </w:r>
      <w:r>
        <w:rPr>
          <w:rFonts w:ascii="宋体" w:hAnsi="宋体" w:eastAsia="宋体" w:cs="宋体"/>
          <w:sz w:val="18"/>
          <w:szCs w:val="18"/>
        </w:rPr>
        <w:t xml:space="preserve"> </w:t>
      </w:r>
      <w:r>
        <w:rPr>
          <w:rFonts w:hint="eastAsia" w:ascii="宋体" w:hAnsi="宋体" w:eastAsia="宋体" w:cs="宋体"/>
          <w:sz w:val="18"/>
          <w:szCs w:val="18"/>
        </w:rPr>
        <w:t>理财产品基本情况”</w:t>
      </w:r>
      <w:r>
        <w:rPr>
          <w:rFonts w:hint="eastAsia" w:ascii="Calibri" w:hAnsi="Calibri" w:cs="宋体"/>
          <w:bCs/>
          <w:sz w:val="18"/>
          <w:szCs w:val="18"/>
        </w:rPr>
        <w:t>。</w:t>
      </w:r>
    </w:p>
    <w:p w14:paraId="156F8287">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bCs/>
          <w:color w:val="auto"/>
          <w:sz w:val="18"/>
          <w:szCs w:val="18"/>
          <w:lang w:val="en-US" w:eastAsia="zh-CN" w:bidi="ar-SA"/>
        </w:rPr>
        <w:t>6.</w:t>
      </w:r>
      <w:r>
        <w:rPr>
          <w:rFonts w:hint="eastAsia" w:ascii="宋体" w:hAnsi="宋体" w:eastAsia="宋体" w:cs="宋体"/>
          <w:b/>
          <w:bCs/>
          <w:color w:val="auto"/>
          <w:sz w:val="18"/>
          <w:szCs w:val="18"/>
          <w:lang w:val="en-US" w:eastAsia="zh-CN" w:bidi="ar-SA"/>
        </w:rPr>
        <w:t>赎回</w:t>
      </w:r>
      <w:r>
        <w:rPr>
          <w:rFonts w:hint="eastAsia" w:ascii="宋体" w:hAnsi="宋体" w:eastAsia="宋体" w:cs="宋体"/>
          <w:b/>
          <w:bCs/>
          <w:color w:val="000000"/>
          <w:sz w:val="18"/>
          <w:szCs w:val="18"/>
          <w:lang w:val="en-US" w:eastAsia="zh-CN" w:bidi="ar-SA"/>
        </w:rPr>
        <w:t>金额计算</w:t>
      </w:r>
    </w:p>
    <w:p w14:paraId="7743C23E">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本产品赎回</w:t>
      </w:r>
      <w:r>
        <w:rPr>
          <w:rFonts w:ascii="宋体" w:hAnsi="宋体" w:eastAsia="宋体" w:cs="宋体"/>
          <w:bCs/>
          <w:color w:val="auto"/>
          <w:sz w:val="18"/>
          <w:szCs w:val="18"/>
          <w:lang w:val="en-US" w:eastAsia="zh-CN" w:bidi="ar-SA"/>
        </w:rPr>
        <w:t>金额</w:t>
      </w:r>
      <w:r>
        <w:rPr>
          <w:rFonts w:hint="eastAsia" w:ascii="宋体" w:hAnsi="宋体" w:eastAsia="宋体" w:cs="宋体"/>
          <w:bCs/>
          <w:color w:val="auto"/>
          <w:sz w:val="18"/>
          <w:szCs w:val="18"/>
          <w:lang w:val="en-US" w:eastAsia="zh-CN" w:bidi="ar-SA"/>
        </w:rPr>
        <w:t>的计算公式如下：</w:t>
      </w:r>
    </w:p>
    <w:p w14:paraId="090A4440">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赎回总金额</w:t>
      </w:r>
      <w:r>
        <w:rPr>
          <w:rFonts w:ascii="宋体" w:hAnsi="宋体" w:eastAsia="宋体" w:cs="宋体"/>
          <w:color w:val="auto"/>
          <w:sz w:val="18"/>
          <w:szCs w:val="18"/>
          <w:lang w:val="en-US" w:eastAsia="zh-CN" w:bidi="ar-SA"/>
        </w:rPr>
        <w:t>=赎回份额×赎回日该产品份额净值</w:t>
      </w:r>
    </w:p>
    <w:p w14:paraId="39AB005B">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赎回费用</w:t>
      </w:r>
      <w:r>
        <w:rPr>
          <w:rFonts w:ascii="宋体" w:hAnsi="宋体" w:eastAsia="宋体" w:cs="宋体"/>
          <w:color w:val="auto"/>
          <w:sz w:val="18"/>
          <w:szCs w:val="18"/>
          <w:lang w:val="en-US" w:eastAsia="zh-CN" w:bidi="ar-SA"/>
        </w:rPr>
        <w:t>=赎回总金额×赎回费率</w:t>
      </w:r>
    </w:p>
    <w:p w14:paraId="0F673C06">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净赎回金额</w:t>
      </w:r>
      <w:r>
        <w:rPr>
          <w:rFonts w:ascii="宋体" w:hAnsi="宋体" w:eastAsia="宋体" w:cs="宋体"/>
          <w:color w:val="auto"/>
          <w:sz w:val="18"/>
          <w:szCs w:val="18"/>
          <w:lang w:val="en-US" w:eastAsia="zh-CN" w:bidi="ar-SA"/>
        </w:rPr>
        <w:t>=赎回总金额-赎回费用</w:t>
      </w:r>
    </w:p>
    <w:p w14:paraId="4D19E850">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上述计算结果均按四舍五入方法，保留到小数点后</w:t>
      </w: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位，由此产生的收益或损失由理财产品承担。</w:t>
      </w:r>
    </w:p>
    <w:p w14:paraId="46E64987">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7.</w:t>
      </w:r>
      <w:r>
        <w:rPr>
          <w:rFonts w:hint="eastAsia" w:ascii="宋体" w:hAnsi="宋体" w:eastAsia="宋体" w:cs="宋体"/>
          <w:b/>
          <w:bCs/>
          <w:color w:val="auto"/>
          <w:sz w:val="18"/>
          <w:szCs w:val="18"/>
          <w:lang w:val="en-US" w:eastAsia="zh-CN" w:bidi="ar-SA"/>
        </w:rPr>
        <w:t>赎回</w:t>
      </w:r>
      <w:r>
        <w:rPr>
          <w:rFonts w:ascii="宋体" w:hAnsi="宋体" w:eastAsia="宋体" w:cs="宋体"/>
          <w:b/>
          <w:color w:val="auto"/>
          <w:sz w:val="18"/>
          <w:szCs w:val="18"/>
          <w:lang w:val="en-US" w:eastAsia="zh-CN" w:bidi="ar-SA"/>
        </w:rPr>
        <w:t>的数量限制</w:t>
      </w:r>
    </w:p>
    <w:p w14:paraId="09CC9E1D">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w:t>
      </w:r>
      <w:r>
        <w:rPr>
          <w:rFonts w:ascii="宋体" w:hAnsi="宋体" w:eastAsia="宋体" w:cs="宋体"/>
          <w:color w:val="auto"/>
          <w:sz w:val="18"/>
          <w:szCs w:val="18"/>
          <w:lang w:val="en-US" w:eastAsia="zh-CN" w:bidi="ar-SA"/>
        </w:rPr>
        <w:t xml:space="preserve"> </w:t>
      </w:r>
      <w:r>
        <w:rPr>
          <w:rFonts w:hint="eastAsia" w:ascii="宋体" w:hAnsi="宋体" w:eastAsia="宋体" w:cs="宋体"/>
          <w:color w:val="auto"/>
          <w:sz w:val="18"/>
          <w:szCs w:val="18"/>
          <w:lang w:val="en-US" w:eastAsia="zh-CN" w:bidi="ar-SA"/>
        </w:rPr>
        <w:t>理财产品基本情况”。</w:t>
      </w:r>
    </w:p>
    <w:p w14:paraId="43919B80">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（三）申购与赎回的原则</w:t>
      </w:r>
    </w:p>
    <w:p w14:paraId="3C8B2B69">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金额申购、份额赎回</w:t>
      </w:r>
      <w:r>
        <w:rPr>
          <w:rFonts w:ascii="宋体" w:hAnsi="宋体" w:eastAsia="宋体" w:cs="宋体"/>
          <w:color w:val="auto"/>
          <w:sz w:val="18"/>
          <w:szCs w:val="18"/>
          <w:lang w:val="en-US" w:eastAsia="zh-CN" w:bidi="ar-SA"/>
        </w:rPr>
        <w:t>”</w:t>
      </w:r>
      <w:r>
        <w:rPr>
          <w:rFonts w:hint="eastAsia" w:ascii="宋体" w:hAnsi="宋体" w:eastAsia="宋体" w:cs="宋体"/>
          <w:color w:val="auto"/>
          <w:sz w:val="18"/>
          <w:szCs w:val="18"/>
          <w:lang w:val="en-US" w:eastAsia="zh-CN" w:bidi="ar-SA"/>
        </w:rPr>
        <w:t>原则，即申购以金额申请，赎回以份额申请。</w:t>
      </w:r>
    </w:p>
    <w:p w14:paraId="7D06542C">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ascii="宋体" w:hAnsi="宋体" w:eastAsia="宋体" w:cs="宋体"/>
          <w:bCs/>
          <w:color w:val="auto"/>
          <w:sz w:val="18"/>
          <w:szCs w:val="18"/>
          <w:lang w:val="en-US" w:eastAsia="zh-CN" w:bidi="ar-SA"/>
        </w:rPr>
        <w:t>申购和赎回采用“</w:t>
      </w:r>
      <w:r>
        <w:rPr>
          <w:rFonts w:hint="eastAsia" w:ascii="宋体" w:hAnsi="宋体" w:eastAsia="宋体" w:cs="宋体"/>
          <w:bCs/>
          <w:color w:val="auto"/>
          <w:sz w:val="18"/>
          <w:szCs w:val="18"/>
          <w:lang w:val="en-US" w:eastAsia="zh-CN" w:bidi="ar-SA"/>
        </w:rPr>
        <w:t>未知价</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原则，即本产品申购申请和赎回申请提交时，适用的产品份额净值都是未知的。</w:t>
      </w:r>
    </w:p>
    <w:p w14:paraId="6D3DF3F4">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3.申购、</w:t>
      </w:r>
      <w:r>
        <w:rPr>
          <w:rFonts w:hint="eastAsia" w:ascii="宋体" w:hAnsi="宋体" w:eastAsia="宋体" w:cs="宋体"/>
          <w:color w:val="auto"/>
          <w:sz w:val="18"/>
          <w:szCs w:val="18"/>
          <w:lang w:val="en-US" w:eastAsia="zh-CN" w:bidi="ar-SA"/>
        </w:rPr>
        <w:t>赎回</w:t>
      </w:r>
      <w:r>
        <w:rPr>
          <w:rFonts w:ascii="宋体" w:hAnsi="宋体" w:eastAsia="宋体" w:cs="宋体"/>
          <w:color w:val="auto"/>
          <w:sz w:val="18"/>
          <w:szCs w:val="18"/>
          <w:lang w:val="en-US" w:eastAsia="zh-CN" w:bidi="ar-SA"/>
        </w:rPr>
        <w:t>申请可以在对应申购</w:t>
      </w:r>
      <w:r>
        <w:rPr>
          <w:rFonts w:hint="eastAsia" w:ascii="宋体" w:hAnsi="宋体" w:eastAsia="宋体" w:cs="宋体"/>
          <w:color w:val="auto"/>
          <w:sz w:val="18"/>
          <w:szCs w:val="18"/>
          <w:lang w:val="en-US" w:eastAsia="zh-CN" w:bidi="ar-SA"/>
        </w:rPr>
        <w:t>日、</w:t>
      </w:r>
      <w:r>
        <w:rPr>
          <w:rFonts w:ascii="宋体" w:hAnsi="宋体" w:eastAsia="宋体" w:cs="宋体"/>
          <w:color w:val="auto"/>
          <w:sz w:val="18"/>
          <w:szCs w:val="18"/>
          <w:lang w:val="en-US" w:eastAsia="zh-CN" w:bidi="ar-SA"/>
        </w:rPr>
        <w:t>赎回</w:t>
      </w:r>
      <w:r>
        <w:rPr>
          <w:rFonts w:hint="eastAsia" w:ascii="宋体" w:hAnsi="宋体" w:eastAsia="宋体" w:cs="宋体"/>
          <w:color w:val="auto"/>
          <w:sz w:val="18"/>
          <w:szCs w:val="18"/>
          <w:lang w:val="en-US" w:eastAsia="zh-CN" w:bidi="ar-SA"/>
        </w:rPr>
        <w:t>日交易时间截止</w:t>
      </w:r>
      <w:r>
        <w:rPr>
          <w:rFonts w:ascii="宋体" w:hAnsi="宋体" w:eastAsia="宋体" w:cs="宋体"/>
          <w:color w:val="auto"/>
          <w:sz w:val="18"/>
          <w:szCs w:val="18"/>
          <w:lang w:val="en-US" w:eastAsia="zh-CN" w:bidi="ar-SA"/>
        </w:rPr>
        <w:t>前撤销，最终申</w:t>
      </w:r>
      <w:r>
        <w:rPr>
          <w:rFonts w:hint="eastAsia" w:ascii="宋体" w:hAnsi="宋体" w:eastAsia="宋体" w:cs="宋体"/>
          <w:color w:val="auto"/>
          <w:sz w:val="18"/>
          <w:szCs w:val="18"/>
          <w:lang w:val="en-US" w:eastAsia="zh-CN" w:bidi="ar-SA"/>
        </w:rPr>
        <w:t>请</w:t>
      </w:r>
      <w:r>
        <w:rPr>
          <w:rFonts w:ascii="宋体" w:hAnsi="宋体" w:eastAsia="宋体" w:cs="宋体"/>
          <w:color w:val="auto"/>
          <w:sz w:val="18"/>
          <w:szCs w:val="18"/>
          <w:lang w:val="en-US" w:eastAsia="zh-CN" w:bidi="ar-SA"/>
        </w:rPr>
        <w:t>确认情况以投资者在</w:t>
      </w:r>
      <w:r>
        <w:rPr>
          <w:rFonts w:hint="eastAsia" w:ascii="宋体" w:hAnsi="宋体" w:eastAsia="宋体" w:cs="宋体"/>
          <w:color w:val="auto"/>
          <w:sz w:val="18"/>
          <w:szCs w:val="18"/>
          <w:lang w:val="en-US" w:eastAsia="zh-CN" w:bidi="ar-SA"/>
        </w:rPr>
        <w:t>销售机构线下渠道</w:t>
      </w:r>
      <w:r>
        <w:rPr>
          <w:rFonts w:ascii="宋体" w:hAnsi="宋体" w:eastAsia="宋体" w:cs="宋体"/>
          <w:color w:val="auto"/>
          <w:sz w:val="18"/>
          <w:szCs w:val="18"/>
          <w:lang w:val="en-US" w:eastAsia="zh-CN" w:bidi="ar-SA"/>
        </w:rPr>
        <w:t>或线上渠道确认的结果为准。</w:t>
      </w:r>
    </w:p>
    <w:p w14:paraId="41C8294C">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4.</w:t>
      </w:r>
      <w:r>
        <w:rPr>
          <w:rFonts w:hint="eastAsia" w:ascii="宋体" w:hAnsi="宋体" w:eastAsia="宋体" w:cs="宋体"/>
          <w:color w:val="auto"/>
          <w:sz w:val="18"/>
          <w:szCs w:val="18"/>
          <w:lang w:val="en-US" w:eastAsia="zh-CN" w:bidi="ar-SA"/>
        </w:rPr>
        <w:t>赎回遵循“先进先出”原则，即按照投资者认购、申购的先后次序进行顺序赎回。</w:t>
      </w:r>
    </w:p>
    <w:p w14:paraId="2FF416CF">
      <w:pPr>
        <w:spacing w:line="360" w:lineRule="auto"/>
        <w:ind w:firstLine="271" w:firstLineChars="150"/>
        <w:rPr>
          <w:rFonts w:ascii="宋体" w:hAnsi="宋体" w:eastAsia="宋体" w:cs="宋体"/>
          <w:b/>
          <w:sz w:val="18"/>
          <w:szCs w:val="18"/>
        </w:rPr>
      </w:pPr>
      <w:r>
        <w:rPr>
          <w:rFonts w:hint="eastAsia" w:ascii="宋体" w:hAnsi="宋体" w:eastAsia="宋体" w:cs="宋体"/>
          <w:b/>
          <w:sz w:val="18"/>
          <w:szCs w:val="18"/>
        </w:rPr>
        <w:t>（四）拒绝或暂停申购的情形</w:t>
      </w:r>
    </w:p>
    <w:p w14:paraId="5812D353">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发生下列情况时，产品管理人可拒绝或暂停接受投资者的</w:t>
      </w:r>
      <w:r>
        <w:rPr>
          <w:rFonts w:ascii="宋体" w:hAnsi="宋体" w:eastAsia="宋体" w:cs="宋体"/>
          <w:color w:val="auto"/>
          <w:sz w:val="18"/>
          <w:szCs w:val="18"/>
          <w:lang w:val="en-US" w:eastAsia="zh-CN" w:bidi="ar-SA"/>
        </w:rPr>
        <w:t>申购申请：</w:t>
      </w:r>
    </w:p>
    <w:p w14:paraId="0B9AA58D">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.因不可抗力导致理财产品无法正常运作。</w:t>
      </w:r>
    </w:p>
    <w:p w14:paraId="51426F9B">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.发生暂停理财资产估值情况时，产品管理人可暂停接受投资者的申购申请。</w:t>
      </w:r>
    </w:p>
    <w:p w14:paraId="7494396C">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w:t>
      </w:r>
      <w:r>
        <w:rPr>
          <w:rFonts w:hint="eastAsia" w:ascii="宋体" w:hAnsi="宋体" w:eastAsia="宋体" w:cs="宋体"/>
          <w:color w:val="auto"/>
          <w:sz w:val="18"/>
          <w:szCs w:val="18"/>
          <w:lang w:val="en-US" w:eastAsia="zh-CN" w:bidi="ar-SA"/>
        </w:rPr>
        <w:t>.证券交易所或银行间市场在交易时间非正常停市，导致产品管理人无法计算当日理财资产净值。</w:t>
      </w:r>
    </w:p>
    <w:p w14:paraId="529F6AA7">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4</w:t>
      </w:r>
      <w:r>
        <w:rPr>
          <w:rFonts w:hint="eastAsia" w:ascii="宋体" w:hAnsi="宋体" w:eastAsia="宋体" w:cs="宋体"/>
          <w:color w:val="auto"/>
          <w:sz w:val="18"/>
          <w:szCs w:val="18"/>
          <w:lang w:val="en-US" w:eastAsia="zh-CN" w:bidi="ar-SA"/>
        </w:rPr>
        <w:t>.本产品出现当日净收益小于零的情形，为保护持有人的权益，产品管理人可暂停本产品的申购。</w:t>
      </w:r>
    </w:p>
    <w:p w14:paraId="4730B0EC">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5</w:t>
      </w:r>
      <w:r>
        <w:rPr>
          <w:rFonts w:hint="eastAsia" w:ascii="宋体" w:hAnsi="宋体" w:eastAsia="宋体" w:cs="宋体"/>
          <w:color w:val="auto"/>
          <w:sz w:val="18"/>
          <w:szCs w:val="18"/>
          <w:lang w:val="en-US" w:eastAsia="zh-CN" w:bidi="ar-SA"/>
        </w:rPr>
        <w:t>.产品管理人认为接受某笔或某些申购申请可能会影响或损害现有理财份额持有人权益时。</w:t>
      </w:r>
    </w:p>
    <w:p w14:paraId="1FBA664D">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6</w:t>
      </w:r>
      <w:r>
        <w:rPr>
          <w:rFonts w:hint="eastAsia" w:ascii="宋体" w:hAnsi="宋体" w:eastAsia="宋体" w:cs="宋体"/>
          <w:color w:val="auto"/>
          <w:sz w:val="18"/>
          <w:szCs w:val="18"/>
          <w:lang w:val="en-US" w:eastAsia="zh-CN" w:bidi="ar-SA"/>
        </w:rPr>
        <w:t>.理财产品规模过大，产品管理人无法找到合适的投资品种，或其他可能对理财业绩产生负面影响，从而损害现有理财份额持有人权益的情形。</w:t>
      </w:r>
    </w:p>
    <w:p w14:paraId="284C5682">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7</w:t>
      </w:r>
      <w:r>
        <w:rPr>
          <w:rFonts w:hint="eastAsia" w:ascii="宋体" w:hAnsi="宋体" w:eastAsia="宋体" w:cs="宋体"/>
          <w:color w:val="auto"/>
          <w:sz w:val="18"/>
          <w:szCs w:val="18"/>
          <w:lang w:val="en-US" w:eastAsia="zh-CN" w:bidi="ar-SA"/>
        </w:rPr>
        <w:t>.产品管理人和产品托管人的技术保障等异常情况导致理财销售系统或会计系统无法正常运行。</w:t>
      </w:r>
    </w:p>
    <w:p w14:paraId="2CD38943">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8</w:t>
      </w:r>
      <w:r>
        <w:rPr>
          <w:rFonts w:hint="eastAsia" w:ascii="宋体" w:hAnsi="宋体" w:eastAsia="宋体" w:cs="宋体"/>
          <w:color w:val="auto"/>
          <w:sz w:val="18"/>
          <w:szCs w:val="18"/>
          <w:lang w:val="en-US" w:eastAsia="zh-CN" w:bidi="ar-SA"/>
        </w:rPr>
        <w:t>.法律法规规定或监管机构认定的其他情形。</w:t>
      </w:r>
    </w:p>
    <w:p w14:paraId="412B6246">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如果投资者的申购申请被拒绝，被拒绝的申购款项将退还给投资者。在暂停申购的情况消除时，产品管理人应及时恢复申购业务的办理。</w:t>
      </w:r>
    </w:p>
    <w:p w14:paraId="7BCBE064">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（五）暂停赎回或延缓支付赎回款项的情形</w:t>
      </w:r>
    </w:p>
    <w:p w14:paraId="7DE507A3">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发生下列情形时，产品管理人可暂停接受投资者的赎回申请或延缓支付赎回款项：</w:t>
      </w:r>
    </w:p>
    <w:p w14:paraId="5F2872B7">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.因不可抗力导致产品管理人不能支付赎回款项。</w:t>
      </w:r>
    </w:p>
    <w:p w14:paraId="0BD1938C">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.发生暂停理财资产估值情况时，产品管理人可暂停接受投资者的赎回申请或延缓支付赎回款项。</w:t>
      </w:r>
    </w:p>
    <w:p w14:paraId="690DFAAF">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w:t>
      </w:r>
      <w:r>
        <w:rPr>
          <w:rFonts w:hint="eastAsia" w:ascii="宋体" w:hAnsi="宋体" w:eastAsia="宋体" w:cs="宋体"/>
          <w:color w:val="auto"/>
          <w:sz w:val="18"/>
          <w:szCs w:val="18"/>
          <w:lang w:val="en-US" w:eastAsia="zh-CN" w:bidi="ar-SA"/>
        </w:rPr>
        <w:t>.证券交易所或银行间市场在交易时间非正常停市，导致产品管理人无法计算当日理财资产净值。</w:t>
      </w:r>
    </w:p>
    <w:p w14:paraId="776F3E58">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4</w:t>
      </w: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证券交易所或银行间市场出现异常市场情况，管理人无法</w:t>
      </w:r>
      <w:r>
        <w:rPr>
          <w:rFonts w:hint="eastAsia" w:ascii="宋体" w:hAnsi="宋体" w:eastAsia="宋体" w:cs="宋体"/>
          <w:color w:val="auto"/>
          <w:sz w:val="18"/>
          <w:szCs w:val="18"/>
          <w:lang w:val="en-US" w:eastAsia="zh-CN" w:bidi="ar-SA"/>
        </w:rPr>
        <w:t>开展产品的</w:t>
      </w:r>
      <w:r>
        <w:rPr>
          <w:rFonts w:ascii="宋体" w:hAnsi="宋体" w:eastAsia="宋体" w:cs="宋体"/>
          <w:color w:val="auto"/>
          <w:sz w:val="18"/>
          <w:szCs w:val="18"/>
          <w:lang w:val="en-US" w:eastAsia="zh-CN" w:bidi="ar-SA"/>
        </w:rPr>
        <w:t>流动性</w:t>
      </w:r>
      <w:r>
        <w:rPr>
          <w:rFonts w:hint="eastAsia" w:ascii="宋体" w:hAnsi="宋体" w:eastAsia="宋体" w:cs="宋体"/>
          <w:color w:val="auto"/>
          <w:sz w:val="18"/>
          <w:szCs w:val="18"/>
          <w:lang w:val="en-US" w:eastAsia="zh-CN" w:bidi="ar-SA"/>
        </w:rPr>
        <w:t>管理</w:t>
      </w:r>
      <w:r>
        <w:rPr>
          <w:rFonts w:ascii="宋体" w:hAnsi="宋体" w:eastAsia="宋体" w:cs="宋体"/>
          <w:color w:val="auto"/>
          <w:sz w:val="18"/>
          <w:szCs w:val="18"/>
          <w:lang w:val="en-US" w:eastAsia="zh-CN" w:bidi="ar-SA"/>
        </w:rPr>
        <w:t>。</w:t>
      </w:r>
    </w:p>
    <w:p w14:paraId="5345ADA3">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5</w:t>
      </w:r>
      <w:r>
        <w:rPr>
          <w:rFonts w:hint="eastAsia" w:ascii="宋体" w:hAnsi="宋体" w:eastAsia="宋体" w:cs="宋体"/>
          <w:color w:val="auto"/>
          <w:sz w:val="18"/>
          <w:szCs w:val="18"/>
          <w:lang w:val="en-US" w:eastAsia="zh-CN" w:bidi="ar-SA"/>
        </w:rPr>
        <w:t>.本产品出现当日净收益小于零的情形，为保护持有人的权益，产品管理人可暂停本产品的赎回。</w:t>
      </w:r>
    </w:p>
    <w:p w14:paraId="499570AB">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6</w:t>
      </w:r>
      <w:r>
        <w:rPr>
          <w:rFonts w:hint="eastAsia" w:ascii="宋体" w:hAnsi="宋体" w:eastAsia="宋体" w:cs="宋体"/>
          <w:color w:val="auto"/>
          <w:sz w:val="18"/>
          <w:szCs w:val="18"/>
          <w:lang w:val="en-US" w:eastAsia="zh-CN" w:bidi="ar-SA"/>
        </w:rPr>
        <w:t>.发生单个投资者在赎回日申请赎回的理财产品份额超过限额的。</w:t>
      </w:r>
    </w:p>
    <w:p w14:paraId="7A3891E0">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7.发生巨额赎回。</w:t>
      </w:r>
    </w:p>
    <w:p w14:paraId="448FACC5">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8.产品管理人和产品托管人的技术保障等异常情况导致理财销售系统或会计系统无法正常运行。</w:t>
      </w:r>
    </w:p>
    <w:p w14:paraId="42AA773A">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9.证券交易所或银行间市场数据传输延迟、通讯系统故障、银行系统故障或其他非产品管理人及产品托管人所能控制的因素影响了产品运作流程。</w:t>
      </w:r>
    </w:p>
    <w:p w14:paraId="2EEC5C6E">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10.法律法规规定或监管机构认定的其他情形。</w:t>
      </w:r>
    </w:p>
    <w:p w14:paraId="790E477A">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bCs/>
          <w:color w:val="000000"/>
          <w:sz w:val="18"/>
          <w:szCs w:val="18"/>
          <w:lang w:val="en-US" w:eastAsia="zh-CN" w:bidi="ar-SA"/>
        </w:rPr>
        <w:t>延缓支付赎回款项</w:t>
      </w:r>
      <w:r>
        <w:rPr>
          <w:rFonts w:hint="eastAsia" w:ascii="宋体" w:hAnsi="宋体" w:eastAsia="宋体" w:cs="宋体"/>
          <w:bCs/>
          <w:color w:val="000000"/>
          <w:sz w:val="18"/>
          <w:szCs w:val="18"/>
          <w:lang w:val="en-US" w:eastAsia="zh-CN" w:bidi="ar-SA"/>
        </w:rPr>
        <w:t>的</w:t>
      </w:r>
      <w:r>
        <w:rPr>
          <w:rFonts w:ascii="宋体" w:hAnsi="宋体" w:eastAsia="宋体" w:cs="宋体"/>
          <w:bCs/>
          <w:color w:val="000000"/>
          <w:sz w:val="18"/>
          <w:szCs w:val="18"/>
          <w:lang w:val="en-US" w:eastAsia="zh-CN" w:bidi="ar-SA"/>
        </w:rPr>
        <w:t>，</w:t>
      </w:r>
      <w:r>
        <w:rPr>
          <w:rFonts w:hint="eastAsia" w:ascii="宋体" w:hAnsi="宋体" w:eastAsia="宋体" w:cs="宋体"/>
          <w:bCs/>
          <w:color w:val="000000"/>
          <w:sz w:val="18"/>
          <w:szCs w:val="18"/>
          <w:lang w:val="en-US" w:eastAsia="zh-CN" w:bidi="ar-SA"/>
        </w:rPr>
        <w:t>已经确认</w:t>
      </w:r>
      <w:r>
        <w:rPr>
          <w:rFonts w:ascii="宋体" w:hAnsi="宋体" w:eastAsia="宋体" w:cs="宋体"/>
          <w:bCs/>
          <w:color w:val="000000"/>
          <w:sz w:val="18"/>
          <w:szCs w:val="18"/>
          <w:lang w:val="en-US" w:eastAsia="zh-CN" w:bidi="ar-SA"/>
        </w:rPr>
        <w:t>的赎回申请的</w:t>
      </w:r>
      <w:r>
        <w:rPr>
          <w:rFonts w:hint="eastAsia" w:ascii="宋体" w:hAnsi="宋体" w:eastAsia="宋体" w:cs="宋体"/>
          <w:bCs/>
          <w:color w:val="000000"/>
          <w:sz w:val="18"/>
          <w:szCs w:val="18"/>
          <w:lang w:val="en-US" w:eastAsia="zh-CN" w:bidi="ar-SA"/>
        </w:rPr>
        <w:t>相应赎回</w:t>
      </w:r>
      <w:r>
        <w:rPr>
          <w:rFonts w:ascii="宋体" w:hAnsi="宋体" w:eastAsia="宋体" w:cs="宋体"/>
          <w:bCs/>
          <w:color w:val="000000"/>
          <w:sz w:val="18"/>
          <w:szCs w:val="18"/>
          <w:lang w:val="en-US" w:eastAsia="zh-CN" w:bidi="ar-SA"/>
        </w:rPr>
        <w:t>款项将会在不超过20个工作日内支付</w:t>
      </w:r>
      <w:r>
        <w:rPr>
          <w:rFonts w:hint="eastAsia" w:ascii="宋体" w:hAnsi="宋体" w:eastAsia="宋体" w:cs="宋体"/>
          <w:bCs/>
          <w:color w:val="000000"/>
          <w:sz w:val="18"/>
          <w:szCs w:val="18"/>
          <w:lang w:val="en-US" w:eastAsia="zh-CN" w:bidi="ar-SA"/>
        </w:rPr>
        <w:t>至</w:t>
      </w:r>
      <w:r>
        <w:rPr>
          <w:rFonts w:ascii="宋体" w:hAnsi="宋体" w:eastAsia="宋体" w:cs="宋体"/>
          <w:bCs/>
          <w:color w:val="000000"/>
          <w:sz w:val="18"/>
          <w:szCs w:val="18"/>
          <w:lang w:val="en-US" w:eastAsia="zh-CN" w:bidi="ar-SA"/>
        </w:rPr>
        <w:t>投资者</w:t>
      </w:r>
      <w:r>
        <w:rPr>
          <w:rFonts w:hint="eastAsia" w:ascii="宋体" w:hAnsi="宋体" w:eastAsia="宋体" w:cs="宋体"/>
          <w:bCs/>
          <w:color w:val="000000"/>
          <w:sz w:val="18"/>
          <w:szCs w:val="18"/>
          <w:lang w:val="en-US" w:eastAsia="zh-CN" w:bidi="ar-SA"/>
        </w:rPr>
        <w:t>。</w:t>
      </w:r>
      <w:r>
        <w:rPr>
          <w:rFonts w:hint="eastAsia" w:ascii="宋体" w:hAnsi="宋体" w:eastAsia="宋体" w:cs="宋体"/>
          <w:color w:val="auto"/>
          <w:sz w:val="18"/>
          <w:szCs w:val="18"/>
          <w:lang w:val="en-US" w:eastAsia="zh-CN" w:bidi="ar-SA"/>
        </w:rPr>
        <w:t>在暂停赎回或延缓支付赎回款项的情况消除时，产品管理人应及时恢复赎回或支付业务赎回款项的办理。</w:t>
      </w:r>
    </w:p>
    <w:p w14:paraId="47019D87">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（六）巨额赎回的情形及</w:t>
      </w:r>
      <w:r>
        <w:rPr>
          <w:rFonts w:ascii="宋体" w:hAnsi="宋体" w:eastAsia="宋体" w:cs="宋体"/>
          <w:b/>
          <w:color w:val="auto"/>
          <w:sz w:val="18"/>
          <w:szCs w:val="18"/>
          <w:lang w:val="en-US" w:eastAsia="zh-CN" w:bidi="ar-SA"/>
        </w:rPr>
        <w:t>处理方式</w:t>
      </w:r>
    </w:p>
    <w:p w14:paraId="79982BD6">
      <w:pPr>
        <w:widowControl/>
        <w:spacing w:line="360" w:lineRule="auto"/>
        <w:ind w:firstLine="360" w:firstLineChars="200"/>
        <w:jc w:val="left"/>
        <w:rPr>
          <w:rFonts w:ascii="宋体" w:hAnsi="宋体" w:eastAsia="宋体" w:cs="宋体"/>
          <w:bCs/>
          <w:sz w:val="18"/>
          <w:szCs w:val="18"/>
        </w:rPr>
      </w:pPr>
      <w:r>
        <w:rPr>
          <w:rFonts w:ascii="宋体" w:hAnsi="宋体" w:eastAsia="宋体" w:cs="宋体"/>
          <w:bCs/>
          <w:sz w:val="18"/>
          <w:szCs w:val="18"/>
        </w:rPr>
        <w:t>1</w:t>
      </w:r>
      <w:r>
        <w:rPr>
          <w:rFonts w:hint="eastAsia" w:ascii="宋体" w:hAnsi="宋体" w:eastAsia="宋体" w:cs="宋体"/>
          <w:bCs/>
          <w:sz w:val="18"/>
          <w:szCs w:val="18"/>
        </w:rPr>
        <w:t>.</w:t>
      </w:r>
      <w:r>
        <w:rPr>
          <w:rFonts w:ascii="宋体" w:hAnsi="宋体" w:eastAsia="宋体" w:cs="宋体"/>
          <w:bCs/>
          <w:sz w:val="18"/>
          <w:szCs w:val="18"/>
        </w:rPr>
        <w:t>巨额赎回的认定</w:t>
      </w:r>
    </w:p>
    <w:p w14:paraId="385657FD">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 理财产品基本情况”。</w:t>
      </w:r>
    </w:p>
    <w:p w14:paraId="75FE89FC">
      <w:pPr>
        <w:widowControl/>
        <w:spacing w:line="360" w:lineRule="auto"/>
        <w:ind w:firstLine="360" w:firstLineChars="200"/>
        <w:jc w:val="left"/>
        <w:rPr>
          <w:rFonts w:ascii="宋体" w:hAnsi="宋体" w:eastAsia="宋体" w:cs="宋体"/>
          <w:bCs/>
          <w:sz w:val="18"/>
          <w:szCs w:val="18"/>
        </w:rPr>
      </w:pPr>
      <w:r>
        <w:rPr>
          <w:rFonts w:ascii="宋体" w:hAnsi="宋体" w:eastAsia="宋体" w:cs="宋体"/>
          <w:bCs/>
          <w:sz w:val="18"/>
          <w:szCs w:val="18"/>
        </w:rPr>
        <w:t>2</w:t>
      </w:r>
      <w:r>
        <w:rPr>
          <w:rFonts w:hint="eastAsia" w:ascii="宋体" w:hAnsi="宋体" w:eastAsia="宋体" w:cs="宋体"/>
          <w:bCs/>
          <w:sz w:val="18"/>
          <w:szCs w:val="18"/>
        </w:rPr>
        <w:t>.</w:t>
      </w:r>
      <w:r>
        <w:rPr>
          <w:rFonts w:ascii="宋体" w:hAnsi="宋体" w:eastAsia="宋体" w:cs="宋体"/>
          <w:bCs/>
          <w:sz w:val="18"/>
          <w:szCs w:val="18"/>
        </w:rPr>
        <w:t>巨额赎回的处理方式</w:t>
      </w:r>
    </w:p>
    <w:p w14:paraId="740CAD51">
      <w:pPr>
        <w:widowControl/>
        <w:spacing w:line="360" w:lineRule="auto"/>
        <w:ind w:firstLine="360" w:firstLineChars="200"/>
        <w:jc w:val="left"/>
        <w:rPr>
          <w:rFonts w:ascii="宋体" w:hAnsi="宋体" w:eastAsia="宋体" w:cs="宋体"/>
          <w:bCs/>
          <w:sz w:val="18"/>
          <w:szCs w:val="18"/>
        </w:rPr>
      </w:pPr>
      <w:r>
        <w:rPr>
          <w:rFonts w:hint="eastAsia" w:ascii="宋体" w:hAnsi="宋体" w:eastAsia="宋体" w:cs="宋体"/>
          <w:bCs/>
          <w:sz w:val="18"/>
          <w:szCs w:val="18"/>
        </w:rPr>
        <w:t>出现巨额赎回时，产品管理人有权决定：（1）</w:t>
      </w:r>
      <w:r>
        <w:rPr>
          <w:rFonts w:ascii="宋体" w:hAnsi="宋体" w:eastAsia="宋体" w:cs="宋体"/>
          <w:bCs/>
          <w:sz w:val="18"/>
          <w:szCs w:val="18"/>
        </w:rPr>
        <w:t>不接受</w:t>
      </w:r>
      <w:r>
        <w:rPr>
          <w:rFonts w:hint="eastAsia" w:ascii="宋体" w:hAnsi="宋体" w:eastAsia="宋体" w:cs="宋体"/>
          <w:bCs/>
          <w:sz w:val="18"/>
          <w:szCs w:val="18"/>
        </w:rPr>
        <w:t>超出部分的净赎回申请，但投资者可于下一开放日重新进行赎回申请；（</w:t>
      </w:r>
      <w:r>
        <w:rPr>
          <w:rFonts w:ascii="宋体" w:hAnsi="宋体" w:eastAsia="宋体" w:cs="宋体"/>
          <w:bCs/>
          <w:sz w:val="18"/>
          <w:szCs w:val="18"/>
        </w:rPr>
        <w:t>2）延缓支付赎回款项</w:t>
      </w:r>
      <w:r>
        <w:rPr>
          <w:rFonts w:hint="eastAsia" w:ascii="宋体" w:hAnsi="宋体" w:eastAsia="宋体" w:cs="宋体"/>
          <w:bCs/>
          <w:sz w:val="18"/>
          <w:szCs w:val="18"/>
        </w:rPr>
        <w:t>。</w:t>
      </w:r>
      <w:r>
        <w:rPr>
          <w:rFonts w:ascii="宋体" w:hAnsi="宋体" w:eastAsia="宋体" w:cs="宋体"/>
          <w:bCs/>
          <w:sz w:val="18"/>
          <w:szCs w:val="18"/>
        </w:rPr>
        <w:t>如产品管理人认为有必要，</w:t>
      </w:r>
      <w:r>
        <w:rPr>
          <w:rFonts w:hint="eastAsia" w:ascii="宋体" w:hAnsi="宋体" w:eastAsia="宋体" w:cs="宋体"/>
          <w:bCs/>
          <w:sz w:val="18"/>
          <w:szCs w:val="18"/>
        </w:rPr>
        <w:t>针对</w:t>
      </w:r>
      <w:r>
        <w:rPr>
          <w:rFonts w:ascii="宋体" w:hAnsi="宋体" w:eastAsia="宋体" w:cs="宋体"/>
          <w:bCs/>
          <w:sz w:val="18"/>
          <w:szCs w:val="18"/>
        </w:rPr>
        <w:t>已经</w:t>
      </w:r>
      <w:r>
        <w:rPr>
          <w:rFonts w:hint="eastAsia" w:ascii="宋体" w:hAnsi="宋体" w:eastAsia="宋体" w:cs="宋体"/>
          <w:bCs/>
          <w:sz w:val="18"/>
          <w:szCs w:val="18"/>
        </w:rPr>
        <w:t>确认</w:t>
      </w:r>
      <w:r>
        <w:rPr>
          <w:rFonts w:ascii="宋体" w:hAnsi="宋体" w:eastAsia="宋体" w:cs="宋体"/>
          <w:bCs/>
          <w:sz w:val="18"/>
          <w:szCs w:val="18"/>
        </w:rPr>
        <w:t>的赎回申请</w:t>
      </w:r>
      <w:r>
        <w:rPr>
          <w:rFonts w:hint="eastAsia" w:ascii="宋体" w:hAnsi="宋体" w:eastAsia="宋体" w:cs="宋体"/>
          <w:bCs/>
          <w:sz w:val="18"/>
          <w:szCs w:val="18"/>
        </w:rPr>
        <w:t>，</w:t>
      </w:r>
      <w:r>
        <w:rPr>
          <w:rFonts w:ascii="宋体" w:hAnsi="宋体" w:eastAsia="宋体" w:cs="宋体"/>
          <w:bCs/>
          <w:sz w:val="18"/>
          <w:szCs w:val="18"/>
        </w:rPr>
        <w:t>可以延缓支付赎回款项。延缓支付赎回款项</w:t>
      </w:r>
      <w:r>
        <w:rPr>
          <w:rFonts w:hint="eastAsia" w:ascii="宋体" w:hAnsi="宋体" w:eastAsia="宋体" w:cs="宋体"/>
          <w:bCs/>
          <w:sz w:val="18"/>
          <w:szCs w:val="18"/>
        </w:rPr>
        <w:t>的</w:t>
      </w:r>
      <w:r>
        <w:rPr>
          <w:rFonts w:ascii="宋体" w:hAnsi="宋体" w:eastAsia="宋体" w:cs="宋体"/>
          <w:bCs/>
          <w:sz w:val="18"/>
          <w:szCs w:val="18"/>
        </w:rPr>
        <w:t>，</w:t>
      </w:r>
      <w:r>
        <w:rPr>
          <w:rFonts w:hint="eastAsia" w:ascii="宋体" w:hAnsi="宋体" w:eastAsia="宋体" w:cs="宋体"/>
          <w:bCs/>
          <w:sz w:val="18"/>
          <w:szCs w:val="18"/>
        </w:rPr>
        <w:t>已经确认</w:t>
      </w:r>
      <w:r>
        <w:rPr>
          <w:rFonts w:ascii="宋体" w:hAnsi="宋体" w:eastAsia="宋体" w:cs="宋体"/>
          <w:bCs/>
          <w:sz w:val="18"/>
          <w:szCs w:val="18"/>
        </w:rPr>
        <w:t>的赎回申请的</w:t>
      </w:r>
      <w:r>
        <w:rPr>
          <w:rFonts w:hint="eastAsia" w:ascii="宋体" w:hAnsi="宋体" w:eastAsia="宋体" w:cs="宋体"/>
          <w:bCs/>
          <w:sz w:val="18"/>
          <w:szCs w:val="18"/>
        </w:rPr>
        <w:t>相应赎回</w:t>
      </w:r>
      <w:r>
        <w:rPr>
          <w:rFonts w:ascii="宋体" w:hAnsi="宋体" w:eastAsia="宋体" w:cs="宋体"/>
          <w:bCs/>
          <w:sz w:val="18"/>
          <w:szCs w:val="18"/>
        </w:rPr>
        <w:t>款项将会在不超过20个工作日内支付</w:t>
      </w:r>
      <w:r>
        <w:rPr>
          <w:rFonts w:hint="eastAsia" w:ascii="宋体" w:hAnsi="宋体" w:eastAsia="宋体" w:cs="宋体"/>
          <w:bCs/>
          <w:sz w:val="18"/>
          <w:szCs w:val="18"/>
        </w:rPr>
        <w:t>至</w:t>
      </w:r>
      <w:r>
        <w:rPr>
          <w:rFonts w:ascii="宋体" w:hAnsi="宋体" w:eastAsia="宋体" w:cs="宋体"/>
          <w:bCs/>
          <w:sz w:val="18"/>
          <w:szCs w:val="18"/>
        </w:rPr>
        <w:t>投资者</w:t>
      </w:r>
      <w:r>
        <w:rPr>
          <w:rFonts w:hint="eastAsia" w:ascii="宋体" w:hAnsi="宋体" w:eastAsia="宋体" w:cs="宋体"/>
          <w:bCs/>
          <w:sz w:val="18"/>
          <w:szCs w:val="18"/>
        </w:rPr>
        <w:t>。（3）法律法规规定或监管机构规定的其他措施。</w:t>
      </w:r>
    </w:p>
    <w:p w14:paraId="509FD8F6">
      <w:pPr>
        <w:widowControl/>
        <w:spacing w:line="360" w:lineRule="auto"/>
        <w:ind w:firstLine="360" w:firstLineChars="200"/>
        <w:jc w:val="left"/>
        <w:rPr>
          <w:rFonts w:ascii="宋体" w:hAnsi="宋体" w:eastAsia="宋体" w:cs="宋体"/>
          <w:bCs/>
          <w:sz w:val="18"/>
          <w:szCs w:val="18"/>
        </w:rPr>
      </w:pPr>
      <w:r>
        <w:rPr>
          <w:rFonts w:ascii="宋体" w:hAnsi="宋体" w:eastAsia="宋体" w:cs="宋体"/>
          <w:bCs/>
          <w:sz w:val="18"/>
          <w:szCs w:val="18"/>
        </w:rPr>
        <w:t>3</w:t>
      </w:r>
      <w:r>
        <w:rPr>
          <w:rFonts w:hint="eastAsia" w:ascii="宋体" w:hAnsi="宋体" w:eastAsia="宋体" w:cs="宋体"/>
          <w:bCs/>
          <w:sz w:val="18"/>
          <w:szCs w:val="18"/>
        </w:rPr>
        <w:t>.</w:t>
      </w:r>
      <w:r>
        <w:rPr>
          <w:rFonts w:ascii="宋体" w:hAnsi="宋体" w:eastAsia="宋体" w:cs="宋体"/>
          <w:bCs/>
          <w:sz w:val="18"/>
          <w:szCs w:val="18"/>
        </w:rPr>
        <w:t>巨额赎回的公告</w:t>
      </w:r>
    </w:p>
    <w:p w14:paraId="4EA5E2A0">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在发生巨额赎回产品管理人暂停接受投资者赎回申请时，产品管理人将依约定发布相关公告信息。</w:t>
      </w:r>
    </w:p>
    <w:p w14:paraId="39D3CD0D">
      <w:pPr>
        <w:widowControl w:val="0"/>
        <w:autoSpaceDE w:val="0"/>
        <w:autoSpaceDN w:val="0"/>
        <w:adjustRightInd w:val="0"/>
        <w:spacing w:line="360" w:lineRule="auto"/>
        <w:ind w:left="210" w:leftChars="100" w:firstLine="181" w:firstLineChars="100"/>
        <w:rPr>
          <w:rFonts w:ascii="宋体" w:hAnsi="宋体" w:eastAsia="宋体" w:cs="宋体"/>
          <w:color w:val="auto"/>
          <w:sz w:val="18"/>
          <w:szCs w:val="18"/>
          <w:lang w:val="en-US" w:eastAsia="zh-CN" w:bidi="ar-SA"/>
        </w:rPr>
      </w:pPr>
      <w:r>
        <w:rPr>
          <w:rFonts w:hint="eastAsia" w:ascii="宋体" w:hAnsi="宋体" w:eastAsia="宋体" w:cs="宋体"/>
          <w:b/>
          <w:color w:val="auto"/>
          <w:sz w:val="18"/>
          <w:szCs w:val="18"/>
          <w:lang w:val="en-US" w:eastAsia="zh-CN" w:bidi="ar-SA"/>
        </w:rPr>
        <w:t>（七）日期遇非工作日的调整</w:t>
      </w:r>
    </w:p>
    <w:p w14:paraId="551F82FB">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前述日期（包括但不限于申购日、申购确认日、赎回日以及赎回确认日等）如遇非工作日则产品管理人可做相应调整。产品管理人对上述日期保留变更的权利，调整后的日期以产品管理人发布的公告中所载明的日期为准。</w:t>
      </w:r>
    </w:p>
    <w:p w14:paraId="7A19EE48">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hint="eastAsia" w:ascii="宋体" w:hAnsi="宋体" w:eastAsia="宋体" w:cs="宋体"/>
          <w:b/>
          <w:bCs/>
          <w:color w:val="auto"/>
          <w:sz w:val="18"/>
          <w:szCs w:val="18"/>
          <w:lang w:val="en-US" w:eastAsia="zh-CN" w:bidi="ar-SA"/>
        </w:rPr>
        <w:t>（八）投资者持有理财份额的限额和理财产品总规模限额</w:t>
      </w:r>
    </w:p>
    <w:p w14:paraId="54623E2F">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产品管理人有权决定理财份额持有人持有本产品的最高限额、最低限额和本产品的总规模限额。</w:t>
      </w:r>
    </w:p>
    <w:p w14:paraId="515AA8E7">
      <w:pPr>
        <w:widowControl/>
        <w:spacing w:line="360" w:lineRule="auto"/>
        <w:jc w:val="left"/>
        <w:rPr>
          <w:rFonts w:ascii="宋体" w:hAnsi="宋体" w:cs="宋体"/>
          <w:bCs/>
          <w:kern w:val="0"/>
          <w:sz w:val="18"/>
          <w:szCs w:val="18"/>
        </w:rPr>
      </w:pPr>
      <w:r>
        <w:rPr>
          <w:rFonts w:ascii="宋体" w:hAnsi="宋体" w:cs="宋体"/>
          <w:bCs/>
          <w:sz w:val="18"/>
          <w:szCs w:val="18"/>
        </w:rPr>
        <w:br w:type="page"/>
      </w:r>
    </w:p>
    <w:bookmarkEnd w:id="105"/>
    <w:p w14:paraId="3A335219">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113" w:name="_Toc90742321"/>
      <w:bookmarkStart w:id="114" w:name="_Toc90742390"/>
      <w:bookmarkStart w:id="115" w:name="_Toc79154668"/>
      <w:bookmarkStart w:id="116" w:name="_Toc15203"/>
      <w:bookmarkStart w:id="117" w:name="_Toc29948"/>
      <w:bookmarkStart w:id="118" w:name="_Toc74065741"/>
      <w:bookmarkStart w:id="119" w:name="_Toc12517"/>
      <w:bookmarkStart w:id="120" w:name="_Toc22074"/>
      <w:bookmarkStart w:id="121" w:name="_Toc27189"/>
      <w:bookmarkStart w:id="122" w:name="_Toc27226"/>
      <w:bookmarkStart w:id="123" w:name="_Toc16265"/>
      <w:bookmarkStart w:id="124" w:name="_Toc23413"/>
      <w:bookmarkStart w:id="125" w:name="_Toc7151"/>
      <w:bookmarkStart w:id="126" w:name="_Toc29784"/>
      <w:bookmarkStart w:id="127" w:name="_Toc3266"/>
      <w:bookmarkStart w:id="128" w:name="_Toc25685"/>
      <w:bookmarkStart w:id="129" w:name="_Toc6714"/>
      <w:bookmarkStart w:id="130" w:name="_Toc92377134"/>
      <w:bookmarkStart w:id="131" w:name="_Toc90742688"/>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五条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理财产品的投资</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10D6635">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（一）投资目标</w:t>
      </w:r>
    </w:p>
    <w:p w14:paraId="1B8208AC">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auto"/>
          <w:sz w:val="18"/>
          <w:szCs w:val="18"/>
          <w:lang w:val="en-US" w:eastAsia="zh-CN" w:bidi="ar-SA"/>
        </w:rPr>
        <w:t>【在严格控制组合风险的前提下，通过不断优化组合，力争实现超越业绩比较基准的收益。】</w:t>
      </w:r>
    </w:p>
    <w:p w14:paraId="3CD4C6A8">
      <w:pPr>
        <w:widowControl w:val="0"/>
        <w:autoSpaceDE w:val="0"/>
        <w:autoSpaceDN w:val="0"/>
        <w:adjustRightInd w:val="0"/>
        <w:spacing w:line="360" w:lineRule="auto"/>
        <w:ind w:firstLine="361" w:firstLineChars="200"/>
        <w:rPr>
          <w:rFonts w:ascii="宋体" w:hAnsi="宋体" w:eastAsia="宋体" w:cs="宋体"/>
          <w:bCs/>
          <w:color w:val="auto"/>
          <w:sz w:val="18"/>
          <w:szCs w:val="18"/>
          <w:lang w:val="en-US" w:eastAsia="zh-CN" w:bidi="ar-SA"/>
        </w:rPr>
      </w:pPr>
      <w:r>
        <w:rPr>
          <w:rFonts w:hint="eastAsia" w:ascii="宋体" w:hAnsi="宋体" w:eastAsia="宋体" w:cs="宋体"/>
          <w:b/>
          <w:color w:val="auto"/>
          <w:sz w:val="18"/>
          <w:szCs w:val="18"/>
          <w:lang w:val="en-US" w:eastAsia="zh-CN" w:bidi="ar-SA"/>
        </w:rPr>
        <w:t>（二）投资范围和比例</w:t>
      </w:r>
    </w:p>
    <w:p w14:paraId="61FD04E1">
      <w:pPr>
        <w:autoSpaceDE w:val="0"/>
        <w:autoSpaceDN w:val="0"/>
        <w:adjustRightInd w:val="0"/>
        <w:spacing w:line="360" w:lineRule="auto"/>
        <w:ind w:firstLine="360" w:firstLineChars="200"/>
        <w:jc w:val="left"/>
        <w:rPr>
          <w:rFonts w:ascii="宋体" w:hAnsi="宋体" w:eastAsia="宋体" w:cs="宋体"/>
          <w:bCs/>
          <w:sz w:val="18"/>
          <w:szCs w:val="18"/>
        </w:rPr>
      </w:pPr>
      <w:r>
        <w:rPr>
          <w:rFonts w:hint="eastAsia" w:ascii="宋体" w:hAnsi="宋体" w:eastAsia="宋体" w:cs="宋体"/>
          <w:bCs/>
          <w:sz w:val="18"/>
          <w:szCs w:val="18"/>
        </w:rPr>
        <w:t>1.投资</w:t>
      </w:r>
      <w:r>
        <w:rPr>
          <w:rFonts w:ascii="宋体" w:hAnsi="宋体" w:eastAsia="宋体" w:cs="宋体"/>
          <w:bCs/>
          <w:sz w:val="18"/>
          <w:szCs w:val="18"/>
        </w:rPr>
        <w:t>范围</w:t>
      </w:r>
    </w:p>
    <w:p w14:paraId="0C94A8D9">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本产品主要投资范围包括但不限于（实际投资范围可根据法律法规及监管规定进行调整）：</w:t>
      </w:r>
    </w:p>
    <w:p w14:paraId="765AAE82">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（1）银行存款、债券逆回购、货币基金等货币市场工具及其它银行间和交易所资金融通工具。</w:t>
      </w:r>
    </w:p>
    <w:p w14:paraId="049DAC56">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14:paraId="5D358C7E">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（3）国债期货、利率互换、债券借贷。</w:t>
      </w:r>
    </w:p>
    <w:p w14:paraId="75DD7DE9">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（4）投资于上述资产的符合监管要求的公募基金、基金公司或子公司资产管理计划、证券公司资</w:t>
      </w:r>
    </w:p>
    <w:p w14:paraId="594D8388">
      <w:pPr>
        <w:autoSpaceDE w:val="0"/>
        <w:autoSpaceDN w:val="0"/>
        <w:adjustRightInd w:val="0"/>
        <w:spacing w:line="360" w:lineRule="auto"/>
        <w:jc w:val="left"/>
        <w:rPr>
          <w:rFonts w:ascii="宋体" w:hAnsi="宋体" w:eastAsia="宋体" w:cs="宋体"/>
          <w:bCs/>
          <w:kern w:val="0"/>
          <w:sz w:val="18"/>
          <w:szCs w:val="18"/>
        </w:rPr>
      </w:pPr>
      <w:r>
        <w:rPr>
          <w:rFonts w:hint="eastAsia" w:ascii="宋体" w:hAnsi="宋体" w:eastAsia="宋体" w:cs="宋体"/>
          <w:bCs/>
          <w:kern w:val="0"/>
          <w:sz w:val="18"/>
          <w:szCs w:val="18"/>
        </w:rPr>
        <w:t>产管理计划、保险资产管理计划及信托计划等。</w:t>
      </w:r>
    </w:p>
    <w:p w14:paraId="3DD54D4A">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（5）其他风险不高于前述资产的资产。</w:t>
      </w:r>
    </w:p>
    <w:p w14:paraId="02FCBCA9">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14:paraId="1E39442D">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2.投资组合比例</w:t>
      </w:r>
    </w:p>
    <w:p w14:paraId="2CC8F15B">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本产品投资于债权类资产的比例不低于产品总资产的80%。</w:t>
      </w:r>
    </w:p>
    <w:p w14:paraId="1E2A62BB">
      <w:pPr>
        <w:autoSpaceDE w:val="0"/>
        <w:autoSpaceDN w:val="0"/>
        <w:adjustRightInd w:val="0"/>
        <w:spacing w:line="360" w:lineRule="auto"/>
        <w:ind w:firstLine="360" w:firstLineChars="200"/>
        <w:jc w:val="left"/>
        <w:rPr>
          <w:rFonts w:ascii="宋体" w:hAnsi="宋体" w:eastAsia="宋体" w:cs="宋体"/>
          <w:bCs/>
          <w:sz w:val="18"/>
          <w:szCs w:val="18"/>
        </w:rPr>
      </w:pPr>
      <w:r>
        <w:rPr>
          <w:rFonts w:ascii="宋体" w:hAnsi="宋体" w:eastAsia="宋体" w:cs="宋体"/>
          <w:bCs/>
          <w:sz w:val="18"/>
          <w:szCs w:val="18"/>
        </w:rPr>
        <w:t>3</w:t>
      </w:r>
      <w:r>
        <w:rPr>
          <w:rFonts w:hint="eastAsia" w:ascii="宋体" w:hAnsi="宋体" w:eastAsia="宋体" w:cs="宋体"/>
          <w:bCs/>
          <w:sz w:val="18"/>
          <w:szCs w:val="18"/>
        </w:rPr>
        <w:t>.</w:t>
      </w:r>
      <w:r>
        <w:rPr>
          <w:rFonts w:ascii="宋体" w:hAnsi="宋体" w:eastAsia="宋体" w:cs="宋体"/>
          <w:bCs/>
          <w:sz w:val="18"/>
          <w:szCs w:val="18"/>
        </w:rPr>
        <w:t>本产品存续期间，</w:t>
      </w:r>
      <w:r>
        <w:rPr>
          <w:rFonts w:hint="eastAsia" w:ascii="宋体" w:hAnsi="宋体" w:eastAsia="宋体" w:cs="宋体"/>
          <w:bCs/>
          <w:sz w:val="18"/>
          <w:szCs w:val="18"/>
        </w:rPr>
        <w:t>产品管理人</w:t>
      </w:r>
      <w:r>
        <w:rPr>
          <w:rFonts w:ascii="宋体" w:hAnsi="宋体" w:eastAsia="宋体" w:cs="宋体"/>
          <w:bCs/>
          <w:sz w:val="18"/>
          <w:szCs w:val="18"/>
        </w:rPr>
        <w:t>将</w:t>
      </w:r>
      <w:r>
        <w:rPr>
          <w:rFonts w:hint="eastAsia" w:ascii="宋体" w:hAnsi="宋体" w:eastAsia="宋体" w:cs="宋体"/>
          <w:bCs/>
          <w:sz w:val="18"/>
          <w:szCs w:val="18"/>
        </w:rPr>
        <w:t>依约定公告理财投资对象与投资比例。</w:t>
      </w:r>
    </w:p>
    <w:p w14:paraId="3D583606">
      <w:pPr>
        <w:autoSpaceDE w:val="0"/>
        <w:autoSpaceDN w:val="0"/>
        <w:adjustRightInd w:val="0"/>
        <w:spacing w:line="360" w:lineRule="auto"/>
        <w:ind w:firstLine="360" w:firstLineChars="200"/>
        <w:jc w:val="left"/>
        <w:rPr>
          <w:rFonts w:ascii="宋体" w:hAnsi="宋体" w:eastAsia="宋体" w:cs="宋体"/>
          <w:bCs/>
          <w:sz w:val="18"/>
          <w:szCs w:val="18"/>
        </w:rPr>
      </w:pPr>
      <w:r>
        <w:rPr>
          <w:rFonts w:ascii="宋体" w:hAnsi="宋体" w:eastAsia="宋体" w:cs="宋体"/>
          <w:bCs/>
          <w:sz w:val="18"/>
          <w:szCs w:val="18"/>
        </w:rPr>
        <w:t>4</w:t>
      </w:r>
      <w:r>
        <w:rPr>
          <w:rFonts w:hint="eastAsia" w:ascii="宋体" w:hAnsi="宋体" w:eastAsia="宋体" w:cs="宋体"/>
          <w:bCs/>
          <w:sz w:val="18"/>
          <w:szCs w:val="18"/>
        </w:rPr>
        <w:t>.如果法律法规对本销售文件约定投资组合比例限制进行变更的，以变更后的规定为准。</w:t>
      </w:r>
    </w:p>
    <w:p w14:paraId="7B16D670">
      <w:pPr>
        <w:spacing w:line="360" w:lineRule="auto"/>
        <w:ind w:firstLine="361" w:firstLineChars="200"/>
        <w:rPr>
          <w:rFonts w:ascii="宋体" w:hAnsi="宋体" w:eastAsia="宋体" w:cs="宋体"/>
          <w:b/>
          <w:bCs/>
          <w:sz w:val="18"/>
          <w:szCs w:val="18"/>
        </w:rPr>
      </w:pPr>
      <w:r>
        <w:rPr>
          <w:rFonts w:hint="eastAsia" w:ascii="宋体" w:hAnsi="宋体" w:eastAsia="宋体" w:cs="宋体"/>
          <w:b/>
          <w:bCs/>
          <w:sz w:val="18"/>
          <w:szCs w:val="18"/>
        </w:rPr>
        <w:t>特别提示：</w:t>
      </w:r>
    </w:p>
    <w:p w14:paraId="6FBF8FBE">
      <w:pPr>
        <w:autoSpaceDE w:val="0"/>
        <w:autoSpaceDN w:val="0"/>
        <w:adjustRightInd w:val="0"/>
        <w:spacing w:line="360" w:lineRule="auto"/>
        <w:ind w:firstLine="360" w:firstLineChars="200"/>
        <w:jc w:val="left"/>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1）</w:t>
      </w:r>
      <w:r>
        <w:rPr>
          <w:rFonts w:hint="eastAsia" w:ascii="宋体" w:hAnsi="宋体" w:eastAsia="宋体" w:cs="宋体"/>
          <w:bCs/>
          <w:sz w:val="18"/>
          <w:szCs w:val="18"/>
        </w:rPr>
        <w:t>产品管理人应当自产品成立日起【</w:t>
      </w:r>
      <w:r>
        <w:rPr>
          <w:rFonts w:ascii="黑体" w:hAnsi="黑体" w:eastAsia="黑体" w:cs="宋体"/>
          <w:bCs/>
          <w:sz w:val="18"/>
          <w:szCs w:val="18"/>
        </w:rPr>
        <w:t>3】</w:t>
      </w:r>
      <w:r>
        <w:rPr>
          <w:rFonts w:hint="eastAsia" w:ascii="黑体" w:hAnsi="黑体" w:eastAsia="黑体" w:cs="宋体"/>
          <w:bCs/>
          <w:sz w:val="18"/>
          <w:szCs w:val="18"/>
        </w:rPr>
        <w:t>个月内</w:t>
      </w:r>
      <w:r>
        <w:rPr>
          <w:rFonts w:hint="eastAsia" w:ascii="宋体" w:hAnsi="宋体" w:eastAsia="宋体" w:cs="宋体"/>
          <w:bCs/>
          <w:sz w:val="18"/>
          <w:szCs w:val="18"/>
        </w:rPr>
        <w:t>使产品的投资组合比例符合本销售文件的有关约定，</w:t>
      </w:r>
      <w:r>
        <w:rPr>
          <w:rFonts w:ascii="宋体" w:hAnsi="宋体" w:eastAsia="宋体" w:cs="宋体"/>
          <w:bCs/>
          <w:sz w:val="18"/>
          <w:szCs w:val="18"/>
        </w:rPr>
        <w:t>上述</w:t>
      </w:r>
      <w:r>
        <w:rPr>
          <w:rFonts w:hint="eastAsia" w:ascii="宋体" w:hAnsi="宋体" w:eastAsia="宋体" w:cs="宋体"/>
          <w:bCs/>
          <w:sz w:val="18"/>
          <w:szCs w:val="18"/>
        </w:rPr>
        <w:t>期间</w:t>
      </w:r>
      <w:r>
        <w:rPr>
          <w:rFonts w:ascii="宋体" w:hAnsi="宋体" w:eastAsia="宋体" w:cs="宋体"/>
          <w:bCs/>
          <w:sz w:val="18"/>
          <w:szCs w:val="18"/>
        </w:rPr>
        <w:t>内</w:t>
      </w:r>
      <w:r>
        <w:rPr>
          <w:rFonts w:hint="eastAsia" w:ascii="宋体" w:hAnsi="宋体" w:eastAsia="宋体" w:cs="宋体"/>
          <w:bCs/>
          <w:sz w:val="18"/>
          <w:szCs w:val="18"/>
        </w:rPr>
        <w:t>，</w:t>
      </w:r>
      <w:r>
        <w:rPr>
          <w:rFonts w:ascii="宋体" w:hAnsi="宋体" w:eastAsia="宋体" w:cs="宋体"/>
          <w:bCs/>
          <w:sz w:val="18"/>
          <w:szCs w:val="18"/>
        </w:rPr>
        <w:t>本产品的投资</w:t>
      </w:r>
      <w:r>
        <w:rPr>
          <w:rFonts w:hint="eastAsia" w:ascii="宋体" w:hAnsi="宋体" w:eastAsia="宋体" w:cs="宋体"/>
          <w:bCs/>
          <w:sz w:val="18"/>
          <w:szCs w:val="18"/>
        </w:rPr>
        <w:t>范围、投资</w:t>
      </w:r>
      <w:r>
        <w:rPr>
          <w:rFonts w:ascii="宋体" w:hAnsi="宋体" w:eastAsia="宋体" w:cs="宋体"/>
          <w:bCs/>
          <w:sz w:val="18"/>
          <w:szCs w:val="18"/>
        </w:rPr>
        <w:t>策略</w:t>
      </w:r>
      <w:r>
        <w:rPr>
          <w:rFonts w:hint="eastAsia" w:ascii="宋体" w:hAnsi="宋体" w:eastAsia="宋体" w:cs="宋体"/>
          <w:bCs/>
          <w:sz w:val="18"/>
          <w:szCs w:val="18"/>
        </w:rPr>
        <w:t>应当符合本销售文件</w:t>
      </w:r>
      <w:r>
        <w:rPr>
          <w:rFonts w:ascii="宋体" w:hAnsi="宋体" w:eastAsia="宋体" w:cs="宋体"/>
          <w:bCs/>
          <w:sz w:val="18"/>
          <w:szCs w:val="18"/>
        </w:rPr>
        <w:t>的</w:t>
      </w:r>
      <w:r>
        <w:rPr>
          <w:rFonts w:hint="eastAsia" w:ascii="宋体" w:hAnsi="宋体" w:eastAsia="宋体" w:cs="宋体"/>
          <w:bCs/>
          <w:sz w:val="18"/>
          <w:szCs w:val="18"/>
        </w:rPr>
        <w:t>约定</w:t>
      </w:r>
      <w:r>
        <w:rPr>
          <w:rFonts w:ascii="宋体" w:hAnsi="宋体" w:eastAsia="宋体" w:cs="宋体"/>
          <w:bCs/>
          <w:sz w:val="18"/>
          <w:szCs w:val="18"/>
        </w:rPr>
        <w:t>。</w:t>
      </w:r>
      <w:r>
        <w:rPr>
          <w:rFonts w:hint="eastAsia" w:ascii="宋体" w:hAnsi="宋体" w:eastAsia="宋体" w:cs="宋体"/>
          <w:bCs/>
          <w:sz w:val="18"/>
          <w:szCs w:val="18"/>
        </w:rPr>
        <w:t>产品管理人将本着诚实信用、谨慎勤勉的原则，在规定的范围内运用理财资金进行投资。</w:t>
      </w:r>
    </w:p>
    <w:p w14:paraId="246720D4">
      <w:pPr>
        <w:autoSpaceDE w:val="0"/>
        <w:autoSpaceDN w:val="0"/>
        <w:adjustRightInd w:val="0"/>
        <w:spacing w:line="360" w:lineRule="auto"/>
        <w:ind w:firstLine="360" w:firstLineChars="200"/>
        <w:jc w:val="left"/>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sz w:val="18"/>
          <w:szCs w:val="18"/>
        </w:rPr>
        <w:t>金融市场发生重大变化导致理财产品投资比例暂时超出浮动区间且可能对理财产品收益产生重大影响的，产品管理人依约定及时向投资者进行信息披露。</w:t>
      </w:r>
    </w:p>
    <w:p w14:paraId="3B8D0F45">
      <w:pPr>
        <w:autoSpaceDE w:val="0"/>
        <w:autoSpaceDN w:val="0"/>
        <w:adjustRightInd w:val="0"/>
        <w:spacing w:line="360" w:lineRule="auto"/>
        <w:ind w:firstLine="360" w:firstLineChars="200"/>
        <w:jc w:val="left"/>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3）</w:t>
      </w:r>
      <w:r>
        <w:rPr>
          <w:rFonts w:hint="eastAsia" w:ascii="Calibri" w:hAnsi="宋体" w:cs="宋体"/>
          <w:sz w:val="18"/>
          <w:szCs w:val="18"/>
        </w:rPr>
        <w:t>★</w:t>
      </w:r>
      <w:r>
        <w:rPr>
          <w:rFonts w:hint="eastAsia" w:ascii="黑体" w:hAnsi="黑体" w:eastAsia="黑体" w:cs="宋体"/>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hAnsi="黑体" w:eastAsia="黑体" w:cs="宋体"/>
          <w:bCs/>
          <w:sz w:val="18"/>
          <w:szCs w:val="18"/>
        </w:rPr>
        <w:t>投资者有权不接受变更</w:t>
      </w:r>
      <w:r>
        <w:rPr>
          <w:rFonts w:hint="eastAsia" w:ascii="黑体" w:hAnsi="黑体" w:eastAsia="黑体" w:cs="宋体"/>
          <w:bCs/>
          <w:sz w:val="18"/>
          <w:szCs w:val="18"/>
        </w:rPr>
        <w:t>，并通过赎回退出本产品。</w:t>
      </w:r>
    </w:p>
    <w:p w14:paraId="4B2B097F">
      <w:pPr>
        <w:widowControl w:val="0"/>
        <w:autoSpaceDE w:val="0"/>
        <w:autoSpaceDN w:val="0"/>
        <w:adjustRightInd w:val="0"/>
        <w:spacing w:line="360" w:lineRule="auto"/>
        <w:ind w:firstLine="360" w:firstLineChars="200"/>
        <w:jc w:val="both"/>
        <w:rPr>
          <w:rFonts w:ascii="宋体" w:hAnsi="宋体" w:eastAsia="宋体" w:cs="宋体"/>
          <w:bCs/>
          <w:color w:val="000000"/>
          <w:sz w:val="18"/>
          <w:szCs w:val="18"/>
          <w:lang w:val="en-US" w:eastAsia="zh-CN" w:bidi="ar-SA"/>
        </w:rPr>
      </w:pPr>
      <w:r>
        <w:rPr>
          <w:rFonts w:hint="eastAsia" w:ascii="黑体" w:hAnsi="黑体" w:eastAsia="黑体" w:cs="宋体"/>
          <w:bCs/>
          <w:color w:val="000000"/>
          <w:sz w:val="18"/>
          <w:szCs w:val="18"/>
          <w:lang w:val="en-US" w:eastAsia="zh-CN" w:bidi="ar-SA"/>
        </w:rPr>
        <w:t>（</w:t>
      </w:r>
      <w:r>
        <w:rPr>
          <w:rFonts w:ascii="黑体" w:hAnsi="黑体" w:eastAsia="黑体" w:cs="宋体"/>
          <w:bCs/>
          <w:color w:val="000000"/>
          <w:sz w:val="18"/>
          <w:szCs w:val="18"/>
          <w:lang w:val="en-US" w:eastAsia="zh-CN" w:bidi="ar-SA"/>
        </w:rPr>
        <w:t>4）</w:t>
      </w:r>
      <w:r>
        <w:rPr>
          <w:rFonts w:hint="eastAsia" w:ascii="宋体" w:hAnsi="宋体" w:eastAsia="宋体" w:cs="宋体"/>
          <w:color w:val="000000"/>
          <w:sz w:val="18"/>
          <w:szCs w:val="18"/>
          <w:lang w:val="en-US" w:eastAsia="zh-CN" w:bidi="ar-SA"/>
        </w:rPr>
        <w:t>★</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按照法律法规、</w:t>
      </w:r>
      <w:r>
        <w:rPr>
          <w:rFonts w:hint="eastAsia" w:ascii="黑体" w:hAnsi="黑体" w:eastAsia="黑体" w:cs="宋体"/>
          <w:bCs/>
          <w:color w:val="000000"/>
          <w:sz w:val="18"/>
          <w:szCs w:val="18"/>
          <w:lang w:val="en-US" w:eastAsia="zh-CN" w:bidi="ar-SA"/>
        </w:rPr>
        <w:t>理财产品</w:t>
      </w:r>
      <w:r>
        <w:rPr>
          <w:rFonts w:ascii="黑体" w:hAnsi="黑体" w:eastAsia="黑体" w:cs="宋体"/>
          <w:bCs/>
          <w:color w:val="000000"/>
          <w:sz w:val="18"/>
          <w:szCs w:val="18"/>
          <w:lang w:val="en-US" w:eastAsia="zh-CN" w:bidi="ar-SA"/>
        </w:rPr>
        <w:t>销售文件及其他相关约定，诚实信用、谨慎勤勉地实施投资管理行为，以专业技能管理理财</w:t>
      </w:r>
      <w:r>
        <w:rPr>
          <w:rFonts w:hint="eastAsia" w:ascii="黑体" w:hAnsi="黑体" w:eastAsia="黑体" w:cs="宋体"/>
          <w:bCs/>
          <w:color w:val="000000"/>
          <w:sz w:val="18"/>
          <w:szCs w:val="18"/>
          <w:lang w:val="en-US" w:eastAsia="zh-CN" w:bidi="ar-SA"/>
        </w:rPr>
        <w:t>产品</w:t>
      </w:r>
      <w:r>
        <w:rPr>
          <w:rFonts w:ascii="黑体" w:hAnsi="黑体" w:eastAsia="黑体" w:cs="宋体"/>
          <w:bCs/>
          <w:color w:val="000000"/>
          <w:sz w:val="18"/>
          <w:szCs w:val="18"/>
          <w:lang w:val="en-US" w:eastAsia="zh-CN" w:bidi="ar-SA"/>
        </w:rPr>
        <w:t>资产，依法维护理财产品全体投资者的利益。</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不对本产品的收益情况作出承诺或保证，亦不会承诺或保证最低收益或本金安全。</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按照本</w:t>
      </w:r>
      <w:r>
        <w:rPr>
          <w:rFonts w:hint="eastAsia" w:ascii="黑体" w:hAnsi="黑体" w:eastAsia="黑体" w:cs="宋体"/>
          <w:bCs/>
          <w:color w:val="000000"/>
          <w:sz w:val="18"/>
          <w:szCs w:val="18"/>
          <w:lang w:val="en-US" w:eastAsia="zh-CN" w:bidi="ar-SA"/>
        </w:rPr>
        <w:t>销售文件</w:t>
      </w:r>
      <w:r>
        <w:rPr>
          <w:rFonts w:ascii="黑体" w:hAnsi="黑体" w:eastAsia="黑体" w:cs="宋体"/>
          <w:bCs/>
          <w:color w:val="000000"/>
          <w:sz w:val="18"/>
          <w:szCs w:val="18"/>
          <w:lang w:val="en-US" w:eastAsia="zh-CN" w:bidi="ar-SA"/>
        </w:rPr>
        <w:t>及其他相关</w:t>
      </w:r>
      <w:r>
        <w:rPr>
          <w:rFonts w:hint="eastAsia" w:ascii="黑体" w:hAnsi="黑体" w:eastAsia="黑体" w:cs="宋体"/>
          <w:bCs/>
          <w:color w:val="000000"/>
          <w:sz w:val="18"/>
          <w:szCs w:val="18"/>
          <w:lang w:val="en-US" w:eastAsia="zh-CN" w:bidi="ar-SA"/>
        </w:rPr>
        <w:t>文件</w:t>
      </w:r>
      <w:r>
        <w:rPr>
          <w:rFonts w:ascii="黑体" w:hAnsi="黑体" w:eastAsia="黑体" w:cs="宋体"/>
          <w:bCs/>
          <w:color w:val="000000"/>
          <w:sz w:val="18"/>
          <w:szCs w:val="18"/>
          <w:lang w:val="en-US" w:eastAsia="zh-CN" w:bidi="ar-SA"/>
        </w:rPr>
        <w:t>的规定进行投资运作，由此所产生的损失，</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不承担</w:t>
      </w:r>
      <w:r>
        <w:rPr>
          <w:rFonts w:hint="eastAsia" w:ascii="黑体" w:hAnsi="黑体" w:eastAsia="黑体" w:cs="宋体"/>
          <w:bCs/>
          <w:color w:val="000000"/>
          <w:sz w:val="18"/>
          <w:szCs w:val="18"/>
          <w:lang w:val="en-US" w:eastAsia="zh-CN" w:bidi="ar-SA"/>
        </w:rPr>
        <w:t>责任</w:t>
      </w:r>
      <w:r>
        <w:rPr>
          <w:rFonts w:ascii="黑体" w:hAnsi="黑体" w:eastAsia="黑体" w:cs="宋体"/>
          <w:bCs/>
          <w:color w:val="000000"/>
          <w:sz w:val="18"/>
          <w:szCs w:val="18"/>
          <w:lang w:val="en-US" w:eastAsia="zh-CN" w:bidi="ar-SA"/>
        </w:rPr>
        <w:t>。</w:t>
      </w:r>
    </w:p>
    <w:p w14:paraId="57574109">
      <w:pPr>
        <w:widowControl w:val="0"/>
        <w:autoSpaceDE w:val="0"/>
        <w:autoSpaceDN w:val="0"/>
        <w:adjustRightInd w:val="0"/>
        <w:spacing w:line="360" w:lineRule="auto"/>
        <w:ind w:firstLine="271" w:firstLineChars="150"/>
        <w:rPr>
          <w:rFonts w:ascii="宋体" w:hAnsi="Calibri" w:eastAsia="宋体" w:cs="宋体"/>
          <w:color w:val="000000"/>
          <w:sz w:val="24"/>
          <w:szCs w:val="24"/>
          <w:lang w:val="en-US" w:eastAsia="zh-CN" w:bidi="ar-SA"/>
        </w:rPr>
      </w:pPr>
      <w:r>
        <w:rPr>
          <w:rFonts w:hint="eastAsia" w:ascii="宋体" w:hAnsi="宋体" w:eastAsia="宋体" w:cs="宋体"/>
          <w:b/>
          <w:color w:val="auto"/>
          <w:sz w:val="18"/>
          <w:szCs w:val="18"/>
          <w:lang w:val="en-US" w:eastAsia="zh-CN" w:bidi="ar-SA"/>
        </w:rPr>
        <w:t>（三）投资限制</w:t>
      </w:r>
    </w:p>
    <w:p w14:paraId="2B05FF9C">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1.组合限制</w:t>
      </w:r>
    </w:p>
    <w:p w14:paraId="73F3CC7F">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（1）每只公募理财产品投资单只证券或者单只公募证券投资基金的市值不得超过该理财产品净资产的10%。</w:t>
      </w:r>
    </w:p>
    <w:p w14:paraId="5CB86AE5">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（2）全部公募理财产品持有单只证券或单只公募证券投资基金的市值，不得超过该证券市值或该公募证券投资基金市值的30%。</w:t>
      </w:r>
    </w:p>
    <w:p w14:paraId="10272C0A">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（3）全部理财产品持有单一上市公司发行的股票，不得超过该上市公司可流通股票的30%。</w:t>
      </w:r>
    </w:p>
    <w:p w14:paraId="635B8A3E">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 xml:space="preserve">（4）全部开放式公募理财产品投资单一上市公司发行的股票不得超过该上市公司可流通股票的15%。 </w:t>
      </w:r>
    </w:p>
    <w:p w14:paraId="52C78117">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5）每只开放式公募理财产品和每个交易日开放的私募理财产品直接投资于流动性受限资产的市值在开放日不得超过该产品资产净值的15%。每只定期开放式私募理财产品直接投资于流动性受限资产的市值在开放日不得超过该产品资产净值的20%。</w:t>
      </w:r>
    </w:p>
    <w:p w14:paraId="75FAD67C">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面向单一投资者发行的私募理财产品可不受前款比例限制。</w:t>
      </w:r>
    </w:p>
    <w:p w14:paraId="6D7CB524">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因证券市场波动、上市公司股票停牌、理财产品规模变动等因素导致理财产品不符合本款规定比例限制的，该理财产品不得主动新增投资流动性受限资产。</w:t>
      </w:r>
    </w:p>
    <w:p w14:paraId="79538CC9">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6）开放式公募理财产品定期开放周期不低于90天的，在开放日及开放日前7个工作日内持有不低于该产品资产净值5%的现金或者到期日在一年以内的国债、中央银行票据和政策性金融债券。其他开放式公募理财产品持续满足持有不低于该产品资产净值5%的现金或者到期日在一年以内的国债、中央银行票据和政策性金融债券。</w:t>
      </w:r>
    </w:p>
    <w:p w14:paraId="34A462A9">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 xml:space="preserve">（7）每只开放式理财产品每日确认且需当日支付的净赎回申请不超过前一工作日产品7个工作日可变现资产的可变现价值，监管部门另有规定的除外。在开放日前一工作日内，每只开放式理财产品7个工作日可变现资产的可变现价值应当不低于该产品资产净值的10%。 </w:t>
      </w:r>
    </w:p>
    <w:p w14:paraId="7D8B57FF">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面向单一投资者发行的私募理财产品可不受前款比例限制。</w:t>
      </w:r>
    </w:p>
    <w:p w14:paraId="61448794">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 xml:space="preserve">（8）本产品因为流动性需要可开展存单质押、债券正回购等融资业务，本产品总资产不超过净资产的140%。 </w:t>
      </w:r>
    </w:p>
    <w:p w14:paraId="03147D6F">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非因产品管理人主观因素导致突破前述比例限制的，产品管理人应当在流动性受限资产可出售、可转让或者恢复交易的10个交易日内调整至符合要求，监管机构规定的特殊情形除外。本产品投资于国债、地方政府债券、中央银行票据、政府机构债券、政策性金融债券以及完全按照有关指数的构成比例进行投资的除外。</w:t>
      </w:r>
    </w:p>
    <w:p w14:paraId="4809709B">
      <w:pPr>
        <w:spacing w:line="360" w:lineRule="auto"/>
        <w:ind w:firstLine="360" w:firstLineChars="200"/>
        <w:rPr>
          <w:rFonts w:ascii="宋体" w:hAnsi="宋体" w:cs="宋体"/>
          <w:bCs/>
          <w:sz w:val="18"/>
          <w:szCs w:val="18"/>
        </w:rPr>
      </w:pPr>
      <w:r>
        <w:rPr>
          <w:rFonts w:ascii="宋体" w:hAnsi="宋体" w:cs="宋体"/>
          <w:bCs/>
          <w:sz w:val="18"/>
          <w:szCs w:val="18"/>
        </w:rPr>
        <w:t>2.</w:t>
      </w:r>
      <w:r>
        <w:rPr>
          <w:rFonts w:hint="eastAsia" w:ascii="宋体" w:hAnsi="宋体" w:cs="宋体"/>
          <w:bCs/>
          <w:sz w:val="18"/>
          <w:szCs w:val="18"/>
        </w:rPr>
        <w:t>其他投资限制：</w:t>
      </w:r>
    </w:p>
    <w:p w14:paraId="02D79F32">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1</w:t>
      </w:r>
      <w:r>
        <w:rPr>
          <w:rFonts w:hint="eastAsia" w:ascii="宋体" w:hAnsi="宋体" w:cs="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14:paraId="7E65ACC1">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2</w:t>
      </w:r>
      <w:r>
        <w:rPr>
          <w:rFonts w:hint="eastAsia" w:ascii="宋体" w:hAnsi="宋体" w:cs="宋体"/>
          <w:bCs/>
          <w:sz w:val="18"/>
          <w:szCs w:val="18"/>
        </w:rPr>
        <w:t>）面向非机构投资者发行的理财产品不得直接或间接投资于不良资产、不良资产支持证券，国务院银行业监督管理机构另有规定的除外。</w:t>
      </w:r>
    </w:p>
    <w:p w14:paraId="494D9F5A">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3</w:t>
      </w:r>
      <w:r>
        <w:rPr>
          <w:rFonts w:hint="eastAsia" w:ascii="宋体" w:hAnsi="宋体" w:cs="宋体"/>
          <w:bCs/>
          <w:sz w:val="18"/>
          <w:szCs w:val="18"/>
        </w:rPr>
        <w:t>）不得直接或间接投资于《商业银行理财业务监督管理办法》（银保监会令</w:t>
      </w:r>
      <w:r>
        <w:rPr>
          <w:rFonts w:ascii="宋体" w:hAnsi="宋体" w:cs="宋体"/>
          <w:bCs/>
          <w:sz w:val="18"/>
          <w:szCs w:val="18"/>
        </w:rPr>
        <w:t>2018年第6号）第三十五条所列示资产之外，由未经金融监督管理部门许可设立、</w:t>
      </w:r>
      <w:r>
        <w:rPr>
          <w:rFonts w:hint="eastAsia" w:ascii="宋体" w:hAnsi="宋体" w:cs="宋体"/>
          <w:bCs/>
          <w:sz w:val="18"/>
          <w:szCs w:val="18"/>
        </w:rPr>
        <w:t>不持有金融牌照的机构发行的产品或管理的资产，金融资产投资公司的附属机构依法依规设立的私募股权投资基金以及国务院银行业监督管理机构另有规定的除外。</w:t>
      </w:r>
    </w:p>
    <w:p w14:paraId="621BCAFB">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4</w:t>
      </w:r>
      <w:r>
        <w:rPr>
          <w:rFonts w:hint="eastAsia" w:ascii="宋体" w:hAnsi="宋体" w:cs="宋体"/>
          <w:bCs/>
          <w:sz w:val="18"/>
          <w:szCs w:val="18"/>
        </w:rPr>
        <w:t>）不得直接或间接投资于兴业银行信贷资产受（收）益权，面向非机构投资者发行的理财产品不得直接或间接投资于不良资产受（收）益权。</w:t>
      </w:r>
    </w:p>
    <w:p w14:paraId="6D4C2D19">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5</w:t>
      </w:r>
      <w:r>
        <w:rPr>
          <w:rFonts w:hint="eastAsia" w:ascii="宋体" w:hAnsi="宋体" w:cs="宋体"/>
          <w:bCs/>
          <w:sz w:val="18"/>
          <w:szCs w:val="18"/>
        </w:rPr>
        <w:t>）其他法律法规规定或监管规定禁止或限制理财产品投资的情形。</w:t>
      </w:r>
    </w:p>
    <w:p w14:paraId="6BCC75F6">
      <w:pPr>
        <w:spacing w:line="360" w:lineRule="auto"/>
        <w:ind w:firstLine="360" w:firstLineChars="200"/>
        <w:rPr>
          <w:rFonts w:ascii="宋体" w:hAnsi="宋体" w:eastAsia="宋体" w:cs="宋体"/>
          <w:bCs/>
          <w:sz w:val="18"/>
          <w:szCs w:val="18"/>
        </w:rPr>
      </w:pPr>
      <w:r>
        <w:rPr>
          <w:rFonts w:ascii="宋体" w:hAnsi="宋体" w:eastAsia="宋体" w:cs="宋体"/>
          <w:bCs/>
          <w:sz w:val="18"/>
          <w:szCs w:val="18"/>
        </w:rPr>
        <w:t>3</w:t>
      </w:r>
      <w:r>
        <w:rPr>
          <w:rFonts w:hint="eastAsia" w:ascii="宋体" w:hAnsi="宋体" w:eastAsia="宋体" w:cs="宋体"/>
          <w:bCs/>
          <w:sz w:val="18"/>
          <w:szCs w:val="18"/>
        </w:rPr>
        <w:t>.</w:t>
      </w:r>
      <w:r>
        <w:rPr>
          <w:rFonts w:ascii="宋体" w:hAnsi="宋体" w:eastAsia="宋体" w:cs="宋体"/>
          <w:bCs/>
          <w:sz w:val="18"/>
          <w:szCs w:val="18"/>
        </w:rPr>
        <w:t>如果法律法规对本</w:t>
      </w:r>
      <w:r>
        <w:rPr>
          <w:rFonts w:hint="eastAsia" w:ascii="宋体" w:hAnsi="宋体" w:eastAsia="宋体" w:cs="宋体"/>
          <w:bCs/>
          <w:sz w:val="18"/>
          <w:szCs w:val="18"/>
        </w:rPr>
        <w:t>销售文件</w:t>
      </w:r>
      <w:r>
        <w:rPr>
          <w:rFonts w:ascii="宋体" w:hAnsi="宋体" w:eastAsia="宋体" w:cs="宋体"/>
          <w:bCs/>
          <w:sz w:val="18"/>
          <w:szCs w:val="18"/>
        </w:rPr>
        <w:t>约定的投资限制进行变更的，以变更后的规定为准。</w:t>
      </w:r>
    </w:p>
    <w:p w14:paraId="6C2941FA">
      <w:pPr>
        <w:spacing w:line="360" w:lineRule="auto"/>
        <w:ind w:firstLine="361" w:firstLineChars="200"/>
        <w:rPr>
          <w:rFonts w:ascii="宋体" w:hAnsi="宋体" w:eastAsia="宋体" w:cs="宋体"/>
          <w:b/>
          <w:bCs/>
          <w:sz w:val="18"/>
          <w:szCs w:val="18"/>
        </w:rPr>
      </w:pPr>
      <w:r>
        <w:rPr>
          <w:rFonts w:ascii="宋体" w:hAnsi="宋体" w:eastAsia="宋体" w:cs="宋体"/>
          <w:b/>
          <w:bCs/>
          <w:sz w:val="18"/>
          <w:szCs w:val="18"/>
        </w:rPr>
        <w:t>（</w:t>
      </w:r>
      <w:r>
        <w:rPr>
          <w:rFonts w:hint="eastAsia" w:ascii="宋体" w:hAnsi="宋体" w:eastAsia="宋体" w:cs="宋体"/>
          <w:b/>
          <w:bCs/>
          <w:sz w:val="18"/>
          <w:szCs w:val="18"/>
        </w:rPr>
        <w:t>四</w:t>
      </w:r>
      <w:r>
        <w:rPr>
          <w:rFonts w:ascii="宋体" w:hAnsi="宋体" w:eastAsia="宋体" w:cs="宋体"/>
          <w:b/>
          <w:bCs/>
          <w:sz w:val="18"/>
          <w:szCs w:val="18"/>
        </w:rPr>
        <w:t>）</w:t>
      </w:r>
      <w:r>
        <w:rPr>
          <w:rFonts w:hint="eastAsia" w:ascii="宋体" w:hAnsi="宋体" w:eastAsia="宋体" w:cs="宋体"/>
          <w:b/>
          <w:bCs/>
          <w:sz w:val="18"/>
          <w:szCs w:val="18"/>
        </w:rPr>
        <w:t>投资策略</w:t>
      </w:r>
    </w:p>
    <w:p w14:paraId="51B55F01">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auto"/>
          <w:sz w:val="18"/>
          <w:szCs w:val="18"/>
          <w:lang w:val="en-US" w:eastAsia="zh-CN" w:bidi="ar-SA"/>
        </w:rPr>
        <w:t>【本产品根据对短期利率变动的预测，采用投资组合平均剩余期限控制下的主动性投资策略，利用定性分析和定量分析方法，通过对短期金融工具的积极投资，在控制风险和保证流动性的基础上，力争获得稳定的当期收益。】</w:t>
      </w:r>
    </w:p>
    <w:p w14:paraId="116DEE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200"/>
        <w:jc w:val="left"/>
        <w:rPr>
          <w:rFonts w:ascii="宋体" w:hAnsi="宋体" w:eastAsia="宋体" w:cs="宋体"/>
          <w:kern w:val="0"/>
          <w:sz w:val="18"/>
          <w:szCs w:val="18"/>
          <w:lang w:val="en-US" w:eastAsia="zh-CN" w:bidi="ar-SA"/>
        </w:rPr>
      </w:pPr>
      <w:r>
        <w:rPr>
          <w:rFonts w:ascii="宋体" w:hAnsi="宋体" w:eastAsia="宋体" w:cs="宋体"/>
          <w:kern w:val="0"/>
          <w:sz w:val="18"/>
          <w:szCs w:val="18"/>
          <w:lang w:val="en-US" w:eastAsia="zh-CN" w:bidi="ar-SA"/>
        </w:rPr>
        <w:br w:type="page"/>
      </w:r>
    </w:p>
    <w:p w14:paraId="466C09B4">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132" w:name="_Toc7848"/>
      <w:bookmarkStart w:id="133" w:name="_Toc14893"/>
      <w:bookmarkStart w:id="134" w:name="_Toc141703885"/>
      <w:bookmarkStart w:id="135" w:name="_Toc18797"/>
      <w:bookmarkStart w:id="136" w:name="_Toc79154669"/>
      <w:bookmarkStart w:id="137" w:name="_Toc5702"/>
      <w:bookmarkStart w:id="138" w:name="_Toc1823"/>
      <w:bookmarkStart w:id="139" w:name="_Toc92377135"/>
      <w:bookmarkStart w:id="140" w:name="_Toc27967"/>
      <w:bookmarkStart w:id="141" w:name="_Toc21988"/>
      <w:bookmarkStart w:id="142" w:name="_Toc4741"/>
      <w:bookmarkStart w:id="143" w:name="_Toc26986"/>
      <w:bookmarkStart w:id="144" w:name="_Toc17912"/>
      <w:bookmarkStart w:id="145" w:name="_Toc31087"/>
      <w:bookmarkStart w:id="146" w:name="_Toc18526"/>
      <w:bookmarkStart w:id="147" w:name="_Toc74065742"/>
      <w:bookmarkStart w:id="148" w:name="_Toc18329"/>
      <w:bookmarkStart w:id="149" w:name="_Toc139991735"/>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六条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理财产品的资产</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4D356A62">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bookmarkStart w:id="150" w:name="_Hlk490214295"/>
      <w:r>
        <w:rPr>
          <w:rFonts w:hint="eastAsia" w:ascii="宋体" w:hAnsi="宋体" w:eastAsia="宋体" w:cs="宋体"/>
          <w:b/>
          <w:color w:val="auto"/>
          <w:sz w:val="18"/>
          <w:szCs w:val="18"/>
          <w:lang w:val="en-US" w:eastAsia="zh-CN" w:bidi="ar-SA"/>
        </w:rPr>
        <w:t>（一）理财产品的资产的保管和处分</w:t>
      </w:r>
    </w:p>
    <w:p w14:paraId="03B5EB7A">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本理财产品的资产独立于产品管理人和产品托管人的财产，并由产品托管人保管。</w:t>
      </w:r>
    </w:p>
    <w:p w14:paraId="67F05C56">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产品管理人和产品托管人以其自有的财产承担其自身的法律责任，其债权人不得对本产品财产行使请求冻结、扣押或其他权利。除依法律法规规定的处分外，理财产品的资产不得被处分。</w:t>
      </w:r>
    </w:p>
    <w:p w14:paraId="01009C7E">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w:t>
      </w:r>
      <w:r>
        <w:rPr>
          <w:rFonts w:hint="eastAsia" w:ascii="宋体" w:hAnsi="宋体" w:eastAsia="宋体" w:cs="宋体"/>
          <w:color w:val="auto"/>
          <w:sz w:val="18"/>
          <w:szCs w:val="18"/>
          <w:lang w:val="en-US" w:eastAsia="zh-CN" w:bidi="ar-SA"/>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14:paraId="5033106B">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（二）理财产品的有关账户</w:t>
      </w:r>
    </w:p>
    <w:p w14:paraId="3CDF0E31">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产品管理人和产品托管人根据相关法律法规、规范性文件为本产品开立资金账户、证券账户以及投资所需的其他专用账户。</w:t>
      </w:r>
    </w:p>
    <w:p w14:paraId="4D05866B">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开立的理财专用账户与产品管理人和产品托管人自有的财产账户以及其他理财产品的有关账户相独立。</w:t>
      </w:r>
    </w:p>
    <w:p w14:paraId="0452C8BC">
      <w:pPr>
        <w:widowControl/>
        <w:spacing w:line="360" w:lineRule="auto"/>
        <w:jc w:val="left"/>
        <w:rPr>
          <w:rFonts w:ascii="宋体" w:hAnsi="宋体" w:eastAsia="宋体" w:cs="宋体"/>
          <w:kern w:val="0"/>
          <w:sz w:val="18"/>
          <w:szCs w:val="18"/>
        </w:rPr>
      </w:pPr>
      <w:r>
        <w:rPr>
          <w:rFonts w:ascii="宋体" w:hAnsi="宋体" w:eastAsia="宋体" w:cs="宋体"/>
          <w:sz w:val="18"/>
          <w:szCs w:val="18"/>
        </w:rPr>
        <w:br w:type="page"/>
      </w:r>
    </w:p>
    <w:bookmarkEnd w:id="150"/>
    <w:p w14:paraId="4D9D1FC8">
      <w:pPr>
        <w:keepNext/>
        <w:keepLines/>
        <w:widowControl w:val="0"/>
        <w:spacing w:before="0" w:after="0" w:line="360" w:lineRule="auto"/>
        <w:jc w:val="center"/>
        <w:outlineLvl w:val="0"/>
        <w:rPr>
          <w:rFonts w:ascii="Times New Roman" w:hAnsi="Calibri" w:eastAsia="宋体" w:cs="宋体"/>
          <w:b/>
          <w:bCs/>
          <w:kern w:val="44"/>
          <w:sz w:val="28"/>
          <w:szCs w:val="28"/>
          <w:lang w:val="en-US" w:eastAsia="zh-CN" w:bidi="ar-SA"/>
        </w:rPr>
      </w:pPr>
      <w:bookmarkStart w:id="151" w:name="_Toc11152"/>
      <w:bookmarkStart w:id="152" w:name="_Toc83391971"/>
      <w:bookmarkStart w:id="153" w:name="_Toc13903"/>
      <w:bookmarkStart w:id="154" w:name="_Toc92377136"/>
      <w:bookmarkStart w:id="155" w:name="_Toc19132"/>
      <w:bookmarkStart w:id="156" w:name="_Toc17244"/>
      <w:bookmarkStart w:id="157" w:name="_Toc139991736"/>
      <w:bookmarkStart w:id="158" w:name="_Toc7920"/>
      <w:bookmarkStart w:id="159" w:name="_Toc1270"/>
      <w:bookmarkStart w:id="160" w:name="_Toc74065743"/>
      <w:bookmarkStart w:id="161" w:name="_Toc20733"/>
      <w:bookmarkStart w:id="162" w:name="_Toc1427"/>
      <w:bookmarkStart w:id="163" w:name="_Toc10463"/>
      <w:bookmarkStart w:id="164" w:name="_Toc23822"/>
      <w:bookmarkStart w:id="165" w:name="_Toc141703886"/>
      <w:bookmarkStart w:id="166" w:name="_Toc98560352"/>
      <w:bookmarkStart w:id="167" w:name="_Toc79154670"/>
      <w:bookmarkStart w:id="168" w:name="_Toc23261"/>
      <w:bookmarkStart w:id="169" w:name="_Toc79392606"/>
      <w:bookmarkStart w:id="170" w:name="_Toc123102453"/>
      <w:bookmarkStart w:id="171" w:name="_Toc123051452"/>
      <w:bookmarkStart w:id="172" w:name="_Toc4003"/>
      <w:bookmarkStart w:id="173" w:name="_Toc48649707"/>
      <w:bookmarkStart w:id="174" w:name="_Toc123112234"/>
      <w:bookmarkStart w:id="175" w:name="_Toc610"/>
      <w:r>
        <w:rPr>
          <w:rFonts w:hint="eastAsia" w:ascii="Times New Roman" w:hAnsi="Calibri" w:eastAsia="宋体" w:cs="宋体"/>
          <w:b/>
          <w:bCs/>
          <w:kern w:val="44"/>
          <w:sz w:val="28"/>
          <w:szCs w:val="28"/>
          <w:lang w:val="en-US" w:eastAsia="zh-CN" w:bidi="ar-SA"/>
        </w:rPr>
        <w:t>第七条</w:t>
      </w:r>
      <w:r>
        <w:rPr>
          <w:rFonts w:ascii="Times New Roman" w:hAnsi="Calibri" w:eastAsia="宋体" w:cs="宋体"/>
          <w:b/>
          <w:bCs/>
          <w:kern w:val="44"/>
          <w:sz w:val="28"/>
          <w:szCs w:val="28"/>
          <w:lang w:val="en-US" w:eastAsia="zh-CN" w:bidi="ar-SA"/>
        </w:rPr>
        <w:t xml:space="preserve">  </w:t>
      </w:r>
      <w:r>
        <w:rPr>
          <w:rFonts w:hint="eastAsia" w:ascii="Times New Roman" w:hAnsi="Calibri" w:eastAsia="宋体" w:cs="宋体"/>
          <w:b/>
          <w:bCs/>
          <w:kern w:val="44"/>
          <w:sz w:val="28"/>
          <w:szCs w:val="28"/>
          <w:lang w:val="en-US" w:eastAsia="zh-CN" w:bidi="ar-SA"/>
        </w:rPr>
        <w:t>理财产品项下资产的估值</w:t>
      </w:r>
      <w:bookmarkEnd w:id="151"/>
      <w:bookmarkEnd w:id="152"/>
      <w:bookmarkEnd w:id="153"/>
      <w:bookmarkEnd w:id="154"/>
      <w:bookmarkEnd w:id="155"/>
    </w:p>
    <w:p w14:paraId="6AFA55A7">
      <w:pPr>
        <w:widowControl w:val="0"/>
        <w:autoSpaceDE w:val="0"/>
        <w:autoSpaceDN w:val="0"/>
        <w:adjustRightInd w:val="0"/>
        <w:spacing w:line="360" w:lineRule="auto"/>
        <w:ind w:firstLine="360" w:firstLineChars="200"/>
        <w:rPr>
          <w:rFonts w:ascii="黑体" w:hAnsi="黑体" w:eastAsia="黑体" w:cs="宋体"/>
          <w:color w:val="auto"/>
          <w:sz w:val="18"/>
          <w:szCs w:val="18"/>
          <w:lang w:val="en-US" w:eastAsia="zh-CN" w:bidi="ar-SA"/>
        </w:rPr>
      </w:pPr>
      <w:r>
        <w:rPr>
          <w:rFonts w:hint="eastAsia" w:ascii="黑体" w:hAnsi="黑体" w:eastAsia="黑体" w:cs="宋体"/>
          <w:color w:val="auto"/>
          <w:sz w:val="18"/>
          <w:szCs w:val="18"/>
          <w:lang w:val="en-US" w:eastAsia="zh-CN" w:bidi="ar-SA"/>
        </w:rPr>
        <w:t>★注：本说明书估值条款所涉及的资产相关描述，仅为估值条款完备性而设计，并不代表本产品投资范围涉及该资产。本产品的投资范围仍应以“第五条 理财产品的投资”约定为准。</w:t>
      </w:r>
    </w:p>
    <w:p w14:paraId="6397A084">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（一）估值目的</w:t>
      </w:r>
    </w:p>
    <w:p w14:paraId="653EB885">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理财资产估值的目的是客观、准确地反映理财资产是否保值、增值。</w:t>
      </w:r>
    </w:p>
    <w:p w14:paraId="574BB484">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（二）估值频率</w:t>
      </w:r>
    </w:p>
    <w:p w14:paraId="039C53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200"/>
        <w:jc w:val="left"/>
        <w:rPr>
          <w:rFonts w:ascii="宋体" w:hAnsi="宋体" w:eastAsia="宋体" w:cs="宋体"/>
          <w:color w:val="2E3033"/>
          <w:kern w:val="0"/>
          <w:sz w:val="18"/>
          <w:szCs w:val="18"/>
          <w:lang w:val="en-US" w:eastAsia="zh-CN" w:bidi="ar-SA"/>
        </w:rPr>
      </w:pPr>
      <w:r>
        <w:rPr>
          <w:rFonts w:hint="eastAsia" w:ascii="宋体" w:hAnsi="宋体" w:eastAsia="宋体" w:cs="宋体"/>
          <w:kern w:val="0"/>
          <w:sz w:val="18"/>
          <w:szCs w:val="18"/>
          <w:lang w:val="en-US" w:eastAsia="zh-CN" w:bidi="ar-SA"/>
        </w:rPr>
        <w:t>本产品存续期间</w:t>
      </w:r>
      <w:r>
        <w:rPr>
          <w:rFonts w:hint="eastAsia" w:ascii="宋体" w:hAnsi="宋体" w:eastAsia="宋体" w:cs="Times New Roman"/>
          <w:kern w:val="0"/>
          <w:sz w:val="18"/>
          <w:szCs w:val="18"/>
          <w:lang w:val="en-US" w:eastAsia="zh-CN" w:bidi="ar-SA"/>
        </w:rPr>
        <w:t>，每个【工作日】进行一次估值</w:t>
      </w:r>
      <w:r>
        <w:rPr>
          <w:rFonts w:hint="eastAsia" w:ascii="宋体" w:hAnsi="宋体" w:eastAsia="宋体" w:cs="宋体"/>
          <w:color w:val="2E3033"/>
          <w:kern w:val="0"/>
          <w:sz w:val="18"/>
          <w:szCs w:val="18"/>
          <w:lang w:val="en-US" w:eastAsia="zh-CN" w:bidi="ar-SA"/>
        </w:rPr>
        <w:t>。</w:t>
      </w:r>
    </w:p>
    <w:p w14:paraId="4C1544A8">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（三）估值对象</w:t>
      </w:r>
    </w:p>
    <w:p w14:paraId="09F1D4EF">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本产品所拥有的各类证券、资产管理产品、银行存款、应收款项、其它投资等资产及负债。</w:t>
      </w:r>
    </w:p>
    <w:p w14:paraId="74327C21">
      <w:pPr>
        <w:widowControl w:val="0"/>
        <w:autoSpaceDE w:val="0"/>
        <w:autoSpaceDN w:val="0"/>
        <w:adjustRightInd w:val="0"/>
        <w:spacing w:line="360" w:lineRule="auto"/>
        <w:ind w:firstLine="361" w:firstLineChars="200"/>
        <w:rPr>
          <w:rFonts w:ascii="宋体" w:hAnsi="宋体" w:eastAsia="宋体" w:cs="宋体"/>
          <w:b/>
          <w:color w:val="000000"/>
          <w:sz w:val="18"/>
          <w:szCs w:val="18"/>
          <w:lang w:val="en-US" w:eastAsia="zh-CN" w:bidi="ar-SA"/>
        </w:rPr>
      </w:pPr>
      <w:r>
        <w:rPr>
          <w:rFonts w:hint="eastAsia" w:ascii="宋体" w:hAnsi="宋体" w:eastAsia="宋体" w:cs="宋体"/>
          <w:b/>
          <w:color w:val="000000"/>
          <w:sz w:val="18"/>
          <w:szCs w:val="18"/>
          <w:lang w:val="en-US" w:eastAsia="zh-CN" w:bidi="ar-SA"/>
        </w:rPr>
        <w:t>（四）估值方法</w:t>
      </w:r>
    </w:p>
    <w:p w14:paraId="0DAD741E">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标准化债权类资产估值</w:t>
      </w:r>
    </w:p>
    <w:p w14:paraId="7B612022">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标准化债权类资产，是指满足中国人民银行制定的标准化债权类资产具体认定规则的债权类资产。主要包括：证券交易所与银行间市场发行的债券、资产支持证券、资产支持票据等。估值方法具体如下：</w:t>
      </w:r>
    </w:p>
    <w:p w14:paraId="0FD91A0D">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标准化债权类</w:t>
      </w:r>
      <w:r>
        <w:rPr>
          <w:rFonts w:ascii="宋体" w:hAnsi="宋体" w:eastAsia="宋体" w:cs="宋体"/>
          <w:bCs/>
          <w:color w:val="auto"/>
          <w:sz w:val="18"/>
          <w:szCs w:val="18"/>
          <w:lang w:val="en-US" w:eastAsia="zh-CN" w:bidi="ar-SA"/>
        </w:rPr>
        <w:t>资产以公允价值计量，主要依据为第三方估值机构提供的价格数据。</w:t>
      </w:r>
      <w:r>
        <w:rPr>
          <w:rFonts w:hint="eastAsia" w:ascii="宋体" w:hAnsi="宋体" w:eastAsia="宋体" w:cs="宋体"/>
          <w:bCs/>
          <w:color w:val="auto"/>
          <w:sz w:val="18"/>
          <w:szCs w:val="18"/>
          <w:lang w:val="en-US" w:eastAsia="zh-CN" w:bidi="ar-SA"/>
        </w:rPr>
        <w:t>第三方估值机构包括：中央国债登记结算公司和中证指数有限公司。</w:t>
      </w:r>
    </w:p>
    <w:p w14:paraId="0A19C173">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（2）对已发行但未上市流通，且第三方估值机构未提供估值数据的标准化债权类资产，</w:t>
      </w:r>
      <w:r>
        <w:rPr>
          <w:rFonts w:hint="eastAsia" w:ascii="宋体" w:hAnsi="宋体" w:eastAsia="宋体" w:cs="宋体"/>
          <w:bCs/>
          <w:color w:val="auto"/>
          <w:sz w:val="18"/>
          <w:szCs w:val="18"/>
          <w:lang w:val="en-US" w:eastAsia="zh-CN" w:bidi="ar-SA"/>
        </w:rPr>
        <w:t>采用当前情况下适用并且有足够可利用数据和其他信息支持的估值技术确定其公允价值。</w:t>
      </w:r>
    </w:p>
    <w:p w14:paraId="022A5550">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（3</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对于</w:t>
      </w:r>
      <w:r>
        <w:rPr>
          <w:rFonts w:ascii="宋体" w:hAnsi="宋体" w:eastAsia="宋体" w:cs="宋体"/>
          <w:bCs/>
          <w:color w:val="auto"/>
          <w:sz w:val="18"/>
          <w:szCs w:val="18"/>
          <w:lang w:val="en-US" w:eastAsia="zh-CN" w:bidi="ar-SA"/>
        </w:rPr>
        <w:t>同时在多个不同市场交易的标准化债权类资产，</w:t>
      </w:r>
      <w:r>
        <w:rPr>
          <w:rFonts w:hint="eastAsia" w:ascii="宋体" w:hAnsi="宋体" w:eastAsia="宋体" w:cs="宋体"/>
          <w:bCs/>
          <w:color w:val="auto"/>
          <w:sz w:val="18"/>
          <w:szCs w:val="18"/>
          <w:lang w:val="en-US" w:eastAsia="zh-CN" w:bidi="ar-SA"/>
        </w:rPr>
        <w:t>按照其</w:t>
      </w:r>
      <w:r>
        <w:rPr>
          <w:rFonts w:ascii="宋体" w:hAnsi="宋体" w:eastAsia="宋体" w:cs="宋体"/>
          <w:bCs/>
          <w:color w:val="auto"/>
          <w:sz w:val="18"/>
          <w:szCs w:val="18"/>
          <w:lang w:val="en-US" w:eastAsia="zh-CN" w:bidi="ar-SA"/>
        </w:rPr>
        <w:t>所处的市场及相应的估值标准，分别进行估值。</w:t>
      </w:r>
    </w:p>
    <w:p w14:paraId="205F9A07">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24"/>
          <w:lang w:val="en-US" w:eastAsia="zh-CN" w:bidi="ar-SA"/>
        </w:rPr>
        <w:t>2.</w:t>
      </w:r>
      <w:r>
        <w:rPr>
          <w:rFonts w:hint="eastAsia" w:ascii="宋体" w:hAnsi="宋体" w:eastAsia="宋体" w:cs="宋体"/>
          <w:bCs/>
          <w:color w:val="auto"/>
          <w:sz w:val="18"/>
          <w:szCs w:val="18"/>
          <w:lang w:val="en-US" w:eastAsia="zh-CN" w:bidi="ar-SA"/>
        </w:rPr>
        <w:t>境外债券</w:t>
      </w:r>
    </w:p>
    <w:p w14:paraId="58AFD8C9">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对于境外发行的债券，</w:t>
      </w:r>
      <w:r>
        <w:rPr>
          <w:rFonts w:hint="eastAsia" w:ascii="宋体" w:hAnsi="宋体" w:eastAsia="宋体" w:cs="宋体"/>
          <w:color w:val="auto"/>
          <w:sz w:val="18"/>
          <w:szCs w:val="18"/>
          <w:lang w:val="en-US" w:eastAsia="zh-CN" w:bidi="ar-SA"/>
        </w:rPr>
        <w:t>参照主要做市商或其他权威价格提供机构的报价进行估值，若估值日债券价格无法通过公开信息取得，参照最近一个交易日可取得的主要做市商或其他权威价格提供机构的报价进行估值。</w:t>
      </w:r>
    </w:p>
    <w:p w14:paraId="3B0BDC7C">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3.非标准化债权类资产</w:t>
      </w:r>
    </w:p>
    <w:p w14:paraId="556FF3F7">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非标准化债权类资产，是指不满足中国人民银行制定的标准化债权类资产认定标准的债权类资产。可选取第三方估值机构的价格数据或采用估值技术进行估值。</w:t>
      </w:r>
    </w:p>
    <w:p w14:paraId="76F17486">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4.上市公司股票</w:t>
      </w:r>
      <w:r>
        <w:rPr>
          <w:rFonts w:hint="eastAsia" w:ascii="宋体" w:hAnsi="宋体" w:eastAsia="宋体" w:cs="宋体"/>
          <w:color w:val="auto"/>
          <w:sz w:val="18"/>
          <w:szCs w:val="18"/>
          <w:lang w:val="en-US" w:eastAsia="zh-CN" w:bidi="ar-SA"/>
        </w:rPr>
        <w:t>估值</w:t>
      </w:r>
    </w:p>
    <w:p w14:paraId="278EAF5D">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上市公司股票包括正常流通普通股、流通受限股票、长期停牌股票和新发行未上市股票。具体估值方法如下：</w:t>
      </w:r>
    </w:p>
    <w:p w14:paraId="554DA8C2">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14:paraId="019F7CC0">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2）送股、转增股、配股和公开增发新股等发行未上市的股票，按估值日在证券交易所上市的同一股票的收盘价或最近交易日的收盘价确定公允价值。</w:t>
      </w:r>
    </w:p>
    <w:p w14:paraId="5ACB1DC2">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3）通过公开、非公开等方式取得且有明确限售期的股票，在限售期内，应以证券交易所上市交易的同一股票的公允价值为基础，引入流动性折扣进行估值。</w:t>
      </w:r>
      <w:r>
        <w:rPr>
          <w:rFonts w:hint="eastAsia" w:ascii="宋体" w:hAnsi="宋体" w:eastAsia="宋体" w:cs="宋体"/>
          <w:color w:val="auto"/>
          <w:sz w:val="18"/>
          <w:szCs w:val="18"/>
          <w:lang w:val="en-US" w:eastAsia="zh-CN" w:bidi="ar-SA"/>
        </w:rPr>
        <w:t>流动性折扣可依据第三方估值机构提供的数据，或采用看跌期权法以及其他合理的估值方法分析确定。</w:t>
      </w:r>
    </w:p>
    <w:p w14:paraId="662DA31A">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4）长期停牌股票，</w:t>
      </w:r>
      <w:r>
        <w:rPr>
          <w:rFonts w:hint="eastAsia" w:ascii="宋体" w:hAnsi="宋体" w:eastAsia="宋体" w:cs="宋体"/>
          <w:color w:val="auto"/>
          <w:sz w:val="18"/>
          <w:szCs w:val="18"/>
          <w:lang w:val="en-US" w:eastAsia="zh-CN" w:bidi="ar-SA"/>
        </w:rPr>
        <w:t>根据停牌原因、停牌时间及停牌公司公告等信息，采用估值技术确定公允价值。</w:t>
      </w:r>
    </w:p>
    <w:p w14:paraId="273E4F6B">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5）</w:t>
      </w:r>
      <w:r>
        <w:rPr>
          <w:rFonts w:hint="eastAsia" w:ascii="宋体" w:hAnsi="宋体" w:eastAsia="宋体" w:cs="宋体"/>
          <w:color w:val="auto"/>
          <w:sz w:val="18"/>
          <w:szCs w:val="18"/>
          <w:lang w:val="en-US" w:eastAsia="zh-CN" w:bidi="ar-SA"/>
        </w:rPr>
        <w:t>新发行未上市股票，如果发行日后未发生影响公允价值计量的重大事件的，应采用发行价作为公允价值的最佳估计，已发生影响公允价值计量重大事件的应采用估值技术确定公允价值。</w:t>
      </w:r>
    </w:p>
    <w:p w14:paraId="4877703A">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5.未上市公司股权</w:t>
      </w:r>
    </w:p>
    <w:p w14:paraId="422E04F4">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以公允价值计量，应综合考虑被评估企业实际情况、市场交易情况及其他可获得的信息，采用市场法、收益法、重置成本法等估值技术，结合流动性折扣等因素评估公允价值</w:t>
      </w:r>
      <w:r>
        <w:rPr>
          <w:rFonts w:ascii="宋体" w:hAnsi="宋体" w:eastAsia="宋体" w:cs="宋体"/>
          <w:color w:val="000000"/>
          <w:sz w:val="18"/>
          <w:szCs w:val="18"/>
          <w:lang w:val="en-US" w:eastAsia="zh-CN" w:bidi="ar-SA"/>
        </w:rPr>
        <w:t>；或采用第三方估值机构提供的价格数据确认公允价值</w:t>
      </w:r>
      <w:r>
        <w:rPr>
          <w:rFonts w:hint="eastAsia" w:ascii="宋体" w:hAnsi="宋体" w:eastAsia="宋体" w:cs="宋体"/>
          <w:color w:val="auto"/>
          <w:sz w:val="18"/>
          <w:szCs w:val="18"/>
          <w:lang w:val="en-US" w:eastAsia="zh-CN" w:bidi="ar-SA"/>
        </w:rPr>
        <w:t>。</w:t>
      </w:r>
    </w:p>
    <w:p w14:paraId="7A8F04DE">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6.</w:t>
      </w:r>
      <w:r>
        <w:rPr>
          <w:rFonts w:hint="eastAsia" w:ascii="宋体" w:hAnsi="宋体" w:eastAsia="宋体" w:cs="宋体"/>
          <w:bCs/>
          <w:color w:val="auto"/>
          <w:sz w:val="18"/>
          <w:szCs w:val="18"/>
          <w:lang w:val="en-US" w:eastAsia="zh-CN" w:bidi="ar-SA"/>
        </w:rPr>
        <w:t>优先股</w:t>
      </w:r>
    </w:p>
    <w:p w14:paraId="0D64E870">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优先股交易量及交易频率足以持续提供定价信息的，可按估值日或最近交易日的收盘价估值；不满足上述条件的，可根据优先股股息支付条款，采用估值模型或依据第三方估值机构提供的价格数据估值。</w:t>
      </w:r>
    </w:p>
    <w:p w14:paraId="71C22F74">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7.</w:t>
      </w:r>
      <w:r>
        <w:rPr>
          <w:rFonts w:hint="eastAsia" w:ascii="宋体" w:hAnsi="宋体" w:eastAsia="宋体" w:cs="宋体"/>
          <w:bCs/>
          <w:color w:val="auto"/>
          <w:sz w:val="18"/>
          <w:szCs w:val="18"/>
          <w:lang w:val="en-US" w:eastAsia="zh-CN" w:bidi="ar-SA"/>
        </w:rPr>
        <w:t>证券投资基金估值</w:t>
      </w:r>
    </w:p>
    <w:p w14:paraId="1A7A1F16">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1）非上市基金估值</w:t>
      </w:r>
    </w:p>
    <w:p w14:paraId="4BD92E70">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1)本产品投资的境内非货币市场基金，按所投资基金估值日的基金份额净值估值；估值日基金净值未公布的，以基金管理人最近公布的基金份额净值计算。</w:t>
      </w:r>
    </w:p>
    <w:p w14:paraId="232D5418">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2)本产品投资的境内货币市场基金，按所投资基金前一估值日后至估值日期间（含节假日）的万份收益计提估值日基金收益</w:t>
      </w:r>
      <w:r>
        <w:rPr>
          <w:rFonts w:hint="eastAsia" w:ascii="宋体" w:hAnsi="宋体" w:eastAsia="宋体" w:cs="宋体"/>
          <w:color w:val="auto"/>
          <w:sz w:val="18"/>
          <w:szCs w:val="18"/>
          <w:lang w:val="en-US" w:eastAsia="zh-CN" w:bidi="ar-SA"/>
        </w:rPr>
        <w:t>；若前一估值日后至估值日期间（含节假日）基金万份收益未公布的，以基金管理人公布的最近一个估值日基金万份收益计算。</w:t>
      </w:r>
    </w:p>
    <w:p w14:paraId="2230EE97">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2）上市基金估值</w:t>
      </w:r>
    </w:p>
    <w:p w14:paraId="5CBE7D39">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1)本产品投资的ETF基金、境内上市定期开放式基金、封闭式基金，按照所投资基金估值日的收盘价估</w:t>
      </w:r>
      <w:r>
        <w:rPr>
          <w:rFonts w:hint="eastAsia" w:ascii="宋体" w:hAnsi="宋体" w:eastAsia="宋体" w:cs="宋体"/>
          <w:color w:val="auto"/>
          <w:sz w:val="18"/>
          <w:szCs w:val="18"/>
          <w:lang w:val="en-US" w:eastAsia="zh-CN" w:bidi="ar-SA"/>
        </w:rPr>
        <w:t>值；估值日无交易的，以最近交易日的收盘价估值。</w:t>
      </w:r>
    </w:p>
    <w:p w14:paraId="6ED9CCDF">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2)本产品投资的境内上市开放式基金（LOF），按所投资基金估值日的基金份额净值估值；估值日基金净值未公布的，以基金管理人最近公布的基金份额净值计算。</w:t>
      </w:r>
    </w:p>
    <w:p w14:paraId="29C13814">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3)本产品投资的境内上市交易型货币市场基金，如所投资基金披露份额净值，则按所投资基金估值日的份额净值估值，</w:t>
      </w:r>
      <w:r>
        <w:rPr>
          <w:rFonts w:hint="eastAsia" w:ascii="宋体" w:hAnsi="宋体" w:eastAsia="宋体" w:cs="宋体"/>
          <w:color w:val="auto"/>
          <w:sz w:val="18"/>
          <w:szCs w:val="18"/>
          <w:lang w:val="en-US" w:eastAsia="zh-CN" w:bidi="ar-SA"/>
        </w:rPr>
        <w:t>若估值日基金份额净值未公布的，以基金管理人最近公布的基金份额净值计算</w:t>
      </w:r>
      <w:r>
        <w:rPr>
          <w:rFonts w:ascii="宋体" w:hAnsi="宋体" w:eastAsia="宋体" w:cs="宋体"/>
          <w:color w:val="auto"/>
          <w:sz w:val="18"/>
          <w:szCs w:val="18"/>
          <w:lang w:val="en-US" w:eastAsia="zh-CN" w:bidi="ar-SA"/>
        </w:rPr>
        <w:t>；如所投资基金披露万份（百份）收益，则按所投资基金前一估值日后至估值日期间（含节假日）的万份（百份）收益计提估值日基金收益</w:t>
      </w:r>
      <w:r>
        <w:rPr>
          <w:rFonts w:hint="eastAsia" w:ascii="宋体" w:hAnsi="宋体" w:eastAsia="宋体" w:cs="宋体"/>
          <w:color w:val="auto"/>
          <w:sz w:val="18"/>
          <w:szCs w:val="18"/>
          <w:lang w:val="en-US" w:eastAsia="zh-CN" w:bidi="ar-SA"/>
        </w:rPr>
        <w:t>，若前一估值日后至估值日期间（含节假日）的万份（百份）收益未公布的，则按最新万份（百份）收益计提估值日基金收益</w:t>
      </w:r>
      <w:r>
        <w:rPr>
          <w:rFonts w:ascii="宋体" w:hAnsi="宋体" w:eastAsia="宋体" w:cs="宋体"/>
          <w:color w:val="auto"/>
          <w:sz w:val="18"/>
          <w:szCs w:val="18"/>
          <w:lang w:val="en-US" w:eastAsia="zh-CN" w:bidi="ar-SA"/>
        </w:rPr>
        <w:t>。</w:t>
      </w:r>
    </w:p>
    <w:p w14:paraId="6C31A50E">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8.</w:t>
      </w:r>
      <w:r>
        <w:rPr>
          <w:rFonts w:hint="eastAsia" w:ascii="宋体" w:hAnsi="宋体" w:eastAsia="宋体" w:cs="宋体"/>
          <w:bCs/>
          <w:color w:val="auto"/>
          <w:sz w:val="18"/>
          <w:szCs w:val="18"/>
          <w:lang w:val="en-US" w:eastAsia="zh-CN" w:bidi="ar-SA"/>
        </w:rPr>
        <w:t>其他资产管理产品的估值</w:t>
      </w:r>
    </w:p>
    <w:p w14:paraId="63A114A6">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000000"/>
          <w:sz w:val="18"/>
          <w:szCs w:val="18"/>
          <w:lang w:val="en-US" w:eastAsia="zh-CN" w:bidi="ar-SA"/>
        </w:rPr>
        <w:t>其他资产管理产品，指理财产品投资的除证券投资基金以外的其他资产管理产品，主要包括：</w:t>
      </w:r>
      <w:r>
        <w:rPr>
          <w:rFonts w:hint="eastAsia" w:ascii="宋体" w:hAnsi="宋体" w:eastAsia="宋体" w:cs="宋体"/>
          <w:bCs/>
          <w:color w:val="000000"/>
          <w:sz w:val="18"/>
          <w:szCs w:val="18"/>
          <w:lang w:val="en-US" w:eastAsia="zh-CN" w:bidi="ar-SA"/>
        </w:rPr>
        <w:t>信托公司、证券公司、证券公司子公司、基金管理公司、基金管理子公司、期货公司、期货公司子公司、保险资产管理机构、金融资产投资公司发行的资产管理产品。其他资产管理产品以估值日资产管理人提供的单位净值进行估值；估值日资产管理人未提供净值，且从最近净值提供日到估值日整体市场环境及投资标的未发生重大变化的，可参考最近可获取的单位净值确定公允价值；若有充足证据表明最近可获取的净值不能真实反映公允价值的，可采用估值技术确定公允价值。</w:t>
      </w:r>
    </w:p>
    <w:p w14:paraId="1EACCB0C">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9.衍生金融工具估值</w:t>
      </w:r>
    </w:p>
    <w:p w14:paraId="699E5938">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1</w:t>
      </w:r>
      <w:r>
        <w:rPr>
          <w:rFonts w:hint="eastAsia" w:ascii="宋体" w:hAnsi="宋体" w:eastAsia="宋体" w:cs="宋体"/>
          <w:bCs/>
          <w:color w:val="000000"/>
          <w:sz w:val="18"/>
          <w:szCs w:val="18"/>
          <w:lang w:val="en-US" w:eastAsia="zh-CN" w:bidi="ar-SA"/>
        </w:rPr>
        <w:t>）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14:paraId="096ECC12">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2</w:t>
      </w:r>
      <w:r>
        <w:rPr>
          <w:rFonts w:hint="eastAsia" w:ascii="宋体" w:hAnsi="宋体" w:eastAsia="宋体" w:cs="宋体"/>
          <w:bCs/>
          <w:color w:val="000000"/>
          <w:sz w:val="18"/>
          <w:szCs w:val="18"/>
          <w:lang w:val="en-US" w:eastAsia="zh-CN" w:bidi="ar-SA"/>
        </w:rPr>
        <w:t>）对于非交易所交易的衍生金融工具，可依据第三方机构提供的价格数据或采取相应衍生金融工具估值模型确定公允价值。</w:t>
      </w:r>
      <w:r>
        <w:rPr>
          <w:rFonts w:ascii="宋体" w:hAnsi="宋体" w:eastAsia="宋体" w:cs="宋体"/>
          <w:color w:val="auto"/>
          <w:sz w:val="18"/>
          <w:szCs w:val="18"/>
          <w:lang w:val="en-US" w:eastAsia="zh-CN" w:bidi="ar-SA"/>
        </w:rPr>
        <w:t xml:space="preserve"> </w:t>
      </w:r>
    </w:p>
    <w:p w14:paraId="4B88EE4B">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10.</w:t>
      </w:r>
      <w:r>
        <w:rPr>
          <w:rFonts w:hint="eastAsia" w:ascii="宋体" w:hAnsi="宋体" w:eastAsia="宋体" w:cs="宋体"/>
          <w:bCs/>
          <w:color w:val="auto"/>
          <w:sz w:val="18"/>
          <w:szCs w:val="18"/>
          <w:lang w:val="en-US" w:eastAsia="zh-CN" w:bidi="ar-SA"/>
        </w:rPr>
        <w:t>存款、拆借、回购等货币市场工具的估值</w:t>
      </w:r>
    </w:p>
    <w:p w14:paraId="7E0BB42A">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000000"/>
          <w:sz w:val="18"/>
          <w:szCs w:val="18"/>
          <w:lang w:val="en-US" w:eastAsia="zh-CN" w:bidi="ar-SA"/>
        </w:rPr>
        <w:t>以本金列示，按商定利率在实际持有期间内逐日计提利息。如有估值技术能更准确反映其公允价值的，采用估值技术进行估值。</w:t>
      </w:r>
    </w:p>
    <w:p w14:paraId="7D598B3C">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11.</w:t>
      </w:r>
      <w:r>
        <w:rPr>
          <w:rFonts w:hint="eastAsia" w:ascii="宋体" w:hAnsi="宋体" w:eastAsia="宋体" w:cs="宋体"/>
          <w:color w:val="auto"/>
          <w:sz w:val="18"/>
          <w:szCs w:val="18"/>
          <w:lang w:val="en-US" w:eastAsia="zh-CN" w:bidi="ar-SA"/>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14:paraId="7AA1541D">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12.当开放式公募理财产品（现金管理类理财产品除外）遭遇大额申购或赎回时，管理人可以采用摆动定价机制，以确保估值的公平性。具体操作按照相关法律法规、监管规定和自律规则执行。</w:t>
      </w:r>
    </w:p>
    <w:p w14:paraId="61E9110A">
      <w:pPr>
        <w:widowControl w:val="0"/>
        <w:autoSpaceDE w:val="0"/>
        <w:autoSpaceDN w:val="0"/>
        <w:adjustRightInd w:val="0"/>
        <w:spacing w:line="360" w:lineRule="auto"/>
        <w:ind w:firstLine="360" w:firstLineChars="200"/>
        <w:rPr>
          <w:rFonts w:ascii="黑体" w:hAnsi="黑体" w:eastAsia="黑体" w:cs="宋体"/>
          <w:color w:val="auto"/>
          <w:sz w:val="18"/>
          <w:szCs w:val="18"/>
          <w:lang w:val="en-US" w:eastAsia="zh-CN" w:bidi="ar-SA"/>
        </w:rPr>
      </w:pPr>
      <w:r>
        <w:rPr>
          <w:rFonts w:ascii="黑体" w:hAnsi="黑体" w:eastAsia="黑体" w:cs="宋体"/>
          <w:color w:val="auto"/>
          <w:sz w:val="18"/>
          <w:szCs w:val="18"/>
          <w:lang w:val="en-US" w:eastAsia="zh-CN" w:bidi="ar-SA"/>
        </w:rPr>
        <w:t>1</w:t>
      </w:r>
      <w:r>
        <w:rPr>
          <w:rFonts w:hint="eastAsia" w:ascii="黑体" w:hAnsi="黑体" w:eastAsia="黑体" w:cs="宋体"/>
          <w:color w:val="auto"/>
          <w:sz w:val="18"/>
          <w:szCs w:val="18"/>
          <w:lang w:val="en-US" w:eastAsia="zh-CN" w:bidi="ar-SA"/>
        </w:rPr>
        <w:t>3</w:t>
      </w:r>
      <w:r>
        <w:rPr>
          <w:rFonts w:ascii="黑体" w:hAnsi="黑体" w:eastAsia="黑体" w:cs="宋体"/>
          <w:color w:val="auto"/>
          <w:sz w:val="18"/>
          <w:szCs w:val="18"/>
          <w:lang w:val="en-US" w:eastAsia="zh-CN" w:bidi="ar-SA"/>
        </w:rPr>
        <w:t>.</w:t>
      </w:r>
      <w:r>
        <w:rPr>
          <w:rFonts w:hint="eastAsia" w:ascii="黑体" w:hAnsi="黑体" w:eastAsia="黑体" w:cs="宋体"/>
          <w:color w:val="auto"/>
          <w:sz w:val="18"/>
          <w:szCs w:val="18"/>
          <w:lang w:val="en-US" w:eastAsia="zh-CN" w:bidi="ar-SA"/>
        </w:rPr>
        <w:t>★估值方法的调整</w:t>
      </w:r>
    </w:p>
    <w:p w14:paraId="6F27C85D">
      <w:pPr>
        <w:widowControl w:val="0"/>
        <w:autoSpaceDE w:val="0"/>
        <w:autoSpaceDN w:val="0"/>
        <w:adjustRightInd w:val="0"/>
        <w:spacing w:line="360" w:lineRule="auto"/>
        <w:ind w:firstLine="360" w:firstLineChars="200"/>
        <w:rPr>
          <w:rFonts w:ascii="黑体" w:hAnsi="黑体" w:eastAsia="黑体" w:cs="宋体"/>
          <w:color w:val="auto"/>
          <w:sz w:val="18"/>
          <w:szCs w:val="18"/>
          <w:lang w:val="en-US" w:eastAsia="zh-CN" w:bidi="ar-SA"/>
        </w:rPr>
      </w:pPr>
      <w:r>
        <w:rPr>
          <w:rFonts w:hint="eastAsia" w:ascii="黑体" w:hAnsi="黑体" w:eastAsia="黑体" w:cs="宋体"/>
          <w:color w:val="auto"/>
          <w:sz w:val="18"/>
          <w:szCs w:val="18"/>
          <w:lang w:val="en-US" w:eastAsia="zh-CN" w:bidi="ar-SA"/>
        </w:rPr>
        <w:t>若因相关法律法规以及监管部门有规定，需要调整估值方法的，管理人应按相关规定要求使用调整后的估值方法进行估值。</w:t>
      </w:r>
    </w:p>
    <w:p w14:paraId="66767C38">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（五）估值程序</w:t>
      </w:r>
    </w:p>
    <w:p w14:paraId="5783C4D4">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产品份额净值是按照估值日产品资产净值除以当日产品总份额计算，</w:t>
      </w:r>
      <w:r>
        <w:rPr>
          <w:rFonts w:ascii="宋体" w:hAnsi="宋体" w:eastAsia="宋体" w:cs="宋体"/>
          <w:bCs/>
          <w:color w:val="auto"/>
          <w:sz w:val="18"/>
          <w:szCs w:val="18"/>
          <w:lang w:val="en-US" w:eastAsia="zh-CN" w:bidi="ar-SA"/>
        </w:rPr>
        <w:t>四舍五入保留5位小数</w:t>
      </w:r>
      <w:r>
        <w:rPr>
          <w:rFonts w:hint="eastAsia" w:ascii="宋体" w:hAnsi="宋体" w:eastAsia="宋体" w:cs="宋体"/>
          <w:color w:val="auto"/>
          <w:sz w:val="18"/>
          <w:szCs w:val="18"/>
          <w:lang w:val="en-US" w:eastAsia="zh-CN" w:bidi="ar-SA"/>
        </w:rPr>
        <w:t>。国家另有规定的，从其规定。</w:t>
      </w:r>
      <w:r>
        <w:rPr>
          <w:rFonts w:hint="eastAsia" w:ascii="宋体" w:hAnsi="宋体" w:eastAsia="宋体" w:cs="宋体"/>
          <w:bCs/>
          <w:color w:val="auto"/>
          <w:sz w:val="18"/>
          <w:szCs w:val="18"/>
          <w:lang w:val="en-US" w:eastAsia="zh-CN" w:bidi="ar-SA"/>
        </w:rPr>
        <w:t>发生巨额赎回时，为保护投资者利益，产品管理人可提高单位产品净值的精度。</w:t>
      </w:r>
    </w:p>
    <w:p w14:paraId="768BE855">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ascii="宋体" w:hAnsi="宋体" w:eastAsia="宋体" w:cs="宋体"/>
          <w:color w:val="000000"/>
          <w:sz w:val="18"/>
          <w:szCs w:val="18"/>
          <w:lang w:val="en-US" w:eastAsia="zh-CN" w:bidi="ar-SA"/>
        </w:rPr>
        <w:t xml:space="preserve">2.产品管理人对理财资产估值后，将产品份额净值发送产品托管人，经产品托管人复核无误后，由产品管理人按规定对外公布。 </w:t>
      </w:r>
    </w:p>
    <w:p w14:paraId="7F0B3DF9">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w:t>
      </w:r>
      <w:r>
        <w:rPr>
          <w:rFonts w:hint="eastAsia" w:ascii="宋体" w:hAnsi="宋体" w:eastAsia="宋体" w:cs="宋体"/>
          <w:color w:val="auto"/>
          <w:sz w:val="18"/>
          <w:szCs w:val="18"/>
          <w:lang w:val="en-US" w:eastAsia="zh-CN" w:bidi="ar-SA"/>
        </w:rPr>
        <w:t>如产品管理人或产品托管人发现理财估值违反本说明书约定的估值方法、程序及相关法律法规的规定或者未能充分维护理财份额持有人权益时，应立即通知对方，共同查明原因，双方协商解决。</w:t>
      </w:r>
    </w:p>
    <w:p w14:paraId="297F2278">
      <w:pPr>
        <w:widowControl w:val="0"/>
        <w:autoSpaceDE w:val="0"/>
        <w:autoSpaceDN w:val="0"/>
        <w:adjustRightInd w:val="0"/>
        <w:spacing w:line="360" w:lineRule="auto"/>
        <w:ind w:firstLine="361" w:firstLineChars="200"/>
        <w:rPr>
          <w:rFonts w:ascii="宋体" w:hAnsi="宋体" w:eastAsia="宋体" w:cs="Times New Roman"/>
          <w:b/>
          <w:color w:val="auto"/>
          <w:sz w:val="18"/>
          <w:szCs w:val="18"/>
          <w:lang w:val="en-US" w:eastAsia="zh-CN" w:bidi="ar-SA"/>
        </w:rPr>
      </w:pPr>
      <w:r>
        <w:rPr>
          <w:rFonts w:hint="eastAsia" w:ascii="宋体" w:hAnsi="宋体" w:eastAsia="宋体" w:cs="Times New Roman"/>
          <w:b/>
          <w:color w:val="auto"/>
          <w:sz w:val="18"/>
          <w:szCs w:val="18"/>
          <w:lang w:val="en-US" w:eastAsia="zh-CN" w:bidi="ar-SA"/>
        </w:rPr>
        <w:t>（六）估值主体</w:t>
      </w:r>
    </w:p>
    <w:p w14:paraId="10FF9479">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14:paraId="0AA8F8CC">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（七）★暂停估值</w:t>
      </w:r>
    </w:p>
    <w:p w14:paraId="0A4BAE45">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当发生以下情况时，产品管理人可暂停估值。估值条件恢复时，将按规定完成估值工作：</w:t>
      </w:r>
    </w:p>
    <w:p w14:paraId="14BE4BE3">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1.理财产品投资涉及的交易市场遇法定节假日或其他原因暂停营业时；</w:t>
      </w:r>
    </w:p>
    <w:p w14:paraId="6CAD14CB">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2.因任何不可抗力致使理财产品管理人、托管人无法准确评估资产价值时；</w:t>
      </w:r>
    </w:p>
    <w:p w14:paraId="45EA67E1">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3.开放式理财产品在前一估值日内理财产品资产净值50%以上的资产不具备活跃交易市场或者在活跃市场中无报价，且不能采用估值技术可靠计量公允价值的；</w:t>
      </w:r>
    </w:p>
    <w:p w14:paraId="3AC9557E">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4.监管机构规定的其他情形。</w:t>
      </w:r>
    </w:p>
    <w:p w14:paraId="6885C46C">
      <w:pPr>
        <w:widowControl/>
        <w:spacing w:line="360" w:lineRule="auto"/>
        <w:jc w:val="left"/>
        <w:rPr>
          <w:rFonts w:ascii="宋体" w:hAnsi="宋体" w:cs="宋体"/>
          <w:kern w:val="0"/>
          <w:sz w:val="18"/>
          <w:szCs w:val="18"/>
        </w:rPr>
      </w:pPr>
      <w:r>
        <w:rPr>
          <w:rFonts w:ascii="Calibri" w:hAnsi="宋体" w:cs="宋体"/>
          <w:sz w:val="18"/>
          <w:szCs w:val="18"/>
        </w:rPr>
        <w:br w:type="page"/>
      </w:r>
    </w:p>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14:paraId="5F289BA8">
      <w:pPr>
        <w:keepNext/>
        <w:keepLines/>
        <w:widowControl w:val="0"/>
        <w:spacing w:before="0" w:after="0" w:line="360" w:lineRule="auto"/>
        <w:ind w:left="60" w:firstLine="10"/>
        <w:jc w:val="center"/>
        <w:outlineLvl w:val="0"/>
        <w:rPr>
          <w:rFonts w:ascii="Times New Roman" w:hAnsi="Calibri" w:eastAsia="宋体" w:cs="宋体"/>
          <w:b/>
          <w:bCs/>
          <w:kern w:val="44"/>
          <w:sz w:val="30"/>
          <w:szCs w:val="44"/>
          <w:lang w:val="en-US" w:eastAsia="zh-CN" w:bidi="ar-SA"/>
        </w:rPr>
      </w:pPr>
      <w:bookmarkStart w:id="176" w:name="_Hlt70481650"/>
      <w:bookmarkEnd w:id="176"/>
      <w:bookmarkStart w:id="177" w:name="_Toc12245"/>
      <w:bookmarkStart w:id="178" w:name="_Toc8695"/>
      <w:bookmarkStart w:id="179" w:name="_Toc98560353"/>
      <w:bookmarkStart w:id="180" w:name="_Toc15143"/>
      <w:bookmarkStart w:id="181" w:name="_Toc14835"/>
      <w:bookmarkStart w:id="182" w:name="_Toc3601"/>
      <w:bookmarkStart w:id="183" w:name="_Toc8045"/>
      <w:bookmarkStart w:id="184" w:name="_Toc141703887"/>
      <w:bookmarkStart w:id="185" w:name="_Toc74065744"/>
      <w:bookmarkStart w:id="186" w:name="_Toc92377137"/>
      <w:bookmarkStart w:id="187" w:name="_Toc123112235"/>
      <w:bookmarkStart w:id="188" w:name="_Toc139991737"/>
      <w:bookmarkStart w:id="189" w:name="_Toc31653"/>
      <w:bookmarkStart w:id="190" w:name="_Toc79154671"/>
      <w:bookmarkStart w:id="191" w:name="_Toc29251"/>
      <w:bookmarkStart w:id="192" w:name="_Toc31235"/>
      <w:bookmarkStart w:id="193" w:name="_Toc123102454"/>
      <w:bookmarkStart w:id="194" w:name="_Toc123051453"/>
      <w:bookmarkStart w:id="195" w:name="_Toc31644"/>
      <w:bookmarkStart w:id="196" w:name="_Toc4020"/>
      <w:bookmarkStart w:id="197" w:name="_Toc26207"/>
      <w:bookmarkStart w:id="198" w:name="_Toc6405"/>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八条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理财产品的利益分配</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Start w:id="199" w:name="_Hlt55355235"/>
      <w:bookmarkEnd w:id="199"/>
      <w:bookmarkStart w:id="200" w:name="_Toc57530239"/>
      <w:bookmarkStart w:id="201" w:name="_Toc15118234"/>
      <w:bookmarkStart w:id="202" w:name="_Toc79392580"/>
      <w:bookmarkStart w:id="203" w:name="_Toc523711668"/>
    </w:p>
    <w:p w14:paraId="26135759">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（一）理财利益的分配类型</w:t>
      </w:r>
    </w:p>
    <w:p w14:paraId="626702B9">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 依据分配时点，理财利益的分配可分为“期间分配”与“终止分配”。</w:t>
      </w:r>
    </w:p>
    <w:p w14:paraId="35057428">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 依据分配方式，理财利益的分配可分为“现金分配”与“非现金分配”。</w:t>
      </w:r>
    </w:p>
    <w:p w14:paraId="21B09E1A">
      <w:pPr>
        <w:widowControl w:val="0"/>
        <w:autoSpaceDE w:val="0"/>
        <w:autoSpaceDN w:val="0"/>
        <w:adjustRightInd w:val="0"/>
        <w:spacing w:line="360" w:lineRule="auto"/>
        <w:ind w:firstLine="361" w:firstLineChars="200"/>
        <w:rPr>
          <w:rFonts w:ascii="宋体" w:hAnsi="宋体" w:eastAsia="宋体" w:cs="宋体"/>
          <w:color w:val="auto"/>
          <w:sz w:val="18"/>
          <w:szCs w:val="18"/>
          <w:lang w:val="en-US" w:eastAsia="zh-CN" w:bidi="ar-SA"/>
        </w:rPr>
      </w:pPr>
      <w:r>
        <w:rPr>
          <w:rFonts w:hint="eastAsia" w:ascii="宋体" w:hAnsi="宋体" w:eastAsia="宋体" w:cs="宋体"/>
          <w:b/>
          <w:color w:val="auto"/>
          <w:sz w:val="18"/>
          <w:szCs w:val="18"/>
          <w:lang w:val="en-US" w:eastAsia="zh-CN" w:bidi="ar-SA"/>
        </w:rPr>
        <w:t>（二）理财利益的分配原则</w:t>
      </w:r>
    </w:p>
    <w:p w14:paraId="4A8D3B1B">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 xml:space="preserve">1.本产品利益分配应遵循下列原则： </w:t>
      </w:r>
    </w:p>
    <w:p w14:paraId="257FB59A">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每一</w:t>
      </w:r>
      <w:r>
        <w:rPr>
          <w:rFonts w:hint="eastAsia" w:ascii="宋体" w:hAnsi="宋体" w:eastAsia="宋体" w:cs="宋体"/>
          <w:color w:val="auto"/>
          <w:sz w:val="18"/>
          <w:szCs w:val="18"/>
          <w:lang w:val="en-US" w:eastAsia="zh-CN" w:bidi="ar-SA"/>
        </w:rPr>
        <w:t>产品</w:t>
      </w:r>
      <w:r>
        <w:rPr>
          <w:rFonts w:ascii="宋体" w:hAnsi="宋体" w:eastAsia="宋体" w:cs="宋体"/>
          <w:color w:val="auto"/>
          <w:sz w:val="18"/>
          <w:szCs w:val="18"/>
          <w:lang w:val="en-US" w:eastAsia="zh-CN" w:bidi="ar-SA"/>
        </w:rPr>
        <w:t>份额享有同等分配权</w:t>
      </w:r>
      <w:r>
        <w:rPr>
          <w:rFonts w:hint="eastAsia" w:ascii="宋体" w:hAnsi="宋体" w:eastAsia="宋体" w:cs="宋体"/>
          <w:color w:val="auto"/>
          <w:sz w:val="18"/>
          <w:szCs w:val="18"/>
          <w:lang w:val="en-US" w:eastAsia="zh-CN" w:bidi="ar-SA"/>
        </w:rPr>
        <w:t>。</w:t>
      </w:r>
    </w:p>
    <w:p w14:paraId="20809BBC">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w:t>
      </w:r>
      <w:r>
        <w:rPr>
          <w:rFonts w:ascii="宋体" w:hAnsi="宋体" w:eastAsia="宋体" w:cs="宋体"/>
          <w:color w:val="auto"/>
          <w:sz w:val="18"/>
          <w:szCs w:val="18"/>
          <w:lang w:val="en-US" w:eastAsia="zh-CN" w:bidi="ar-SA"/>
        </w:rPr>
        <w:t>在不违反法律法规、</w:t>
      </w:r>
      <w:r>
        <w:rPr>
          <w:rFonts w:hint="eastAsia" w:ascii="宋体" w:hAnsi="宋体" w:eastAsia="宋体" w:cs="宋体"/>
          <w:color w:val="auto"/>
          <w:sz w:val="18"/>
          <w:szCs w:val="18"/>
          <w:lang w:val="en-US" w:eastAsia="zh-CN" w:bidi="ar-SA"/>
        </w:rPr>
        <w:t>理财产品销售文件</w:t>
      </w:r>
      <w:r>
        <w:rPr>
          <w:rFonts w:ascii="宋体" w:hAnsi="宋体" w:eastAsia="宋体" w:cs="宋体"/>
          <w:color w:val="auto"/>
          <w:sz w:val="18"/>
          <w:szCs w:val="18"/>
          <w:lang w:val="en-US" w:eastAsia="zh-CN" w:bidi="ar-SA"/>
        </w:rPr>
        <w:t>约定以及对份额持有人</w:t>
      </w:r>
      <w:r>
        <w:rPr>
          <w:rFonts w:hint="eastAsia" w:ascii="宋体" w:hAnsi="宋体" w:eastAsia="宋体" w:cs="宋体"/>
          <w:color w:val="auto"/>
          <w:sz w:val="18"/>
          <w:szCs w:val="18"/>
          <w:lang w:val="en-US" w:eastAsia="zh-CN" w:bidi="ar-SA"/>
        </w:rPr>
        <w:t>权益</w:t>
      </w:r>
      <w:r>
        <w:rPr>
          <w:rFonts w:ascii="宋体" w:hAnsi="宋体" w:eastAsia="宋体" w:cs="宋体"/>
          <w:color w:val="auto"/>
          <w:sz w:val="18"/>
          <w:szCs w:val="18"/>
          <w:lang w:val="en-US" w:eastAsia="zh-CN" w:bidi="ar-SA"/>
        </w:rPr>
        <w:t>无实质性不利影响的情况下，</w:t>
      </w:r>
      <w:r>
        <w:rPr>
          <w:rFonts w:hint="eastAsia" w:ascii="宋体" w:hAnsi="宋体" w:eastAsia="宋体" w:cs="宋体"/>
          <w:bCs/>
          <w:color w:val="auto"/>
          <w:sz w:val="18"/>
          <w:szCs w:val="18"/>
          <w:lang w:val="en-US" w:eastAsia="zh-CN" w:bidi="ar-SA"/>
        </w:rPr>
        <w:t>产品管理人</w:t>
      </w:r>
      <w:r>
        <w:rPr>
          <w:rFonts w:ascii="宋体" w:hAnsi="宋体" w:eastAsia="宋体" w:cs="宋体"/>
          <w:color w:val="auto"/>
          <w:sz w:val="18"/>
          <w:szCs w:val="18"/>
          <w:lang w:val="en-US" w:eastAsia="zh-CN" w:bidi="ar-SA"/>
        </w:rPr>
        <w:t>可调整</w:t>
      </w:r>
      <w:r>
        <w:rPr>
          <w:rFonts w:hint="eastAsia" w:ascii="宋体" w:hAnsi="宋体" w:eastAsia="宋体" w:cs="宋体"/>
          <w:color w:val="auto"/>
          <w:sz w:val="18"/>
          <w:szCs w:val="18"/>
          <w:lang w:val="en-US" w:eastAsia="zh-CN" w:bidi="ar-SA"/>
        </w:rPr>
        <w:t>本产品</w:t>
      </w:r>
      <w:r>
        <w:rPr>
          <w:rFonts w:ascii="宋体" w:hAnsi="宋体" w:eastAsia="宋体" w:cs="宋体"/>
          <w:color w:val="auto"/>
          <w:sz w:val="18"/>
          <w:szCs w:val="18"/>
          <w:lang w:val="en-US" w:eastAsia="zh-CN" w:bidi="ar-SA"/>
        </w:rPr>
        <w:t>利益的分配原则和支付方式</w:t>
      </w:r>
      <w:r>
        <w:rPr>
          <w:rFonts w:hint="eastAsia" w:ascii="宋体" w:hAnsi="宋体" w:eastAsia="宋体" w:cs="宋体"/>
          <w:color w:val="auto"/>
          <w:sz w:val="18"/>
          <w:szCs w:val="18"/>
          <w:lang w:val="en-US" w:eastAsia="zh-CN" w:bidi="ar-SA"/>
        </w:rPr>
        <w:t>。法律法规或监管机构另有规定的从其规定。</w:t>
      </w:r>
    </w:p>
    <w:p w14:paraId="65079418">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hint="eastAsia" w:ascii="宋体" w:hAnsi="宋体" w:eastAsia="宋体" w:cs="宋体"/>
          <w:b/>
          <w:bCs/>
          <w:color w:val="auto"/>
          <w:sz w:val="18"/>
          <w:szCs w:val="18"/>
          <w:lang w:val="en-US" w:eastAsia="zh-CN" w:bidi="ar-SA"/>
        </w:rPr>
        <w:t>（三）理财利益的分配方案</w:t>
      </w:r>
    </w:p>
    <w:p w14:paraId="553A4C6C">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1.分配方案要点：</w:t>
      </w:r>
    </w:p>
    <w:p w14:paraId="75C5A7C1">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1）本产品的分配时点包括“期间分配”和“终止分配”。</w:t>
      </w:r>
    </w:p>
    <w:p w14:paraId="687FC7A3">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2）本产品的分配方式仅采取“现金分配”。</w:t>
      </w:r>
    </w:p>
    <w:p w14:paraId="24BBA856">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2.具体理财利益分配方案由产品管理人拟定，并由产品托管人复核后确定。</w:t>
      </w:r>
    </w:p>
    <w:p w14:paraId="06A2E1F4">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3.理财产品存续期间，产品管理人有权视理财产品</w:t>
      </w:r>
      <w:r>
        <w:rPr>
          <w:rFonts w:hint="eastAsia" w:ascii="宋体" w:hAnsi="宋体" w:eastAsia="宋体" w:cs="宋体"/>
          <w:color w:val="auto"/>
          <w:sz w:val="18"/>
          <w:szCs w:val="18"/>
          <w:lang w:val="en-US" w:eastAsia="zh-CN" w:bidi="ar-SA"/>
        </w:rPr>
        <w:t>收益情况</w:t>
      </w:r>
      <w:r>
        <w:rPr>
          <w:rFonts w:ascii="宋体" w:hAnsi="宋体" w:eastAsia="宋体" w:cs="宋体"/>
          <w:color w:val="auto"/>
          <w:sz w:val="18"/>
          <w:szCs w:val="18"/>
          <w:lang w:val="en-US" w:eastAsia="zh-CN" w:bidi="ar-SA"/>
        </w:rPr>
        <w:t>进行主动分配，相应分配基准日、分配方案由管理人</w:t>
      </w:r>
      <w:r>
        <w:rPr>
          <w:rFonts w:hint="eastAsia" w:ascii="宋体" w:hAnsi="宋体" w:eastAsia="宋体" w:cs="宋体"/>
          <w:color w:val="auto"/>
          <w:sz w:val="18"/>
          <w:szCs w:val="18"/>
          <w:lang w:val="en-US" w:eastAsia="zh-CN" w:bidi="ar-SA"/>
        </w:rPr>
        <w:t>及时</w:t>
      </w:r>
      <w:r>
        <w:rPr>
          <w:rFonts w:ascii="宋体" w:hAnsi="宋体" w:eastAsia="宋体" w:cs="宋体"/>
          <w:color w:val="auto"/>
          <w:sz w:val="18"/>
          <w:szCs w:val="18"/>
          <w:lang w:val="en-US" w:eastAsia="zh-CN" w:bidi="ar-SA"/>
        </w:rPr>
        <w:t>披露。</w:t>
      </w:r>
    </w:p>
    <w:p w14:paraId="12EBBE32">
      <w:pPr>
        <w:spacing w:line="360" w:lineRule="auto"/>
        <w:ind w:firstLine="360"/>
        <w:rPr>
          <w:rFonts w:ascii="宋体" w:hAnsi="宋体" w:cs="宋体"/>
          <w:b/>
          <w:sz w:val="18"/>
          <w:szCs w:val="18"/>
        </w:rPr>
      </w:pPr>
      <w:r>
        <w:rPr>
          <w:rFonts w:hint="eastAsia" w:ascii="宋体" w:hAnsi="宋体" w:cs="宋体"/>
          <w:b/>
          <w:kern w:val="0"/>
          <w:sz w:val="18"/>
          <w:szCs w:val="18"/>
        </w:rPr>
        <w:t>（四）理财利益的分配</w:t>
      </w:r>
    </w:p>
    <w:p w14:paraId="6F686CC9">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1.理财利益的分配日</w:t>
      </w:r>
    </w:p>
    <w:p w14:paraId="3EA2B4C6">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（1）若为期间分配的，原则上产品管理人应于分配基准日后【5】个工作日内分配理财利益（如有）。</w:t>
      </w:r>
    </w:p>
    <w:p w14:paraId="79539BB9">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（2）若为终止分配的，产品管理人应按“第十条 理财产品的终止与清算”中产品清算期的相关约定向投资者分配理财利益（如有）。</w:t>
      </w:r>
    </w:p>
    <w:p w14:paraId="7B818F61">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具体的理财利益分配以管理人实际分配的为准。</w:t>
      </w:r>
    </w:p>
    <w:p w14:paraId="58DF4614">
      <w:pPr>
        <w:widowControl/>
        <w:spacing w:line="360" w:lineRule="auto"/>
        <w:jc w:val="left"/>
        <w:rPr>
          <w:rFonts w:ascii="宋体" w:hAnsi="宋体" w:cs="宋体"/>
          <w:kern w:val="0"/>
          <w:sz w:val="18"/>
          <w:szCs w:val="18"/>
        </w:rPr>
      </w:pPr>
      <w:r>
        <w:rPr>
          <w:rFonts w:ascii="Calibri" w:hAnsi="宋体" w:cs="宋体"/>
          <w:sz w:val="18"/>
          <w:szCs w:val="18"/>
        </w:rPr>
        <w:br w:type="page"/>
      </w:r>
    </w:p>
    <w:bookmarkEnd w:id="200"/>
    <w:bookmarkEnd w:id="201"/>
    <w:bookmarkEnd w:id="202"/>
    <w:bookmarkEnd w:id="203"/>
    <w:p w14:paraId="03EED694">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204" w:name="_Hlt88897298"/>
      <w:bookmarkEnd w:id="204"/>
      <w:bookmarkStart w:id="205" w:name="_Hlt88825574"/>
      <w:bookmarkEnd w:id="205"/>
      <w:bookmarkStart w:id="206" w:name="_Toc10650"/>
      <w:bookmarkStart w:id="207" w:name="_Toc25783"/>
      <w:bookmarkStart w:id="208" w:name="_Toc98560354"/>
      <w:bookmarkStart w:id="209" w:name="_Toc4559"/>
      <w:bookmarkStart w:id="210" w:name="_Toc123051454"/>
      <w:bookmarkStart w:id="211" w:name="_Toc22998"/>
      <w:bookmarkStart w:id="212" w:name="_Toc1043"/>
      <w:bookmarkStart w:id="213" w:name="_Toc141703888"/>
      <w:bookmarkStart w:id="214" w:name="_Toc74065745"/>
      <w:bookmarkStart w:id="215" w:name="_Toc6394"/>
      <w:bookmarkStart w:id="216" w:name="_Toc7058"/>
      <w:bookmarkStart w:id="217" w:name="_Toc18567"/>
      <w:bookmarkStart w:id="218" w:name="_Toc123112236"/>
      <w:bookmarkStart w:id="219" w:name="_Toc3321"/>
      <w:bookmarkStart w:id="220" w:name="_Toc79392583"/>
      <w:bookmarkStart w:id="221" w:name="_Toc123102455"/>
      <w:bookmarkStart w:id="222" w:name="_Toc9706"/>
      <w:bookmarkStart w:id="223" w:name="_Toc11030"/>
      <w:bookmarkStart w:id="224" w:name="_Toc3771"/>
      <w:bookmarkStart w:id="225" w:name="_Toc79154672"/>
      <w:bookmarkStart w:id="226" w:name="_Toc139991738"/>
      <w:bookmarkStart w:id="227" w:name="_Toc92377138"/>
      <w:bookmarkStart w:id="228" w:name="_Toc6447"/>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九条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理财产品的费用与税收</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3B854F96">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（一）理财产品的费用</w:t>
      </w:r>
    </w:p>
    <w:p w14:paraId="521E542F">
      <w:pPr>
        <w:widowControl/>
        <w:spacing w:line="360" w:lineRule="auto"/>
        <w:ind w:firstLine="360" w:firstLineChars="200"/>
        <w:jc w:val="left"/>
        <w:rPr>
          <w:rFonts w:ascii="Calibri" w:hAnsi="宋体" w:cs="宋体"/>
          <w:sz w:val="18"/>
          <w:szCs w:val="18"/>
        </w:rPr>
      </w:pPr>
      <w:r>
        <w:rPr>
          <w:rFonts w:ascii="宋体" w:hAnsi="宋体" w:cs="宋体"/>
          <w:kern w:val="0"/>
          <w:sz w:val="18"/>
          <w:szCs w:val="18"/>
        </w:rPr>
        <w:t>1</w:t>
      </w:r>
      <w:r>
        <w:rPr>
          <w:rFonts w:hint="eastAsia" w:ascii="宋体" w:hAnsi="宋体" w:cs="宋体"/>
          <w:kern w:val="0"/>
          <w:sz w:val="18"/>
          <w:szCs w:val="18"/>
        </w:rPr>
        <w:t>.</w:t>
      </w:r>
      <w:r>
        <w:rPr>
          <w:rFonts w:ascii="宋体" w:hAnsi="宋体" w:cs="宋体"/>
          <w:kern w:val="0"/>
          <w:sz w:val="18"/>
          <w:szCs w:val="18"/>
        </w:rPr>
        <w:t>理财产品费用的种类</w:t>
      </w:r>
    </w:p>
    <w:p w14:paraId="6E89B8C9">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1）理财产品的认购费、申购费、赎回费</w:t>
      </w:r>
      <w:r>
        <w:rPr>
          <w:rFonts w:hint="eastAsia" w:ascii="宋体" w:hAnsi="宋体" w:cs="宋体"/>
          <w:kern w:val="0"/>
          <w:sz w:val="18"/>
          <w:szCs w:val="18"/>
        </w:rPr>
        <w:t>；</w:t>
      </w:r>
    </w:p>
    <w:p w14:paraId="6E5568EC">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2）理财产品的销售服务费</w:t>
      </w:r>
      <w:r>
        <w:rPr>
          <w:rFonts w:hint="eastAsia" w:ascii="宋体" w:hAnsi="宋体" w:cs="宋体"/>
          <w:kern w:val="0"/>
          <w:sz w:val="18"/>
          <w:szCs w:val="18"/>
        </w:rPr>
        <w:t>；</w:t>
      </w:r>
    </w:p>
    <w:p w14:paraId="1F7D9571">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3）理财产品的投资管理费及超额业绩报酬；</w:t>
      </w:r>
    </w:p>
    <w:p w14:paraId="754A332B">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4</w:t>
      </w:r>
      <w:r>
        <w:rPr>
          <w:rFonts w:hint="eastAsia" w:ascii="宋体" w:hAnsi="宋体" w:cs="宋体"/>
          <w:kern w:val="0"/>
          <w:sz w:val="18"/>
          <w:szCs w:val="18"/>
        </w:rPr>
        <w:t>）理财产品的产品托管费；</w:t>
      </w:r>
    </w:p>
    <w:p w14:paraId="48E5139B">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5</w:t>
      </w:r>
      <w:r>
        <w:rPr>
          <w:rFonts w:hint="eastAsia" w:ascii="宋体" w:hAnsi="宋体" w:cs="宋体"/>
          <w:kern w:val="0"/>
          <w:sz w:val="18"/>
          <w:szCs w:val="18"/>
        </w:rPr>
        <w:t>）理财产品的交易费用（包括但不限于证券交易费用、经纪费用等）；</w:t>
      </w:r>
    </w:p>
    <w:p w14:paraId="24B3258D">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6</w:t>
      </w:r>
      <w:r>
        <w:rPr>
          <w:rFonts w:hint="eastAsia" w:ascii="宋体" w:hAnsi="宋体" w:cs="宋体"/>
          <w:kern w:val="0"/>
          <w:sz w:val="18"/>
          <w:szCs w:val="18"/>
        </w:rPr>
        <w:t>）理财产品验资费、审计费、律师费、信息披露费、清算费、执行费用等相关费用；</w:t>
      </w:r>
    </w:p>
    <w:p w14:paraId="36B3C471">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7</w:t>
      </w:r>
      <w:r>
        <w:rPr>
          <w:rFonts w:hint="eastAsia" w:ascii="宋体" w:hAnsi="宋体" w:cs="宋体"/>
          <w:kern w:val="0"/>
          <w:sz w:val="18"/>
          <w:szCs w:val="18"/>
        </w:rPr>
        <w:t>）按照国家法律法规规定可以列入的其他费用。</w:t>
      </w:r>
    </w:p>
    <w:p w14:paraId="292C37C2">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理财产品费用计提方法、计提标准和支付方式</w:t>
      </w:r>
    </w:p>
    <w:p w14:paraId="3638C5BC">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w:t>
      </w:r>
      <w:r>
        <w:rPr>
          <w:rFonts w:ascii="宋体" w:hAnsi="宋体" w:cs="宋体"/>
          <w:kern w:val="0"/>
          <w:sz w:val="18"/>
          <w:szCs w:val="18"/>
        </w:rPr>
        <w:t>1</w:t>
      </w:r>
      <w:r>
        <w:rPr>
          <w:rFonts w:hint="eastAsia" w:ascii="宋体" w:hAnsi="宋体" w:cs="宋体"/>
          <w:kern w:val="0"/>
          <w:sz w:val="18"/>
          <w:szCs w:val="18"/>
        </w:rPr>
        <w:t>）理财产品的认购费、申购费、赎回费</w:t>
      </w:r>
    </w:p>
    <w:p w14:paraId="54871E9F">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1）认购费：</w:t>
      </w:r>
      <w:r>
        <w:rPr>
          <w:rFonts w:ascii="宋体" w:hAnsi="宋体" w:eastAsia="宋体" w:cs="宋体"/>
          <w:bCs/>
          <w:sz w:val="18"/>
          <w:szCs w:val="18"/>
        </w:rPr>
        <w:t>费率</w:t>
      </w:r>
      <w:r>
        <w:rPr>
          <w:rFonts w:hint="eastAsia" w:ascii="宋体" w:hAnsi="宋体" w:eastAsia="宋体" w:cs="宋体"/>
          <w:bCs/>
          <w:sz w:val="18"/>
          <w:szCs w:val="18"/>
        </w:rPr>
        <w:t>具体数值以</w:t>
      </w:r>
      <w:r>
        <w:rPr>
          <w:rFonts w:hint="eastAsia" w:ascii="宋体" w:hAnsi="宋体" w:eastAsia="宋体" w:cs="宋体"/>
          <w:sz w:val="18"/>
          <w:szCs w:val="18"/>
        </w:rPr>
        <w:t>《产品说明书》“第二条 理财产品基本情况”</w:t>
      </w:r>
      <w:r>
        <w:rPr>
          <w:rFonts w:hint="eastAsia" w:ascii="宋体" w:hAnsi="宋体" w:eastAsia="宋体" w:cs="宋体"/>
          <w:bCs/>
          <w:sz w:val="18"/>
          <w:szCs w:val="18"/>
        </w:rPr>
        <w:t>为准</w:t>
      </w:r>
      <w:r>
        <w:rPr>
          <w:rFonts w:ascii="宋体" w:hAnsi="宋体" w:cs="宋体"/>
          <w:kern w:val="0"/>
          <w:sz w:val="18"/>
          <w:szCs w:val="18"/>
        </w:rPr>
        <w:t>。</w:t>
      </w:r>
    </w:p>
    <w:p w14:paraId="62B0C6F8">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2）申购费：</w:t>
      </w:r>
      <w:r>
        <w:rPr>
          <w:rFonts w:ascii="宋体" w:hAnsi="宋体" w:eastAsia="宋体" w:cs="宋体"/>
          <w:bCs/>
          <w:sz w:val="18"/>
          <w:szCs w:val="18"/>
        </w:rPr>
        <w:t>费率</w:t>
      </w:r>
      <w:r>
        <w:rPr>
          <w:rFonts w:hint="eastAsia" w:ascii="宋体" w:hAnsi="宋体" w:eastAsia="宋体" w:cs="宋体"/>
          <w:bCs/>
          <w:sz w:val="18"/>
          <w:szCs w:val="18"/>
        </w:rPr>
        <w:t>具体数值以</w:t>
      </w:r>
      <w:r>
        <w:rPr>
          <w:rFonts w:hint="eastAsia" w:ascii="宋体" w:hAnsi="宋体" w:eastAsia="宋体" w:cs="宋体"/>
          <w:sz w:val="18"/>
          <w:szCs w:val="18"/>
        </w:rPr>
        <w:t>《产品说明书》“第二条 理财产品基本情况”</w:t>
      </w:r>
      <w:r>
        <w:rPr>
          <w:rFonts w:hint="eastAsia" w:ascii="宋体" w:hAnsi="宋体" w:eastAsia="宋体" w:cs="宋体"/>
          <w:bCs/>
          <w:sz w:val="18"/>
          <w:szCs w:val="18"/>
        </w:rPr>
        <w:t>为准</w:t>
      </w:r>
      <w:r>
        <w:rPr>
          <w:rFonts w:hint="eastAsia" w:ascii="宋体" w:hAnsi="宋体" w:cs="宋体"/>
          <w:kern w:val="0"/>
          <w:sz w:val="18"/>
          <w:szCs w:val="18"/>
        </w:rPr>
        <w:t>。</w:t>
      </w:r>
    </w:p>
    <w:p w14:paraId="70BD4417">
      <w:pPr>
        <w:widowControl/>
        <w:spacing w:line="360" w:lineRule="auto"/>
        <w:ind w:firstLine="360" w:firstLineChars="200"/>
        <w:jc w:val="left"/>
        <w:rPr>
          <w:rFonts w:ascii="宋体" w:hAnsi="宋体" w:cs="宋体"/>
          <w:kern w:val="0"/>
          <w:szCs w:val="22"/>
        </w:rPr>
      </w:pPr>
      <w:r>
        <w:rPr>
          <w:rFonts w:ascii="宋体" w:hAnsi="宋体" w:cs="宋体"/>
          <w:kern w:val="0"/>
          <w:sz w:val="18"/>
          <w:szCs w:val="18"/>
        </w:rPr>
        <w:t>3</w:t>
      </w:r>
      <w:r>
        <w:rPr>
          <w:rFonts w:hint="eastAsia" w:ascii="宋体" w:hAnsi="宋体" w:cs="宋体"/>
          <w:kern w:val="0"/>
          <w:sz w:val="18"/>
          <w:szCs w:val="18"/>
        </w:rPr>
        <w:t>）赎回费：</w:t>
      </w:r>
      <w:r>
        <w:rPr>
          <w:rFonts w:ascii="宋体" w:hAnsi="宋体" w:eastAsia="宋体" w:cs="宋体"/>
          <w:bCs/>
          <w:sz w:val="18"/>
          <w:szCs w:val="18"/>
        </w:rPr>
        <w:t>费率</w:t>
      </w:r>
      <w:r>
        <w:rPr>
          <w:rFonts w:hint="eastAsia" w:ascii="宋体" w:hAnsi="宋体" w:eastAsia="宋体" w:cs="宋体"/>
          <w:bCs/>
          <w:sz w:val="18"/>
          <w:szCs w:val="18"/>
        </w:rPr>
        <w:t>具体数值以《</w:t>
      </w:r>
      <w:r>
        <w:rPr>
          <w:rFonts w:hint="eastAsia" w:ascii="宋体" w:hAnsi="宋体" w:eastAsia="宋体" w:cs="宋体"/>
          <w:sz w:val="18"/>
          <w:szCs w:val="18"/>
        </w:rPr>
        <w:t>产品说明书》“第二条 理财产品基本情况”</w:t>
      </w:r>
      <w:r>
        <w:rPr>
          <w:rFonts w:hint="eastAsia" w:ascii="宋体" w:hAnsi="宋体" w:eastAsia="宋体" w:cs="宋体"/>
          <w:bCs/>
          <w:sz w:val="18"/>
          <w:szCs w:val="18"/>
        </w:rPr>
        <w:t>为准</w:t>
      </w:r>
      <w:r>
        <w:rPr>
          <w:rFonts w:hint="eastAsia" w:ascii="宋体" w:hAnsi="宋体" w:cs="宋体"/>
          <w:kern w:val="0"/>
          <w:sz w:val="18"/>
          <w:szCs w:val="18"/>
        </w:rPr>
        <w:t>。</w:t>
      </w:r>
    </w:p>
    <w:p w14:paraId="18C60354">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w:t>
      </w:r>
      <w:r>
        <w:rPr>
          <w:rFonts w:ascii="宋体" w:hAnsi="宋体" w:cs="宋体"/>
          <w:kern w:val="0"/>
          <w:sz w:val="18"/>
          <w:szCs w:val="18"/>
        </w:rPr>
        <w:t>2）</w:t>
      </w:r>
      <w:r>
        <w:rPr>
          <w:rFonts w:hint="eastAsia" w:ascii="宋体" w:hAnsi="宋体" w:cs="宋体"/>
          <w:kern w:val="0"/>
          <w:sz w:val="18"/>
          <w:szCs w:val="18"/>
        </w:rPr>
        <w:t>理财产品的销售服务费</w:t>
      </w:r>
    </w:p>
    <w:p w14:paraId="53E614D7">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本产品的销售服务费按前一日理财资产净值与销售服务费每日费率每日计提。销售服务费的计算方法如下：</w:t>
      </w:r>
    </w:p>
    <w:p w14:paraId="6DB61C84">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H＝E×销售服务费年费率÷</w:t>
      </w:r>
      <w:r>
        <w:rPr>
          <w:rFonts w:hint="eastAsia" w:ascii="宋体" w:hAnsi="宋体" w:cs="宋体"/>
          <w:kern w:val="0"/>
          <w:sz w:val="18"/>
          <w:szCs w:val="18"/>
        </w:rPr>
        <w:t>3</w:t>
      </w:r>
      <w:r>
        <w:rPr>
          <w:rFonts w:ascii="宋体" w:hAnsi="宋体" w:cs="宋体"/>
          <w:kern w:val="0"/>
          <w:sz w:val="18"/>
          <w:szCs w:val="18"/>
        </w:rPr>
        <w:t>65</w:t>
      </w:r>
    </w:p>
    <w:p w14:paraId="6B439539">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H为每日应计提的销售服务费</w:t>
      </w:r>
    </w:p>
    <w:p w14:paraId="6CE52D1B">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E为前一日的理财资产净值</w:t>
      </w:r>
    </w:p>
    <w:p w14:paraId="39A42BFA">
      <w:pPr>
        <w:widowControl w:val="0"/>
        <w:autoSpaceDE w:val="0"/>
        <w:autoSpaceDN w:val="0"/>
        <w:adjustRightInd w:val="0"/>
        <w:spacing w:line="360" w:lineRule="auto"/>
        <w:ind w:firstLine="360" w:firstLineChars="200"/>
        <w:rPr>
          <w:rFonts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bidi="ar-SA"/>
        </w:rPr>
        <w:t>销售服务费依照上述约定，从理财财产中支付。</w:t>
      </w:r>
      <w:r>
        <w:rPr>
          <w:rFonts w:hint="eastAsia" w:ascii="宋体" w:hAnsi="宋体" w:eastAsia="宋体" w:cs="宋体"/>
          <w:color w:val="auto"/>
          <w:kern w:val="2"/>
          <w:sz w:val="18"/>
          <w:szCs w:val="18"/>
          <w:lang w:val="en-US" w:eastAsia="zh-CN" w:bidi="ar-SA"/>
        </w:rPr>
        <w:t>费率具体数值以</w:t>
      </w:r>
      <w:r>
        <w:rPr>
          <w:rFonts w:hint="eastAsia" w:ascii="宋体" w:hAnsi="宋体" w:eastAsia="宋体" w:cs="宋体"/>
          <w:color w:val="auto"/>
          <w:sz w:val="18"/>
          <w:szCs w:val="18"/>
          <w:lang w:val="en-US" w:eastAsia="zh-CN" w:bidi="ar-SA"/>
        </w:rPr>
        <w:t>《产品说明书》“第二条 理财产品基本情况”</w:t>
      </w:r>
      <w:r>
        <w:rPr>
          <w:rFonts w:hint="eastAsia" w:ascii="宋体" w:hAnsi="宋体" w:eastAsia="宋体" w:cs="宋体"/>
          <w:color w:val="auto"/>
          <w:kern w:val="2"/>
          <w:sz w:val="18"/>
          <w:szCs w:val="18"/>
          <w:lang w:val="en-US" w:eastAsia="zh-CN" w:bidi="ar-SA"/>
        </w:rPr>
        <w:t>为准。</w:t>
      </w:r>
    </w:p>
    <w:p w14:paraId="2985E240">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w:t>
      </w:r>
      <w:r>
        <w:rPr>
          <w:rFonts w:ascii="宋体" w:hAnsi="宋体" w:cs="宋体"/>
          <w:kern w:val="0"/>
          <w:sz w:val="18"/>
          <w:szCs w:val="18"/>
        </w:rPr>
        <w:t>3）</w:t>
      </w:r>
      <w:r>
        <w:rPr>
          <w:rFonts w:hint="eastAsia" w:ascii="宋体" w:hAnsi="宋体" w:cs="宋体"/>
          <w:kern w:val="0"/>
          <w:sz w:val="18"/>
          <w:szCs w:val="18"/>
        </w:rPr>
        <w:t>理财产品</w:t>
      </w:r>
      <w:r>
        <w:rPr>
          <w:rFonts w:ascii="宋体" w:hAnsi="宋体" w:cs="宋体"/>
          <w:kern w:val="0"/>
          <w:sz w:val="18"/>
          <w:szCs w:val="18"/>
        </w:rPr>
        <w:t>的投资管理费</w:t>
      </w:r>
    </w:p>
    <w:p w14:paraId="0FFB72A9">
      <w:pPr>
        <w:widowControl/>
        <w:spacing w:line="360" w:lineRule="auto"/>
        <w:ind w:firstLine="360" w:firstLineChars="200"/>
        <w:jc w:val="left"/>
        <w:rPr>
          <w:rFonts w:ascii="宋体" w:hAnsi="宋体" w:cs="宋体"/>
          <w:sz w:val="18"/>
          <w:szCs w:val="18"/>
        </w:rPr>
      </w:pPr>
      <w:r>
        <w:rPr>
          <w:rFonts w:hint="eastAsia" w:ascii="宋体" w:hAnsi="宋体" w:cs="宋体"/>
          <w:sz w:val="18"/>
          <w:szCs w:val="18"/>
        </w:rPr>
        <w:t>本产品的投资管理费按前一日理财资产净值与投资管理费每日费率每日计提。</w:t>
      </w:r>
      <w:r>
        <w:rPr>
          <w:rFonts w:hint="eastAsia" w:ascii="宋体" w:hAnsi="宋体" w:cs="宋体"/>
          <w:kern w:val="0"/>
          <w:sz w:val="18"/>
          <w:szCs w:val="18"/>
        </w:rPr>
        <w:t>投资管理费的计算方法如下：</w:t>
      </w:r>
    </w:p>
    <w:p w14:paraId="026E70AD">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H＝E×</w:t>
      </w:r>
      <w:r>
        <w:rPr>
          <w:rFonts w:hint="eastAsia" w:ascii="宋体" w:hAnsi="宋体" w:cs="宋体"/>
          <w:kern w:val="0"/>
          <w:sz w:val="18"/>
          <w:szCs w:val="18"/>
        </w:rPr>
        <w:t>投资管理费</w:t>
      </w:r>
      <w:r>
        <w:rPr>
          <w:rFonts w:ascii="宋体" w:hAnsi="宋体" w:cs="宋体"/>
          <w:kern w:val="0"/>
          <w:sz w:val="18"/>
          <w:szCs w:val="18"/>
        </w:rPr>
        <w:t>年费率÷</w:t>
      </w:r>
      <w:r>
        <w:rPr>
          <w:rFonts w:hint="eastAsia" w:ascii="宋体" w:hAnsi="宋体" w:cs="宋体"/>
          <w:kern w:val="0"/>
          <w:sz w:val="18"/>
          <w:szCs w:val="18"/>
        </w:rPr>
        <w:t>3</w:t>
      </w:r>
      <w:r>
        <w:rPr>
          <w:rFonts w:ascii="宋体" w:hAnsi="宋体" w:cs="宋体"/>
          <w:kern w:val="0"/>
          <w:sz w:val="18"/>
          <w:szCs w:val="18"/>
        </w:rPr>
        <w:t>65</w:t>
      </w:r>
    </w:p>
    <w:p w14:paraId="5D26B0B2">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H为每日应计提的</w:t>
      </w:r>
      <w:r>
        <w:rPr>
          <w:rFonts w:hint="eastAsia" w:ascii="宋体" w:hAnsi="宋体" w:cs="宋体"/>
          <w:kern w:val="0"/>
          <w:sz w:val="18"/>
          <w:szCs w:val="18"/>
        </w:rPr>
        <w:t>产品</w:t>
      </w:r>
      <w:r>
        <w:rPr>
          <w:rFonts w:ascii="宋体" w:hAnsi="宋体" w:cs="宋体"/>
          <w:kern w:val="0"/>
          <w:sz w:val="18"/>
          <w:szCs w:val="18"/>
        </w:rPr>
        <w:t>投资管理费</w:t>
      </w:r>
    </w:p>
    <w:p w14:paraId="2A89D37B">
      <w:pPr>
        <w:widowControl/>
        <w:spacing w:line="360" w:lineRule="auto"/>
        <w:ind w:firstLine="360" w:firstLineChars="200"/>
        <w:jc w:val="left"/>
        <w:rPr>
          <w:rFonts w:ascii="宋体" w:hAnsi="宋体" w:cs="宋体"/>
          <w:kern w:val="0"/>
          <w:sz w:val="18"/>
          <w:szCs w:val="18"/>
        </w:rPr>
      </w:pPr>
      <w:r>
        <w:rPr>
          <w:rFonts w:ascii="宋体" w:hAnsi="宋体" w:cs="宋体"/>
          <w:kern w:val="0"/>
          <w:sz w:val="18"/>
          <w:szCs w:val="18"/>
        </w:rPr>
        <w:t>E为前一日的理财资产净值</w:t>
      </w:r>
    </w:p>
    <w:p w14:paraId="2DE713BF">
      <w:pPr>
        <w:widowControl/>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投资管理费依照上述约定，从理财财产中支付。</w:t>
      </w:r>
      <w:r>
        <w:rPr>
          <w:rFonts w:hint="eastAsia" w:ascii="宋体" w:hAnsi="宋体" w:eastAsia="宋体" w:cs="宋体"/>
          <w:sz w:val="18"/>
          <w:szCs w:val="18"/>
        </w:rPr>
        <w:t>费率具体数值以《产品说明书》“第二条 理财产品基本情况”为准</w:t>
      </w:r>
      <w:r>
        <w:rPr>
          <w:rFonts w:hint="eastAsia" w:ascii="宋体" w:hAnsi="宋体" w:cs="宋体"/>
          <w:kern w:val="0"/>
          <w:sz w:val="18"/>
          <w:szCs w:val="18"/>
        </w:rPr>
        <w:t>。</w:t>
      </w:r>
    </w:p>
    <w:p w14:paraId="6728C140">
      <w:pPr>
        <w:widowControl/>
        <w:spacing w:line="360" w:lineRule="auto"/>
        <w:ind w:firstLine="360" w:firstLineChars="200"/>
        <w:jc w:val="left"/>
        <w:rPr>
          <w:rFonts w:ascii="宋体" w:hAnsi="宋体" w:cs="宋体"/>
          <w:kern w:val="0"/>
          <w:sz w:val="18"/>
          <w:szCs w:val="18"/>
        </w:rPr>
      </w:pPr>
      <w:r>
        <w:rPr>
          <w:rFonts w:ascii="宋体" w:hAnsi="宋体" w:cs="宋体"/>
          <w:kern w:val="0"/>
          <w:sz w:val="18"/>
          <w:szCs w:val="18"/>
        </w:rPr>
        <w:t>（4）超额业绩报酬</w:t>
      </w:r>
    </w:p>
    <w:p w14:paraId="0095243F">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在超额业绩报酬计提日时，若理财资产扣除销售服务费、产品托管费和投资管理费等相关费用和税收后，超额业绩报酬计提日产品份额净值折算的当前年化收益率超过当前</w:t>
      </w:r>
      <w:r>
        <w:rPr>
          <w:rFonts w:hint="eastAsia" w:ascii="宋体" w:hAnsi="Times New Roman" w:cs="宋体"/>
          <w:color w:val="000000"/>
          <w:kern w:val="0"/>
          <w:sz w:val="18"/>
          <w:szCs w:val="18"/>
        </w:rPr>
        <w:t>业绩报酬计提基准</w:t>
      </w:r>
      <w:r>
        <w:rPr>
          <w:rFonts w:hint="eastAsia" w:ascii="宋体" w:hAnsi="宋体" w:eastAsia="宋体" w:cs="宋体"/>
          <w:sz w:val="18"/>
          <w:szCs w:val="18"/>
        </w:rPr>
        <w:t>，则产品管理人收取超出部分的一定比例作为超额业绩报酬。</w:t>
      </w:r>
      <w:r>
        <w:rPr>
          <w:rFonts w:hint="eastAsia" w:ascii="黑体" w:hAnsi="黑体" w:eastAsia="黑体" w:cs="宋体"/>
          <w:sz w:val="18"/>
          <w:szCs w:val="18"/>
        </w:rPr>
        <w:t>★</w:t>
      </w:r>
      <w:r>
        <w:rPr>
          <w:rFonts w:hint="eastAsia" w:ascii="宋体" w:hAnsi="宋体" w:eastAsia="宋体" w:cs="宋体"/>
          <w:sz w:val="18"/>
          <w:szCs w:val="18"/>
        </w:rPr>
        <w:t>由此造成超额业绩报酬计提日产品份额净值调整的，以调整后的数值为准进行利益分配。</w:t>
      </w:r>
    </w:p>
    <w:p w14:paraId="7A4CBE03">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业绩报酬计提基准的设置、超额业绩报酬的具体比例数值以《</w:t>
      </w:r>
      <w:r>
        <w:rPr>
          <w:rFonts w:hint="eastAsia" w:ascii="宋体" w:hAnsi="宋体" w:eastAsia="宋体" w:cs="宋体"/>
          <w:bCs/>
          <w:sz w:val="18"/>
          <w:szCs w:val="18"/>
        </w:rPr>
        <w:t>产品说明</w:t>
      </w:r>
      <w:r>
        <w:rPr>
          <w:rFonts w:hint="eastAsia" w:ascii="宋体" w:hAnsi="宋体" w:eastAsia="宋体" w:cs="宋体"/>
          <w:sz w:val="18"/>
          <w:szCs w:val="18"/>
        </w:rPr>
        <w:t>书》“第二条 理财产品基本情况”为准。</w:t>
      </w:r>
    </w:p>
    <w:p w14:paraId="0302F4BE">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1）收取超额业绩报酬的原则：</w:t>
      </w:r>
    </w:p>
    <w:p w14:paraId="558A0EE0">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①按投资者每</w:t>
      </w:r>
      <w:r>
        <w:rPr>
          <w:rFonts w:ascii="宋体" w:hAnsi="宋体" w:eastAsia="宋体" w:cs="宋体"/>
          <w:sz w:val="18"/>
          <w:szCs w:val="18"/>
        </w:rPr>
        <w:t>份</w:t>
      </w:r>
      <w:r>
        <w:rPr>
          <w:rFonts w:hint="eastAsia" w:ascii="宋体" w:hAnsi="宋体" w:eastAsia="宋体" w:cs="宋体"/>
          <w:sz w:val="18"/>
          <w:szCs w:val="18"/>
        </w:rPr>
        <w:t>产品份额分别计算年化收益率并计提超额业绩报酬；</w:t>
      </w:r>
    </w:p>
    <w:p w14:paraId="7770BF0F">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②在超额业绩报酬计提日，本产品对符合超额业绩报酬提取条件的产品份额计提超额业绩报酬；</w:t>
      </w:r>
    </w:p>
    <w:p w14:paraId="504586A2">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③在投资者提出赎回申请的产品份额所对应的赎回日提取超额业绩报酬的，超额业绩报酬从赎回资金中扣除；在产品终止日提取超额业绩报酬的，超额业绩报酬从清算资金中扣除；</w:t>
      </w:r>
    </w:p>
    <w:p w14:paraId="6D8B1F30">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2）超额业绩报酬计提方法</w:t>
      </w:r>
    </w:p>
    <w:p w14:paraId="6A643D80">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①超额业绩报酬计提起始日</w:t>
      </w:r>
    </w:p>
    <w:p w14:paraId="40C0582A">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每</w:t>
      </w:r>
      <w:r>
        <w:rPr>
          <w:rFonts w:ascii="宋体" w:hAnsi="宋体" w:eastAsia="宋体" w:cs="宋体"/>
          <w:sz w:val="18"/>
          <w:szCs w:val="18"/>
        </w:rPr>
        <w:t>份</w:t>
      </w:r>
      <w:r>
        <w:rPr>
          <w:rFonts w:hint="eastAsia" w:ascii="宋体" w:hAnsi="宋体" w:eastAsia="宋体" w:cs="宋体"/>
          <w:sz w:val="18"/>
          <w:szCs w:val="18"/>
        </w:rPr>
        <w:t>产品份额超额业绩报酬计提起始日为：a.募集期内认购的产品份额，以产品成立日为该笔产品份额超额业绩报酬计提起始日；b.存续期内申购的产品份额，以申购日为该笔产品份额超额业绩报酬计提起始日。</w:t>
      </w:r>
    </w:p>
    <w:p w14:paraId="22D58CC6">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②超额业绩报酬计提日</w:t>
      </w:r>
    </w:p>
    <w:p w14:paraId="107AD34F">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每</w:t>
      </w:r>
      <w:r>
        <w:rPr>
          <w:rFonts w:ascii="宋体" w:hAnsi="宋体" w:eastAsia="宋体" w:cs="宋体"/>
          <w:sz w:val="18"/>
          <w:szCs w:val="18"/>
        </w:rPr>
        <w:t>份</w:t>
      </w:r>
      <w:r>
        <w:rPr>
          <w:rFonts w:hint="eastAsia" w:ascii="宋体" w:hAnsi="宋体" w:eastAsia="宋体" w:cs="宋体"/>
          <w:sz w:val="18"/>
          <w:szCs w:val="18"/>
        </w:rPr>
        <w:t>产品份额超额业绩报酬计提日为投资者提出赎回申请的产品份额所对应的赎回日或产品终止日。</w:t>
      </w:r>
    </w:p>
    <w:p w14:paraId="42BBA735">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③超额业绩报酬的计算</w:t>
      </w:r>
    </w:p>
    <w:p w14:paraId="40D8CDF4">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产品管理人对每</w:t>
      </w:r>
      <w:r>
        <w:rPr>
          <w:rFonts w:ascii="宋体" w:hAnsi="宋体" w:eastAsia="宋体" w:cs="宋体"/>
          <w:sz w:val="18"/>
          <w:szCs w:val="18"/>
        </w:rPr>
        <w:t>份</w:t>
      </w:r>
      <w:r>
        <w:rPr>
          <w:rFonts w:hint="eastAsia" w:ascii="宋体" w:hAnsi="宋体" w:eastAsia="宋体" w:cs="宋体"/>
          <w:sz w:val="18"/>
          <w:szCs w:val="18"/>
        </w:rPr>
        <w:t>份额当前年化收益率（R）超过当前</w:t>
      </w:r>
      <w:r>
        <w:rPr>
          <w:rFonts w:hint="eastAsia" w:ascii="宋体" w:hAnsi="Times New Roman" w:cs="宋体"/>
          <w:color w:val="000000"/>
          <w:kern w:val="0"/>
          <w:sz w:val="18"/>
          <w:szCs w:val="18"/>
        </w:rPr>
        <w:t>业绩报酬计提基准</w:t>
      </w:r>
      <w:r>
        <w:rPr>
          <w:rFonts w:hint="eastAsia" w:ascii="宋体" w:hAnsi="宋体" w:eastAsia="宋体" w:cs="宋体"/>
          <w:sz w:val="18"/>
          <w:szCs w:val="18"/>
        </w:rPr>
        <w:t>的部分，按比例（N）以及产品份额持有天数（D）提取超额业绩报酬，计算方法如下：</w:t>
      </w:r>
    </w:p>
    <w:p w14:paraId="5944DB92">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当R≤当前</w:t>
      </w:r>
      <w:r>
        <w:rPr>
          <w:rFonts w:hint="eastAsia" w:ascii="宋体" w:hAnsi="Times New Roman" w:cs="宋体"/>
          <w:color w:val="000000"/>
          <w:kern w:val="0"/>
          <w:sz w:val="18"/>
          <w:szCs w:val="18"/>
        </w:rPr>
        <w:t>业绩报酬计提基准</w:t>
      </w:r>
      <w:r>
        <w:rPr>
          <w:rFonts w:hint="eastAsia" w:ascii="宋体" w:hAnsi="宋体" w:eastAsia="宋体" w:cs="宋体"/>
          <w:sz w:val="18"/>
          <w:szCs w:val="18"/>
        </w:rPr>
        <w:t>，超额业绩报酬=0；</w:t>
      </w:r>
    </w:p>
    <w:p w14:paraId="72C2D6CB">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当R＞当前</w:t>
      </w:r>
      <w:r>
        <w:rPr>
          <w:rFonts w:hint="eastAsia" w:ascii="宋体" w:hAnsi="Times New Roman" w:cs="宋体"/>
          <w:color w:val="000000"/>
          <w:kern w:val="0"/>
          <w:sz w:val="18"/>
          <w:szCs w:val="18"/>
        </w:rPr>
        <w:t>业绩报酬计提基准</w:t>
      </w:r>
      <w:r>
        <w:rPr>
          <w:rFonts w:hint="eastAsia" w:ascii="宋体" w:hAnsi="宋体" w:eastAsia="宋体" w:cs="宋体"/>
          <w:sz w:val="18"/>
          <w:szCs w:val="18"/>
        </w:rPr>
        <w:t>，超额业绩报酬=赎回的产品份额或产品终止时投资者持有的产品份额×产品成立日或产品份额申购日的产品份额净值×（R-当前</w:t>
      </w:r>
      <w:r>
        <w:rPr>
          <w:rFonts w:hint="eastAsia" w:ascii="宋体" w:hAnsi="Times New Roman" w:cs="宋体"/>
          <w:color w:val="000000"/>
          <w:kern w:val="0"/>
          <w:sz w:val="18"/>
          <w:szCs w:val="18"/>
        </w:rPr>
        <w:t>业绩报酬计提基准</w:t>
      </w:r>
      <w:r>
        <w:rPr>
          <w:rFonts w:hint="eastAsia" w:ascii="宋体" w:hAnsi="宋体" w:eastAsia="宋体" w:cs="宋体"/>
          <w:sz w:val="18"/>
          <w:szCs w:val="18"/>
        </w:rPr>
        <w:t>）×N×D/365。</w:t>
      </w:r>
    </w:p>
    <w:p w14:paraId="5A05250F">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若该产品份额持有期间，业绩报酬计提基准和比例有所调整，以该产品份额持有期间调整前后的业绩报酬计提基准和比例分别测算整个份额持有期间应收取的超额业绩报酬数值，并以较小的数值来收取超额业绩报酬。</w:t>
      </w:r>
    </w:p>
    <w:p w14:paraId="137B1B69">
      <w:pPr>
        <w:widowControl/>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w:t>
      </w:r>
      <w:r>
        <w:rPr>
          <w:rFonts w:ascii="宋体" w:hAnsi="宋体" w:cs="宋体"/>
          <w:kern w:val="0"/>
          <w:sz w:val="18"/>
          <w:szCs w:val="18"/>
        </w:rPr>
        <w:t>5</w:t>
      </w:r>
      <w:r>
        <w:rPr>
          <w:rFonts w:hint="eastAsia" w:ascii="宋体" w:hAnsi="宋体" w:cs="宋体"/>
          <w:kern w:val="0"/>
          <w:sz w:val="18"/>
          <w:szCs w:val="18"/>
        </w:rPr>
        <w:t>）理财产品</w:t>
      </w:r>
      <w:r>
        <w:rPr>
          <w:rFonts w:ascii="宋体" w:hAnsi="宋体" w:cs="宋体"/>
          <w:kern w:val="0"/>
          <w:sz w:val="18"/>
          <w:szCs w:val="18"/>
        </w:rPr>
        <w:t>的</w:t>
      </w:r>
      <w:r>
        <w:rPr>
          <w:rFonts w:hint="eastAsia" w:ascii="宋体" w:hAnsi="宋体" w:cs="宋体"/>
          <w:kern w:val="0"/>
          <w:sz w:val="18"/>
          <w:szCs w:val="18"/>
        </w:rPr>
        <w:t>产品</w:t>
      </w:r>
      <w:r>
        <w:rPr>
          <w:rFonts w:ascii="宋体" w:hAnsi="宋体" w:cs="宋体"/>
          <w:kern w:val="0"/>
          <w:sz w:val="18"/>
          <w:szCs w:val="18"/>
        </w:rPr>
        <w:t>托管费</w:t>
      </w:r>
    </w:p>
    <w:p w14:paraId="6F4FE92C">
      <w:pPr>
        <w:widowControl/>
        <w:spacing w:line="360" w:lineRule="auto"/>
        <w:ind w:firstLine="360" w:firstLineChars="200"/>
        <w:jc w:val="left"/>
        <w:rPr>
          <w:rFonts w:ascii="宋体" w:hAnsi="宋体" w:cs="宋体"/>
          <w:sz w:val="18"/>
          <w:szCs w:val="18"/>
        </w:rPr>
      </w:pPr>
      <w:r>
        <w:rPr>
          <w:rFonts w:hint="eastAsia" w:ascii="宋体" w:hAnsi="宋体" w:cs="宋体"/>
          <w:sz w:val="18"/>
          <w:szCs w:val="18"/>
        </w:rPr>
        <w:t>本产品的产品</w:t>
      </w:r>
      <w:r>
        <w:rPr>
          <w:rFonts w:ascii="宋体" w:hAnsi="宋体" w:cs="宋体"/>
          <w:sz w:val="18"/>
          <w:szCs w:val="18"/>
        </w:rPr>
        <w:t>托管</w:t>
      </w:r>
      <w:r>
        <w:rPr>
          <w:rFonts w:hint="eastAsia" w:ascii="宋体" w:hAnsi="宋体" w:cs="宋体"/>
          <w:sz w:val="18"/>
          <w:szCs w:val="18"/>
        </w:rPr>
        <w:t>费按前一日理财资产净值与产品</w:t>
      </w:r>
      <w:r>
        <w:rPr>
          <w:rFonts w:ascii="宋体" w:hAnsi="宋体" w:cs="宋体"/>
          <w:sz w:val="18"/>
          <w:szCs w:val="18"/>
        </w:rPr>
        <w:t>托管</w:t>
      </w:r>
      <w:r>
        <w:rPr>
          <w:rFonts w:hint="eastAsia" w:ascii="宋体" w:hAnsi="宋体" w:cs="宋体"/>
          <w:sz w:val="18"/>
          <w:szCs w:val="18"/>
        </w:rPr>
        <w:t>费每日费率每日计提。</w:t>
      </w:r>
      <w:r>
        <w:rPr>
          <w:rFonts w:hint="eastAsia" w:ascii="宋体" w:hAnsi="宋体" w:cs="宋体"/>
          <w:kern w:val="0"/>
          <w:sz w:val="18"/>
          <w:szCs w:val="18"/>
        </w:rPr>
        <w:t>产品</w:t>
      </w:r>
      <w:r>
        <w:rPr>
          <w:rFonts w:ascii="宋体" w:hAnsi="宋体" w:cs="宋体"/>
          <w:kern w:val="0"/>
          <w:sz w:val="18"/>
          <w:szCs w:val="18"/>
        </w:rPr>
        <w:t>托管费的计算方法如下：</w:t>
      </w:r>
    </w:p>
    <w:p w14:paraId="2057F558">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H＝E×</w:t>
      </w:r>
      <w:r>
        <w:rPr>
          <w:rFonts w:hint="eastAsia" w:ascii="宋体" w:hAnsi="宋体" w:cs="宋体"/>
          <w:kern w:val="0"/>
          <w:sz w:val="18"/>
          <w:szCs w:val="18"/>
        </w:rPr>
        <w:t>产品托管费</w:t>
      </w:r>
      <w:r>
        <w:rPr>
          <w:rFonts w:ascii="宋体" w:hAnsi="宋体" w:cs="宋体"/>
          <w:kern w:val="0"/>
          <w:sz w:val="18"/>
          <w:szCs w:val="18"/>
        </w:rPr>
        <w:t>年费率÷</w:t>
      </w:r>
      <w:r>
        <w:rPr>
          <w:rFonts w:hint="eastAsia" w:ascii="宋体" w:hAnsi="宋体" w:cs="宋体"/>
          <w:kern w:val="0"/>
          <w:sz w:val="18"/>
          <w:szCs w:val="18"/>
        </w:rPr>
        <w:t>3</w:t>
      </w:r>
      <w:r>
        <w:rPr>
          <w:rFonts w:ascii="宋体" w:hAnsi="宋体" w:cs="宋体"/>
          <w:kern w:val="0"/>
          <w:sz w:val="18"/>
          <w:szCs w:val="18"/>
        </w:rPr>
        <w:t>65</w:t>
      </w:r>
    </w:p>
    <w:p w14:paraId="0D8882A0">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H为每日应计提的</w:t>
      </w:r>
      <w:r>
        <w:rPr>
          <w:rFonts w:hint="eastAsia" w:ascii="宋体" w:hAnsi="宋体" w:cs="宋体"/>
          <w:kern w:val="0"/>
          <w:sz w:val="18"/>
          <w:szCs w:val="18"/>
        </w:rPr>
        <w:t>产品</w:t>
      </w:r>
      <w:r>
        <w:rPr>
          <w:rFonts w:ascii="宋体" w:hAnsi="宋体" w:cs="宋体"/>
          <w:kern w:val="0"/>
          <w:sz w:val="18"/>
          <w:szCs w:val="18"/>
        </w:rPr>
        <w:t>托管费</w:t>
      </w:r>
    </w:p>
    <w:p w14:paraId="602CAD55">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E为前一日的理财资产净值</w:t>
      </w:r>
    </w:p>
    <w:p w14:paraId="719A1204">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产品托管费依照上述约定，从理财财产中支付。</w:t>
      </w:r>
      <w:r>
        <w:rPr>
          <w:rFonts w:hint="eastAsia" w:ascii="宋体" w:hAnsi="宋体" w:eastAsia="宋体" w:cs="宋体"/>
          <w:sz w:val="18"/>
          <w:szCs w:val="18"/>
        </w:rPr>
        <w:t>费率具体数值以《产品说明书》“第二条 理财产品基本情况”为准。</w:t>
      </w:r>
    </w:p>
    <w:p w14:paraId="25B7F6D7">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w:t>
      </w:r>
      <w:r>
        <w:rPr>
          <w:rFonts w:ascii="宋体" w:hAnsi="宋体" w:cs="宋体"/>
          <w:kern w:val="0"/>
          <w:sz w:val="18"/>
          <w:szCs w:val="18"/>
        </w:rPr>
        <w:t>6</w:t>
      </w:r>
      <w:r>
        <w:rPr>
          <w:rFonts w:hint="eastAsia" w:ascii="宋体" w:hAnsi="宋体" w:cs="宋体"/>
          <w:kern w:val="0"/>
          <w:sz w:val="18"/>
          <w:szCs w:val="18"/>
        </w:rPr>
        <w:t>）</w:t>
      </w:r>
      <w:r>
        <w:rPr>
          <w:rFonts w:ascii="宋体" w:hAnsi="宋体" w:cs="宋体"/>
          <w:kern w:val="0"/>
          <w:sz w:val="18"/>
          <w:szCs w:val="18"/>
        </w:rPr>
        <w:t>上述</w:t>
      </w:r>
      <w:r>
        <w:rPr>
          <w:rFonts w:hint="eastAsia" w:ascii="宋体" w:hAnsi="宋体" w:cs="宋体"/>
          <w:kern w:val="0"/>
          <w:sz w:val="18"/>
          <w:szCs w:val="18"/>
        </w:rPr>
        <w:t>理财产品的证券交易费用</w:t>
      </w:r>
    </w:p>
    <w:p w14:paraId="5A6EEBD3">
      <w:pPr>
        <w:widowControl/>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按费用实际支出金额列入当期费用，从理财财产中支付。</w:t>
      </w:r>
    </w:p>
    <w:p w14:paraId="775A5B34">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w:t>
      </w:r>
      <w:r>
        <w:rPr>
          <w:rFonts w:ascii="宋体" w:hAnsi="宋体" w:cs="宋体"/>
          <w:kern w:val="0"/>
          <w:sz w:val="18"/>
          <w:szCs w:val="18"/>
        </w:rPr>
        <w:t>7）上述</w:t>
      </w:r>
      <w:r>
        <w:rPr>
          <w:rFonts w:hint="eastAsia" w:ascii="宋体" w:hAnsi="宋体" w:cs="宋体"/>
          <w:kern w:val="0"/>
          <w:sz w:val="18"/>
          <w:szCs w:val="18"/>
        </w:rPr>
        <w:t>理财产品</w:t>
      </w:r>
      <w:r>
        <w:rPr>
          <w:rFonts w:ascii="宋体" w:hAnsi="宋体" w:cs="宋体"/>
          <w:kern w:val="0"/>
          <w:sz w:val="18"/>
          <w:szCs w:val="18"/>
        </w:rPr>
        <w:t>验资费、审计费、律师费、信息披露费、</w:t>
      </w:r>
      <w:r>
        <w:rPr>
          <w:rFonts w:hint="eastAsia" w:ascii="宋体" w:hAnsi="宋体" w:cs="宋体"/>
          <w:kern w:val="0"/>
          <w:sz w:val="18"/>
          <w:szCs w:val="18"/>
        </w:rPr>
        <w:t>清算费、</w:t>
      </w:r>
      <w:r>
        <w:rPr>
          <w:rFonts w:ascii="宋体" w:hAnsi="宋体" w:cs="宋体"/>
          <w:kern w:val="0"/>
          <w:sz w:val="18"/>
          <w:szCs w:val="18"/>
        </w:rPr>
        <w:t>执行费用等相关费用</w:t>
      </w:r>
    </w:p>
    <w:p w14:paraId="56E49831">
      <w:pPr>
        <w:widowControl/>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按费用实际支出金额列入当期费用，从理财财产中支付。产品管理人因处理上述事务而先行垫付上述</w:t>
      </w:r>
      <w:r>
        <w:rPr>
          <w:rFonts w:ascii="宋体" w:hAnsi="宋体" w:cs="宋体"/>
          <w:kern w:val="0"/>
          <w:sz w:val="18"/>
          <w:szCs w:val="18"/>
        </w:rPr>
        <w:t>费用</w:t>
      </w:r>
      <w:r>
        <w:rPr>
          <w:rFonts w:hint="eastAsia" w:ascii="宋体" w:hAnsi="宋体" w:cs="宋体"/>
          <w:kern w:val="0"/>
          <w:sz w:val="18"/>
          <w:szCs w:val="18"/>
        </w:rPr>
        <w:t>的，管理人有权从理财产品资产中优先受偿。</w:t>
      </w:r>
    </w:p>
    <w:p w14:paraId="4BBAAB29">
      <w:pPr>
        <w:widowControl w:val="0"/>
        <w:autoSpaceDE w:val="0"/>
        <w:autoSpaceDN w:val="0"/>
        <w:adjustRightInd w:val="0"/>
        <w:spacing w:line="360" w:lineRule="auto"/>
        <w:ind w:firstLine="360" w:firstLineChars="200"/>
        <w:rPr>
          <w:rFonts w:ascii="黑体" w:hAnsi="黑体" w:eastAsia="黑体" w:cs="宋体"/>
          <w:color w:val="auto"/>
          <w:sz w:val="18"/>
          <w:szCs w:val="24"/>
          <w:lang w:val="en-US" w:eastAsia="zh-CN" w:bidi="ar-SA"/>
        </w:rPr>
      </w:pPr>
      <w:r>
        <w:rPr>
          <w:rFonts w:ascii="黑体" w:hAnsi="黑体" w:eastAsia="黑体" w:cs="宋体"/>
          <w:color w:val="auto"/>
          <w:sz w:val="18"/>
          <w:szCs w:val="24"/>
          <w:lang w:val="en-US" w:eastAsia="zh-CN" w:bidi="ar-SA"/>
        </w:rPr>
        <w:t>3.</w:t>
      </w:r>
      <w:r>
        <w:rPr>
          <w:rFonts w:ascii="宋体" w:hAnsi="宋体" w:eastAsia="宋体" w:cs="宋体"/>
          <w:color w:val="auto"/>
          <w:sz w:val="18"/>
          <w:szCs w:val="18"/>
          <w:lang w:val="en-US" w:eastAsia="zh-CN" w:bidi="ar-SA"/>
        </w:rPr>
        <w:t>★</w:t>
      </w:r>
      <w:r>
        <w:rPr>
          <w:rFonts w:hint="eastAsia" w:ascii="黑体" w:hAnsi="黑体" w:eastAsia="黑体" w:cs="宋体"/>
          <w:color w:val="auto"/>
          <w:sz w:val="18"/>
          <w:szCs w:val="18"/>
          <w:lang w:val="en-US" w:eastAsia="zh-CN" w:bidi="ar-SA"/>
        </w:rPr>
        <w:t>理财产品费用</w:t>
      </w:r>
      <w:r>
        <w:rPr>
          <w:rFonts w:hint="eastAsia" w:ascii="黑体" w:hAnsi="黑体" w:eastAsia="黑体" w:cs="宋体"/>
          <w:color w:val="auto"/>
          <w:sz w:val="18"/>
          <w:szCs w:val="24"/>
          <w:lang w:val="en-US" w:eastAsia="zh-CN" w:bidi="ar-SA"/>
        </w:rPr>
        <w:t>的调整</w:t>
      </w:r>
    </w:p>
    <w:p w14:paraId="744BC381">
      <w:pPr>
        <w:widowControl w:val="0"/>
        <w:autoSpaceDE w:val="0"/>
        <w:autoSpaceDN w:val="0"/>
        <w:adjustRightInd w:val="0"/>
        <w:spacing w:line="360" w:lineRule="auto"/>
        <w:ind w:firstLine="360" w:firstLineChars="200"/>
        <w:rPr>
          <w:rFonts w:ascii="黑体" w:hAnsi="黑体" w:eastAsia="黑体" w:cs="宋体"/>
          <w:color w:val="auto"/>
          <w:sz w:val="18"/>
          <w:szCs w:val="24"/>
          <w:lang w:val="en-US" w:eastAsia="zh-CN" w:bidi="ar-SA"/>
        </w:rPr>
      </w:pPr>
      <w:r>
        <w:rPr>
          <w:rFonts w:hint="eastAsia" w:ascii="黑体" w:hAnsi="黑体" w:eastAsia="黑体" w:cs="宋体"/>
          <w:color w:val="auto"/>
          <w:sz w:val="18"/>
          <w:szCs w:val="24"/>
          <w:lang w:val="en-US" w:eastAsia="zh-CN" w:bidi="ar-SA"/>
        </w:rPr>
        <w:t>（1）发生巨额赎回时，为保护投资者利益，产品管理人有权对赎回日至赎回确认日之间的各项费用进行减免。</w:t>
      </w:r>
    </w:p>
    <w:p w14:paraId="0BAB1E17">
      <w:pPr>
        <w:widowControl w:val="0"/>
        <w:autoSpaceDE w:val="0"/>
        <w:autoSpaceDN w:val="0"/>
        <w:adjustRightInd w:val="0"/>
        <w:spacing w:line="360" w:lineRule="auto"/>
        <w:ind w:firstLine="360" w:firstLineChars="200"/>
        <w:rPr>
          <w:rFonts w:ascii="黑体" w:hAnsi="黑体" w:eastAsia="黑体" w:cs="宋体"/>
          <w:b/>
          <w:color w:val="auto"/>
          <w:sz w:val="18"/>
          <w:szCs w:val="24"/>
          <w:lang w:val="en-US" w:eastAsia="zh-CN" w:bidi="ar-SA"/>
        </w:rPr>
      </w:pPr>
      <w:r>
        <w:rPr>
          <w:rFonts w:hint="eastAsia" w:ascii="黑体" w:hAnsi="黑体" w:eastAsia="黑体" w:cs="宋体"/>
          <w:color w:val="auto"/>
          <w:sz w:val="18"/>
          <w:szCs w:val="24"/>
          <w:lang w:val="en-US" w:eastAsia="zh-CN" w:bidi="ar-SA"/>
        </w:rPr>
        <w:t>（2）产品管理人有权</w:t>
      </w:r>
      <w:r>
        <w:rPr>
          <w:rFonts w:hint="eastAsia" w:ascii="黑体" w:hAnsi="黑体" w:eastAsia="黑体" w:cs="宋体"/>
          <w:color w:val="auto"/>
          <w:sz w:val="18"/>
          <w:szCs w:val="18"/>
          <w:lang w:val="en-US" w:eastAsia="zh-CN" w:bidi="ar-SA"/>
        </w:rPr>
        <w:t>根据相关法律和国家政策规定，</w:t>
      </w:r>
      <w:r>
        <w:rPr>
          <w:rFonts w:hint="eastAsia" w:ascii="黑体" w:hAnsi="黑体" w:eastAsia="黑体" w:cs="宋体"/>
          <w:color w:val="auto"/>
          <w:sz w:val="18"/>
          <w:szCs w:val="24"/>
          <w:lang w:val="en-US" w:eastAsia="zh-CN" w:bidi="ar-SA"/>
        </w:rPr>
        <w:t>对理财产品费用的收费项目、收费条件、收费标准和收费方式等进行调整。产品管理人对费用的调整</w:t>
      </w:r>
      <w:r>
        <w:rPr>
          <w:rFonts w:hint="eastAsia" w:ascii="黑体" w:hAnsi="黑体" w:eastAsia="黑体" w:cs="宋体"/>
          <w:bCs/>
          <w:color w:val="auto"/>
          <w:sz w:val="18"/>
          <w:szCs w:val="24"/>
          <w:lang w:val="en-US" w:eastAsia="zh-CN" w:bidi="ar-SA"/>
        </w:rPr>
        <w:t>将依约定进行公告。</w:t>
      </w:r>
    </w:p>
    <w:p w14:paraId="625A513C">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（二）理财产品的税收</w:t>
      </w:r>
    </w:p>
    <w:p w14:paraId="5AE2D353">
      <w:pPr>
        <w:widowControl/>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14:paraId="6396F1EC">
      <w:pPr>
        <w:keepNext/>
        <w:keepLines/>
        <w:widowControl w:val="0"/>
        <w:spacing w:before="340" w:after="330" w:line="360" w:lineRule="auto"/>
        <w:jc w:val="center"/>
        <w:outlineLvl w:val="0"/>
        <w:rPr>
          <w:rFonts w:ascii="Calibri" w:hAnsi="Calibri" w:eastAsia="宋体" w:cs="宋体"/>
          <w:b/>
          <w:bCs/>
          <w:kern w:val="44"/>
          <w:sz w:val="44"/>
          <w:szCs w:val="44"/>
          <w:lang w:val="en-US" w:eastAsia="zh-CN" w:bidi="ar-SA"/>
        </w:rPr>
      </w:pPr>
      <w:bookmarkStart w:id="229" w:name="_Toc1745"/>
      <w:bookmarkStart w:id="230" w:name="_Toc3963"/>
      <w:r>
        <w:rPr>
          <w:rFonts w:ascii="Calibri" w:hAnsi="Calibri" w:eastAsia="宋体" w:cs="宋体"/>
          <w:b/>
          <w:bCs/>
          <w:kern w:val="44"/>
          <w:sz w:val="44"/>
          <w:szCs w:val="44"/>
          <w:lang w:val="en-US" w:eastAsia="zh-CN" w:bidi="ar-SA"/>
        </w:rPr>
        <w:br w:type="page"/>
      </w:r>
      <w:bookmarkStart w:id="231" w:name="_Toc21735"/>
      <w:bookmarkStart w:id="232" w:name="_Toc79154673"/>
      <w:bookmarkStart w:id="233" w:name="_Toc5388"/>
      <w:bookmarkStart w:id="234" w:name="_Toc74065746"/>
      <w:bookmarkStart w:id="235" w:name="_Toc123102456"/>
      <w:bookmarkStart w:id="236" w:name="_Toc139991739"/>
      <w:bookmarkStart w:id="237" w:name="_Toc25397"/>
      <w:bookmarkStart w:id="238" w:name="_Toc98560355"/>
      <w:bookmarkStart w:id="239" w:name="_Toc725"/>
      <w:bookmarkStart w:id="240" w:name="_Toc2757"/>
      <w:bookmarkStart w:id="241" w:name="_Toc18206"/>
      <w:bookmarkStart w:id="242" w:name="_Toc92377139"/>
      <w:bookmarkStart w:id="243" w:name="_Toc16164"/>
      <w:bookmarkStart w:id="244" w:name="_Toc123112237"/>
      <w:bookmarkStart w:id="245" w:name="_Toc3080"/>
      <w:bookmarkStart w:id="246" w:name="_Toc141703889"/>
      <w:bookmarkStart w:id="247" w:name="_Toc10398"/>
      <w:bookmarkStart w:id="248" w:name="_Toc3572"/>
      <w:bookmarkStart w:id="249" w:name="_Toc123051455"/>
      <w:bookmarkStart w:id="250" w:name="_Toc31821"/>
      <w:r>
        <w:rPr>
          <w:rFonts w:hint="eastAsia" w:ascii="Calibri" w:hAnsi="Calibri" w:eastAsia="宋体" w:cs="宋体"/>
          <w:b/>
          <w:bCs/>
          <w:kern w:val="44"/>
          <w:sz w:val="30"/>
          <w:szCs w:val="44"/>
          <w:lang w:val="en-US" w:eastAsia="zh-CN" w:bidi="ar-SA"/>
        </w:rPr>
        <w:t>第十条</w:t>
      </w:r>
      <w:r>
        <w:rPr>
          <w:rFonts w:ascii="Calibri" w:hAnsi="Calibri" w:eastAsia="宋体" w:cs="宋体"/>
          <w:b/>
          <w:bCs/>
          <w:kern w:val="44"/>
          <w:sz w:val="30"/>
          <w:szCs w:val="44"/>
          <w:lang w:val="en-US" w:eastAsia="zh-CN" w:bidi="ar-SA"/>
        </w:rPr>
        <w:t xml:space="preserve">  </w:t>
      </w:r>
      <w:r>
        <w:rPr>
          <w:rFonts w:hint="eastAsia" w:ascii="Calibri" w:hAnsi="Calibri" w:eastAsia="宋体" w:cs="宋体"/>
          <w:b/>
          <w:bCs/>
          <w:kern w:val="44"/>
          <w:sz w:val="30"/>
          <w:szCs w:val="44"/>
          <w:lang w:val="en-US" w:eastAsia="zh-CN" w:bidi="ar-SA"/>
        </w:rPr>
        <w:t>理财产品的终止与清算</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355E209F">
      <w:pPr>
        <w:spacing w:line="360" w:lineRule="auto"/>
        <w:ind w:firstLine="361" w:firstLineChars="200"/>
        <w:rPr>
          <w:rFonts w:ascii="宋体" w:hAnsi="宋体" w:eastAsia="宋体" w:cs="宋体"/>
          <w:b/>
          <w:bCs/>
          <w:sz w:val="18"/>
          <w:szCs w:val="18"/>
        </w:rPr>
      </w:pPr>
      <w:bookmarkStart w:id="251" w:name="_Toc15118245"/>
      <w:bookmarkStart w:id="252" w:name="_Toc79392593"/>
      <w:bookmarkStart w:id="253" w:name="_Toc57530252"/>
      <w:r>
        <w:rPr>
          <w:rFonts w:hint="eastAsia" w:ascii="宋体" w:hAnsi="宋体" w:eastAsia="宋体" w:cs="宋体"/>
          <w:b/>
          <w:bCs/>
          <w:sz w:val="18"/>
          <w:szCs w:val="18"/>
        </w:rPr>
        <w:t>（一）理财产品的终止</w:t>
      </w:r>
    </w:p>
    <w:p w14:paraId="40AEE597">
      <w:pPr>
        <w:spacing w:line="360" w:lineRule="auto"/>
        <w:ind w:firstLine="360" w:firstLineChars="200"/>
        <w:rPr>
          <w:rFonts w:ascii="黑体" w:hAnsi="黑体" w:eastAsia="黑体" w:cs="宋体"/>
          <w:bCs/>
          <w:sz w:val="18"/>
          <w:szCs w:val="18"/>
        </w:rPr>
      </w:pPr>
      <w:r>
        <w:rPr>
          <w:rFonts w:ascii="黑体" w:hAnsi="黑体" w:eastAsia="黑体" w:cs="宋体"/>
          <w:bCs/>
          <w:sz w:val="18"/>
          <w:szCs w:val="18"/>
        </w:rPr>
        <w:t>1.</w:t>
      </w:r>
      <w:r>
        <w:rPr>
          <w:rFonts w:hint="eastAsia" w:ascii="黑体" w:hAnsi="黑体" w:eastAsia="黑体" w:cs="宋体"/>
          <w:bCs/>
          <w:sz w:val="18"/>
          <w:szCs w:val="18"/>
        </w:rPr>
        <w:t>★提前终止</w:t>
      </w:r>
    </w:p>
    <w:p w14:paraId="1696FB1D">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在理财产品投资运作期间内，投资者无权要求提前终止该理财产品</w:t>
      </w:r>
      <w:r>
        <w:rPr>
          <w:rFonts w:hint="eastAsia" w:ascii="宋体" w:hAnsi="宋体" w:eastAsia="宋体" w:cs="宋体"/>
          <w:bCs/>
          <w:sz w:val="18"/>
          <w:szCs w:val="18"/>
        </w:rPr>
        <w:t>。在理财产品投资运作期间内，</w:t>
      </w:r>
      <w:r>
        <w:rPr>
          <w:rFonts w:hint="eastAsia" w:ascii="黑体" w:hAnsi="黑体" w:eastAsia="黑体" w:cs="宋体"/>
          <w:bCs/>
          <w:sz w:val="18"/>
          <w:szCs w:val="18"/>
        </w:rPr>
        <w:t>当出现下列情形之一时，产品管理人有权部分或全部提前终止本产品：</w:t>
      </w:r>
    </w:p>
    <w:p w14:paraId="3A8B4D46">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1）</w:t>
      </w:r>
      <w:r>
        <w:rPr>
          <w:rFonts w:hint="eastAsia" w:ascii="宋体" w:hAnsi="宋体" w:eastAsia="宋体" w:cs="宋体"/>
          <w:bCs/>
          <w:sz w:val="18"/>
          <w:szCs w:val="18"/>
        </w:rPr>
        <w:t>因不可抗力原因导致理财产品无法继续运作。</w:t>
      </w:r>
    </w:p>
    <w:p w14:paraId="0FD246AA">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sz w:val="18"/>
          <w:szCs w:val="18"/>
        </w:rPr>
        <w:t>遇有市场出现剧烈波动、异常风险事件等情形导致理财产品收益出现大幅波动或严重影响理财产品的资产安全。</w:t>
      </w:r>
    </w:p>
    <w:p w14:paraId="3D2C1F00">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3）</w:t>
      </w:r>
      <w:r>
        <w:rPr>
          <w:rFonts w:hint="eastAsia" w:ascii="宋体" w:hAnsi="宋体" w:eastAsia="宋体" w:cs="宋体"/>
          <w:bCs/>
          <w:sz w:val="18"/>
          <w:szCs w:val="18"/>
        </w:rPr>
        <w:t>因投资者理财资金被有权机关扣划等原因导致理财产品剩余资产无法满足相关法律法规规定、所投资市场要求或协议等相关法律文件约定，或者继续存续无法实现投资目标。</w:t>
      </w:r>
    </w:p>
    <w:p w14:paraId="0034DFBA">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4）</w:t>
      </w:r>
      <w:r>
        <w:rPr>
          <w:rFonts w:hint="eastAsia" w:ascii="宋体" w:hAnsi="宋体" w:eastAsia="宋体" w:cs="宋体"/>
          <w:bCs/>
          <w:sz w:val="18"/>
          <w:szCs w:val="18"/>
        </w:rPr>
        <w:t>因相关投资管理机构解散、破产、撤销、被取消业务资格等原因无法继续履行相应职责导致产品无法继续运作。</w:t>
      </w:r>
    </w:p>
    <w:p w14:paraId="19435141">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5）</w:t>
      </w:r>
      <w:r>
        <w:rPr>
          <w:rFonts w:hint="eastAsia" w:ascii="宋体" w:hAnsi="宋体" w:eastAsia="宋体" w:cs="宋体"/>
          <w:bCs/>
          <w:sz w:val="18"/>
          <w:szCs w:val="18"/>
        </w:rPr>
        <w:t>相关投资管理机构或运用理财资金的第三方主体实施符合法律法规规定或协议等相关文件约定的行为导致理财产品被动提前终止。</w:t>
      </w:r>
    </w:p>
    <w:p w14:paraId="5A47E594">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6）</w:t>
      </w:r>
      <w:r>
        <w:rPr>
          <w:rFonts w:hint="eastAsia" w:ascii="宋体" w:hAnsi="宋体" w:eastAsia="宋体" w:cs="宋体"/>
          <w:bCs/>
          <w:sz w:val="18"/>
          <w:szCs w:val="18"/>
        </w:rPr>
        <w:t>因法律法规、国家金融政策或监管规定变化，或紧急措施出台影响产品继续正常运作。</w:t>
      </w:r>
    </w:p>
    <w:p w14:paraId="32B1D3C3">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7）</w:t>
      </w:r>
      <w:r>
        <w:rPr>
          <w:rFonts w:hint="eastAsia" w:ascii="宋体" w:hAnsi="宋体" w:cs="宋体"/>
          <w:bCs/>
          <w:sz w:val="18"/>
          <w:szCs w:val="18"/>
        </w:rPr>
        <w:t>所投资资产部分或全部提前偿付。</w:t>
      </w:r>
    </w:p>
    <w:p w14:paraId="61C3B2AC">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8）提前终止产品比维持产品运作更有利于保护产品持有人的</w:t>
      </w:r>
      <w:r>
        <w:rPr>
          <w:rFonts w:hint="eastAsia" w:ascii="宋体" w:hAnsi="宋体" w:eastAsia="宋体" w:cs="宋体"/>
          <w:bCs/>
          <w:sz w:val="18"/>
          <w:szCs w:val="18"/>
        </w:rPr>
        <w:t>权益。</w:t>
      </w:r>
    </w:p>
    <w:p w14:paraId="0974E1A9">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9）</w:t>
      </w:r>
      <w:r>
        <w:rPr>
          <w:rFonts w:hint="eastAsia" w:ascii="宋体" w:hAnsi="宋体" w:eastAsia="宋体" w:cs="宋体"/>
          <w:bCs/>
          <w:sz w:val="18"/>
          <w:szCs w:val="18"/>
        </w:rPr>
        <w:t>法律法规规定、监管部门要求或本销售文件约定的其他情形。</w:t>
      </w:r>
    </w:p>
    <w:p w14:paraId="58C57A84">
      <w:pPr>
        <w:spacing w:line="360" w:lineRule="auto"/>
        <w:ind w:firstLine="360" w:firstLineChars="200"/>
        <w:rPr>
          <w:rFonts w:ascii="黑体" w:hAnsi="黑体" w:eastAsia="黑体" w:cs="宋体"/>
          <w:bCs/>
          <w:sz w:val="18"/>
          <w:szCs w:val="18"/>
        </w:rPr>
      </w:pPr>
      <w:r>
        <w:rPr>
          <w:rFonts w:ascii="黑体" w:hAnsi="黑体" w:eastAsia="黑体" w:cs="宋体"/>
          <w:bCs/>
          <w:sz w:val="18"/>
          <w:szCs w:val="18"/>
        </w:rPr>
        <w:t>2.</w:t>
      </w:r>
      <w:r>
        <w:rPr>
          <w:rFonts w:hint="eastAsia" w:ascii="黑体" w:hAnsi="黑体" w:eastAsia="黑体" w:cs="宋体"/>
          <w:bCs/>
          <w:sz w:val="18"/>
          <w:szCs w:val="18"/>
        </w:rPr>
        <w:t>★延期</w:t>
      </w:r>
      <w:r>
        <w:rPr>
          <w:rFonts w:ascii="黑体" w:hAnsi="黑体" w:eastAsia="黑体" w:cs="宋体"/>
          <w:bCs/>
          <w:sz w:val="18"/>
          <w:szCs w:val="18"/>
        </w:rPr>
        <w:t>终止</w:t>
      </w:r>
    </w:p>
    <w:p w14:paraId="3BD6E174">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出现以下情况，产品管理人有权延长本理财产品的</w:t>
      </w:r>
      <w:r>
        <w:rPr>
          <w:rFonts w:ascii="黑体" w:hAnsi="黑体" w:eastAsia="黑体" w:cs="宋体"/>
          <w:bCs/>
          <w:sz w:val="18"/>
          <w:szCs w:val="18"/>
        </w:rPr>
        <w:t>终止</w:t>
      </w:r>
      <w:r>
        <w:rPr>
          <w:rFonts w:hint="eastAsia" w:ascii="黑体" w:hAnsi="黑体" w:eastAsia="黑体" w:cs="宋体"/>
          <w:bCs/>
          <w:sz w:val="18"/>
          <w:szCs w:val="18"/>
        </w:rPr>
        <w:t>日：</w:t>
      </w:r>
      <w:r>
        <w:rPr>
          <w:rFonts w:ascii="黑体" w:hAnsi="黑体" w:eastAsia="黑体" w:cs="宋体"/>
          <w:bCs/>
          <w:sz w:val="18"/>
          <w:szCs w:val="18"/>
        </w:rPr>
        <w:t xml:space="preserve"> </w:t>
      </w:r>
    </w:p>
    <w:p w14:paraId="411C4640">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1）</w:t>
      </w:r>
      <w:r>
        <w:rPr>
          <w:rFonts w:hint="eastAsia" w:ascii="黑体" w:hAnsi="黑体" w:eastAsia="黑体" w:cs="宋体"/>
          <w:bCs/>
          <w:sz w:val="18"/>
          <w:szCs w:val="18"/>
        </w:rPr>
        <w:t>因市场成交量不足、资产限制赎回、暂停交易、缺乏意愿交易对手、交易对手违约等原因，导致产品项下对应的投资标的无法及时变现；</w:t>
      </w:r>
      <w:r>
        <w:rPr>
          <w:rFonts w:ascii="黑体" w:hAnsi="黑体" w:eastAsia="黑体" w:cs="宋体"/>
          <w:bCs/>
          <w:sz w:val="18"/>
          <w:szCs w:val="18"/>
        </w:rPr>
        <w:t xml:space="preserve"> </w:t>
      </w:r>
    </w:p>
    <w:p w14:paraId="3F162C56">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2）</w:t>
      </w:r>
      <w:r>
        <w:rPr>
          <w:rFonts w:hint="eastAsia" w:ascii="黑体" w:hAnsi="黑体" w:eastAsia="黑体" w:cs="宋体"/>
          <w:bCs/>
          <w:sz w:val="18"/>
          <w:szCs w:val="18"/>
        </w:rPr>
        <w:t>因资金在途等原因，导致未能及时收回资金；</w:t>
      </w:r>
      <w:r>
        <w:rPr>
          <w:rFonts w:ascii="黑体" w:hAnsi="黑体" w:eastAsia="黑体" w:cs="宋体"/>
          <w:bCs/>
          <w:sz w:val="18"/>
          <w:szCs w:val="18"/>
        </w:rPr>
        <w:t xml:space="preserve"> </w:t>
      </w:r>
    </w:p>
    <w:p w14:paraId="60DA892F">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3）</w:t>
      </w:r>
      <w:r>
        <w:rPr>
          <w:rFonts w:hint="eastAsia" w:ascii="黑体" w:hAnsi="黑体" w:eastAsia="黑体" w:cs="宋体"/>
          <w:bCs/>
          <w:sz w:val="18"/>
          <w:szCs w:val="18"/>
        </w:rPr>
        <w:t>因不可抗力等原因，导致产品管理人无法分配；</w:t>
      </w:r>
      <w:r>
        <w:rPr>
          <w:rFonts w:ascii="黑体" w:hAnsi="黑体" w:eastAsia="黑体" w:cs="宋体"/>
          <w:bCs/>
          <w:sz w:val="18"/>
          <w:szCs w:val="18"/>
        </w:rPr>
        <w:t xml:space="preserve"> </w:t>
      </w:r>
    </w:p>
    <w:p w14:paraId="5A57F16C">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4）</w:t>
      </w:r>
      <w:r>
        <w:rPr>
          <w:rFonts w:hint="eastAsia" w:ascii="黑体" w:hAnsi="黑体" w:eastAsia="黑体" w:cs="宋体"/>
          <w:bCs/>
          <w:sz w:val="18"/>
          <w:szCs w:val="18"/>
        </w:rPr>
        <w:t>其他产品管理人认为需要延期终止的情形。</w:t>
      </w:r>
      <w:r>
        <w:rPr>
          <w:rFonts w:ascii="黑体" w:hAnsi="黑体" w:eastAsia="黑体" w:cs="宋体"/>
          <w:bCs/>
          <w:sz w:val="18"/>
          <w:szCs w:val="18"/>
        </w:rPr>
        <w:t xml:space="preserve"> </w:t>
      </w:r>
    </w:p>
    <w:p w14:paraId="1FE76678">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产品管理人决定延期</w:t>
      </w:r>
      <w:r>
        <w:rPr>
          <w:rFonts w:ascii="黑体" w:hAnsi="黑体" w:eastAsia="黑体" w:cs="宋体"/>
          <w:bCs/>
          <w:sz w:val="18"/>
          <w:szCs w:val="18"/>
        </w:rPr>
        <w:t>终止</w:t>
      </w:r>
      <w:r>
        <w:rPr>
          <w:rFonts w:hint="eastAsia" w:ascii="黑体" w:hAnsi="黑体" w:eastAsia="黑体" w:cs="宋体"/>
          <w:bCs/>
          <w:sz w:val="18"/>
          <w:szCs w:val="18"/>
        </w:rPr>
        <w:t>的，应依据约定进行公告。</w:t>
      </w:r>
      <w:r>
        <w:rPr>
          <w:rFonts w:ascii="黑体" w:hAnsi="黑体" w:eastAsia="黑体" w:cs="宋体"/>
          <w:bCs/>
          <w:sz w:val="18"/>
          <w:szCs w:val="18"/>
        </w:rPr>
        <w:t xml:space="preserve"> </w:t>
      </w:r>
    </w:p>
    <w:p w14:paraId="0238C01D">
      <w:pPr>
        <w:spacing w:line="360" w:lineRule="auto"/>
        <w:ind w:firstLine="361" w:firstLineChars="200"/>
        <w:rPr>
          <w:rFonts w:ascii="宋体" w:hAnsi="宋体" w:eastAsia="宋体" w:cs="宋体"/>
          <w:b/>
          <w:bCs/>
          <w:sz w:val="18"/>
          <w:szCs w:val="18"/>
        </w:rPr>
      </w:pPr>
      <w:r>
        <w:rPr>
          <w:rFonts w:hint="eastAsia" w:ascii="宋体" w:hAnsi="宋体" w:eastAsia="宋体" w:cs="宋体"/>
          <w:b/>
          <w:bCs/>
          <w:sz w:val="18"/>
          <w:szCs w:val="18"/>
        </w:rPr>
        <w:t>（二）理财产品的清算</w:t>
      </w:r>
    </w:p>
    <w:bookmarkEnd w:id="251"/>
    <w:bookmarkEnd w:id="252"/>
    <w:bookmarkEnd w:id="253"/>
    <w:p w14:paraId="6C4765BE">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1.理财产品到期日为理财产品终止日（含提前终止或延期终止）。产品份额全部终止后，理财产品终止运作，进入清算期，清算期不计算投资收益。理财资产清算后扣除理财相关费用、缴纳所欠税款并清偿理财产品负债后，理财利益按投资者持有的理财产品份额比例进行分配。清算期原则上不得超过【5】个工作日，清算期超过【5】个工作日的，将依约定进行公告。</w:t>
      </w:r>
    </w:p>
    <w:p w14:paraId="1893F650">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2.产品管理人决定部分终止理财产品的，终止的部分产品份额按以下约定处理：</w:t>
      </w:r>
    </w:p>
    <w:p w14:paraId="2F932953">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1）部分终止的比例：理财产品将按比例（已变现资产/理财产品净资产）终止部分产品份额，同时根据产品最新的理财产品份额净值和份额计算并支付投资者相应的理财利益，投资者所持有的理财产品份额则按比例注销。</w:t>
      </w:r>
    </w:p>
    <w:p w14:paraId="6A6E39DD">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2）部分终止的利益分配：产品管理人将依照销售文件公布部分终止日并指定利益分配日（一般为部分终止日之后的【5】个工作日以内）。产品管理人应将理财利益于指定的利益分配日（遇节假日顺延）向投资者分配。</w:t>
      </w:r>
    </w:p>
    <w:p w14:paraId="7AE51F29">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理财产品部分终止日（含当日）至理财利益实际到账日之间，理财资金不计算收益。</w:t>
      </w:r>
    </w:p>
    <w:p w14:paraId="1D8005F9">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3.理财产品到期日产品管理人按照《产品说明书》“第十条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p w14:paraId="4610ADE2">
      <w:pPr>
        <w:keepNext/>
        <w:keepLines/>
        <w:widowControl w:val="0"/>
        <w:spacing w:before="0" w:after="0" w:line="360" w:lineRule="auto"/>
        <w:jc w:val="center"/>
        <w:outlineLvl w:val="0"/>
        <w:rPr>
          <w:rFonts w:ascii="Times New Roman" w:hAnsi="Calibri" w:eastAsia="宋体" w:cs="宋体"/>
          <w:b/>
          <w:bCs/>
          <w:kern w:val="44"/>
          <w:sz w:val="18"/>
          <w:szCs w:val="18"/>
          <w:lang w:val="en-US" w:eastAsia="zh-CN" w:bidi="ar-SA"/>
        </w:rPr>
      </w:pPr>
      <w:r>
        <w:rPr>
          <w:rFonts w:ascii="Times New Roman" w:hAnsi="Calibri" w:eastAsia="宋体" w:cs="宋体"/>
          <w:b w:val="0"/>
          <w:bCs w:val="0"/>
          <w:kern w:val="2"/>
          <w:sz w:val="44"/>
          <w:szCs w:val="44"/>
          <w:lang w:val="en-US" w:eastAsia="zh-CN" w:bidi="ar-SA"/>
        </w:rPr>
        <w:br w:type="page"/>
      </w:r>
      <w:bookmarkStart w:id="254" w:name="_Toc7953"/>
      <w:bookmarkStart w:id="255" w:name="_Toc92377140"/>
      <w:bookmarkStart w:id="256" w:name="_Toc24268"/>
      <w:bookmarkStart w:id="257" w:name="_Toc593"/>
      <w:bookmarkStart w:id="258" w:name="_Toc74065747"/>
      <w:bookmarkStart w:id="259" w:name="_Toc83391975"/>
      <w:bookmarkStart w:id="260" w:name="_Toc29408"/>
      <w:bookmarkStart w:id="261" w:name="_Toc123051456"/>
      <w:bookmarkStart w:id="262" w:name="_Toc141703890"/>
      <w:bookmarkStart w:id="263" w:name="_Toc739"/>
      <w:bookmarkStart w:id="264" w:name="_Toc79154674"/>
      <w:bookmarkStart w:id="265" w:name="_Toc98560356"/>
      <w:bookmarkStart w:id="266" w:name="_Toc17920"/>
      <w:bookmarkStart w:id="267" w:name="_Toc123102457"/>
      <w:bookmarkStart w:id="268" w:name="_Toc123112238"/>
      <w:bookmarkStart w:id="269" w:name="_Toc79392622"/>
      <w:bookmarkStart w:id="270" w:name="_Toc21237"/>
      <w:bookmarkStart w:id="271" w:name="_Toc5170"/>
      <w:bookmarkStart w:id="272" w:name="_Toc17198"/>
      <w:bookmarkStart w:id="273" w:name="_Toc3329"/>
      <w:bookmarkStart w:id="274" w:name="_Toc32092"/>
      <w:bookmarkStart w:id="275" w:name="_Toc48649708"/>
      <w:bookmarkStart w:id="276" w:name="_Toc32584"/>
      <w:bookmarkStart w:id="277" w:name="_Toc139991740"/>
      <w:bookmarkStart w:id="278" w:name="_Toc8791"/>
      <w:r>
        <w:rPr>
          <w:rFonts w:hint="eastAsia" w:ascii="Times New Roman" w:hAnsi="Calibri" w:eastAsia="宋体" w:cs="宋体"/>
          <w:b/>
          <w:bCs/>
          <w:kern w:val="44"/>
          <w:sz w:val="28"/>
          <w:szCs w:val="28"/>
          <w:lang w:val="en-US" w:eastAsia="zh-CN" w:bidi="ar-SA"/>
        </w:rPr>
        <w:t>第十一条</w:t>
      </w:r>
      <w:r>
        <w:rPr>
          <w:rFonts w:ascii="Times New Roman" w:hAnsi="Calibri" w:eastAsia="宋体" w:cs="宋体"/>
          <w:b/>
          <w:bCs/>
          <w:kern w:val="44"/>
          <w:sz w:val="28"/>
          <w:szCs w:val="28"/>
          <w:lang w:val="en-US" w:eastAsia="zh-CN" w:bidi="ar-SA"/>
        </w:rPr>
        <w:t xml:space="preserve">  </w:t>
      </w:r>
      <w:r>
        <w:rPr>
          <w:rFonts w:hint="eastAsia" w:ascii="Times New Roman" w:hAnsi="Calibri" w:eastAsia="宋体" w:cs="宋体"/>
          <w:b/>
          <w:bCs/>
          <w:kern w:val="44"/>
          <w:sz w:val="28"/>
          <w:szCs w:val="28"/>
          <w:lang w:val="en-US" w:eastAsia="zh-CN" w:bidi="ar-SA"/>
        </w:rPr>
        <w:t>理财产品的信息披露</w:t>
      </w:r>
      <w:bookmarkEnd w:id="254"/>
      <w:bookmarkEnd w:id="255"/>
      <w:bookmarkEnd w:id="256"/>
      <w:bookmarkEnd w:id="257"/>
    </w:p>
    <w:p w14:paraId="1E578F79">
      <w:pPr>
        <w:spacing w:line="360" w:lineRule="auto"/>
        <w:ind w:firstLine="361" w:firstLineChars="200"/>
        <w:rPr>
          <w:rFonts w:ascii="宋体" w:hAnsi="宋体" w:cs="宋体"/>
          <w:b/>
          <w:bCs/>
          <w:sz w:val="18"/>
          <w:szCs w:val="18"/>
        </w:rPr>
      </w:pPr>
      <w:r>
        <w:rPr>
          <w:rFonts w:hint="eastAsia" w:ascii="宋体" w:hAnsi="宋体" w:cs="宋体"/>
          <w:b/>
          <w:bCs/>
          <w:sz w:val="18"/>
          <w:szCs w:val="18"/>
        </w:rPr>
        <w:t>（一）信息</w:t>
      </w:r>
      <w:r>
        <w:rPr>
          <w:rFonts w:ascii="宋体" w:hAnsi="宋体" w:cs="宋体"/>
          <w:b/>
          <w:bCs/>
          <w:sz w:val="18"/>
          <w:szCs w:val="18"/>
        </w:rPr>
        <w:t>披露的原则</w:t>
      </w:r>
    </w:p>
    <w:p w14:paraId="65BA8E2B">
      <w:pPr>
        <w:spacing w:line="360" w:lineRule="auto"/>
        <w:ind w:firstLine="360" w:firstLineChars="200"/>
        <w:rPr>
          <w:rFonts w:ascii="宋体" w:hAnsi="宋体" w:cs="宋体"/>
          <w:b/>
          <w:bCs/>
          <w:sz w:val="18"/>
          <w:szCs w:val="18"/>
        </w:rPr>
      </w:pPr>
      <w:r>
        <w:rPr>
          <w:rFonts w:hint="eastAsia" w:ascii="宋体" w:hAnsi="宋体" w:cs="宋体"/>
          <w:bCs/>
          <w:sz w:val="18"/>
          <w:szCs w:val="18"/>
        </w:rPr>
        <w:t>产品管理人</w:t>
      </w:r>
      <w:r>
        <w:rPr>
          <w:rFonts w:ascii="宋体" w:hAnsi="宋体" w:cs="宋体"/>
          <w:bCs/>
          <w:sz w:val="18"/>
          <w:szCs w:val="18"/>
        </w:rPr>
        <w:t>遵循真实性、准确性、完整性和及时性原则</w:t>
      </w:r>
      <w:r>
        <w:rPr>
          <w:rFonts w:hint="eastAsia" w:ascii="宋体" w:hAnsi="宋体" w:cs="宋体"/>
          <w:bCs/>
          <w:sz w:val="18"/>
          <w:szCs w:val="18"/>
        </w:rPr>
        <w:t>进行</w:t>
      </w:r>
      <w:r>
        <w:rPr>
          <w:rFonts w:ascii="宋体" w:hAnsi="宋体" w:cs="宋体"/>
          <w:bCs/>
          <w:sz w:val="18"/>
          <w:szCs w:val="18"/>
        </w:rPr>
        <w:t>信息披露</w:t>
      </w:r>
      <w:r>
        <w:rPr>
          <w:rFonts w:hint="eastAsia" w:ascii="宋体" w:hAnsi="宋体" w:cs="宋体"/>
          <w:bCs/>
          <w:sz w:val="18"/>
          <w:szCs w:val="18"/>
        </w:rPr>
        <w:t>。</w:t>
      </w:r>
    </w:p>
    <w:p w14:paraId="16E8DC83">
      <w:pPr>
        <w:spacing w:line="360" w:lineRule="auto"/>
        <w:ind w:firstLine="361" w:firstLineChars="200"/>
        <w:rPr>
          <w:rFonts w:ascii="宋体" w:hAnsi="宋体" w:cs="宋体"/>
          <w:b/>
          <w:bCs/>
          <w:sz w:val="18"/>
          <w:szCs w:val="18"/>
        </w:rPr>
      </w:pPr>
      <w:r>
        <w:rPr>
          <w:rFonts w:hint="eastAsia" w:ascii="宋体" w:hAnsi="宋体" w:cs="宋体"/>
          <w:b/>
          <w:bCs/>
          <w:sz w:val="18"/>
          <w:szCs w:val="18"/>
        </w:rPr>
        <w:t>（二）信息披露的渠道</w:t>
      </w:r>
    </w:p>
    <w:p w14:paraId="08291912">
      <w:pPr>
        <w:spacing w:line="360" w:lineRule="auto"/>
        <w:ind w:firstLine="360" w:firstLineChars="200"/>
        <w:rPr>
          <w:rFonts w:ascii="宋体" w:hAnsi="宋体" w:cs="宋体"/>
          <w:bCs/>
          <w:sz w:val="18"/>
          <w:szCs w:val="18"/>
        </w:rPr>
      </w:pPr>
      <w:r>
        <w:rPr>
          <w:rFonts w:ascii="宋体" w:hAnsi="宋体" w:cs="宋体"/>
          <w:bCs/>
          <w:sz w:val="18"/>
          <w:szCs w:val="18"/>
        </w:rPr>
        <w:t>1.</w:t>
      </w:r>
      <w:r>
        <w:rPr>
          <w:rFonts w:hint="eastAsia" w:ascii="宋体" w:hAnsi="宋体" w:cs="宋体"/>
          <w:bCs/>
          <w:sz w:val="18"/>
          <w:szCs w:val="18"/>
        </w:rPr>
        <w:t>理财产品的信息披露将通过产品管理人或销售机构的门户网站、电子销售渠道或营业网点等进行。</w:t>
      </w:r>
      <w:r>
        <w:rPr>
          <w:rFonts w:ascii="宋体" w:hAnsi="宋体" w:cs="宋体"/>
          <w:bCs/>
          <w:sz w:val="18"/>
          <w:szCs w:val="18"/>
        </w:rPr>
        <w:t>本理财产品认购期和存续期间，产品管理人将通过</w:t>
      </w:r>
      <w:r>
        <w:rPr>
          <w:rFonts w:hint="eastAsia" w:ascii="宋体" w:hAnsi="宋体" w:cs="宋体"/>
          <w:bCs/>
          <w:sz w:val="18"/>
          <w:szCs w:val="18"/>
        </w:rPr>
        <w:t>产品管理人</w:t>
      </w:r>
      <w:r>
        <w:rPr>
          <w:rFonts w:ascii="宋体" w:hAnsi="宋体" w:cs="宋体"/>
          <w:bCs/>
          <w:sz w:val="18"/>
          <w:szCs w:val="18"/>
        </w:rPr>
        <w:t>或销售机构的信息披露渠道开展理财产品的信息披露工作。请投资者及时关注。</w:t>
      </w:r>
    </w:p>
    <w:p w14:paraId="3F0F4745">
      <w:pPr>
        <w:spacing w:line="360" w:lineRule="auto"/>
        <w:ind w:firstLine="360" w:firstLineChars="200"/>
        <w:rPr>
          <w:rFonts w:ascii="黑体" w:hAnsi="黑体" w:eastAsia="黑体" w:cs="宋体"/>
          <w:bCs/>
          <w:sz w:val="18"/>
          <w:szCs w:val="18"/>
        </w:rPr>
      </w:pPr>
      <w:r>
        <w:rPr>
          <w:rFonts w:ascii="黑体" w:hAnsi="黑体" w:eastAsia="黑体" w:cs="宋体"/>
          <w:bCs/>
          <w:sz w:val="18"/>
          <w:szCs w:val="18"/>
        </w:rPr>
        <w:t>2.★产品管理人</w:t>
      </w:r>
      <w:r>
        <w:rPr>
          <w:rFonts w:hint="eastAsia" w:ascii="黑体" w:hAnsi="黑体" w:eastAsia="黑体" w:cs="宋体"/>
          <w:bCs/>
          <w:sz w:val="18"/>
          <w:szCs w:val="18"/>
        </w:rPr>
        <w:t>通过产品管理人或销售机构的信息披露渠道</w:t>
      </w:r>
      <w:r>
        <w:rPr>
          <w:rFonts w:ascii="黑体" w:hAnsi="黑体" w:eastAsia="黑体" w:cs="宋体"/>
          <w:bCs/>
          <w:sz w:val="18"/>
          <w:szCs w:val="18"/>
        </w:rPr>
        <w:t>发布</w:t>
      </w:r>
      <w:r>
        <w:rPr>
          <w:rFonts w:hint="eastAsia" w:ascii="黑体" w:hAnsi="黑体" w:eastAsia="黑体" w:cs="宋体"/>
          <w:bCs/>
          <w:sz w:val="18"/>
          <w:szCs w:val="18"/>
        </w:rPr>
        <w:t>理财产品有关</w:t>
      </w:r>
      <w:r>
        <w:rPr>
          <w:rFonts w:ascii="黑体" w:hAnsi="黑体" w:eastAsia="黑体" w:cs="宋体"/>
          <w:bCs/>
          <w:sz w:val="18"/>
          <w:szCs w:val="18"/>
        </w:rPr>
        <w:t>信息，即视为已适当履行其信息披露义务。如</w:t>
      </w:r>
      <w:r>
        <w:rPr>
          <w:rFonts w:hint="eastAsia" w:ascii="黑体" w:hAnsi="黑体" w:eastAsia="黑体" w:cs="宋体"/>
          <w:bCs/>
          <w:sz w:val="18"/>
          <w:szCs w:val="18"/>
        </w:rPr>
        <w:t>产品管理人</w:t>
      </w:r>
      <w:r>
        <w:rPr>
          <w:rFonts w:ascii="黑体" w:hAnsi="黑体" w:eastAsia="黑体" w:cs="宋体"/>
          <w:bCs/>
          <w:sz w:val="18"/>
          <w:szCs w:val="18"/>
        </w:rPr>
        <w:t>认为需要直接联系</w:t>
      </w:r>
      <w:r>
        <w:rPr>
          <w:rFonts w:hint="eastAsia" w:ascii="黑体" w:hAnsi="黑体" w:eastAsia="黑体" w:cs="宋体"/>
          <w:bCs/>
          <w:sz w:val="18"/>
          <w:szCs w:val="18"/>
        </w:rPr>
        <w:t>投资者</w:t>
      </w:r>
      <w:r>
        <w:rPr>
          <w:rFonts w:ascii="黑体" w:hAnsi="黑体" w:eastAsia="黑体" w:cs="宋体"/>
          <w:bCs/>
          <w:sz w:val="18"/>
          <w:szCs w:val="18"/>
        </w:rPr>
        <w:t>的，将依据本说明书投资者信息中</w:t>
      </w:r>
      <w:r>
        <w:rPr>
          <w:rFonts w:hint="eastAsia" w:ascii="黑体" w:hAnsi="黑体" w:eastAsia="黑体" w:cs="宋体"/>
          <w:bCs/>
          <w:sz w:val="18"/>
          <w:szCs w:val="18"/>
        </w:rPr>
        <w:t>投资者</w:t>
      </w:r>
      <w:r>
        <w:rPr>
          <w:rFonts w:ascii="黑体" w:hAnsi="黑体" w:eastAsia="黑体" w:cs="宋体"/>
          <w:bCs/>
          <w:sz w:val="18"/>
          <w:szCs w:val="18"/>
        </w:rPr>
        <w:t>预留的</w:t>
      </w:r>
      <w:r>
        <w:rPr>
          <w:rFonts w:hint="eastAsia" w:ascii="黑体" w:hAnsi="黑体" w:eastAsia="黑体" w:cs="宋体"/>
          <w:bCs/>
          <w:sz w:val="18"/>
          <w:szCs w:val="18"/>
        </w:rPr>
        <w:t>信息</w:t>
      </w:r>
      <w:r>
        <w:rPr>
          <w:rFonts w:ascii="黑体" w:hAnsi="黑体" w:eastAsia="黑体" w:cs="宋体"/>
          <w:bCs/>
          <w:sz w:val="18"/>
          <w:szCs w:val="18"/>
        </w:rPr>
        <w:t>进行通知。因</w:t>
      </w:r>
      <w:r>
        <w:rPr>
          <w:rFonts w:hint="eastAsia" w:ascii="黑体" w:hAnsi="黑体" w:eastAsia="黑体" w:cs="宋体"/>
          <w:bCs/>
          <w:sz w:val="18"/>
          <w:szCs w:val="18"/>
        </w:rPr>
        <w:t>投资者</w:t>
      </w:r>
      <w:r>
        <w:rPr>
          <w:rFonts w:ascii="黑体" w:hAnsi="黑体" w:eastAsia="黑体" w:cs="宋体"/>
          <w:bCs/>
          <w:sz w:val="18"/>
          <w:szCs w:val="18"/>
        </w:rPr>
        <w:t>原因而导致该等通知失败的，</w:t>
      </w:r>
      <w:r>
        <w:rPr>
          <w:rFonts w:hint="eastAsia" w:ascii="黑体" w:hAnsi="黑体" w:eastAsia="黑体" w:cs="宋体"/>
          <w:bCs/>
          <w:sz w:val="18"/>
          <w:szCs w:val="18"/>
        </w:rPr>
        <w:t>产品管理人</w:t>
      </w:r>
      <w:r>
        <w:rPr>
          <w:rFonts w:ascii="黑体" w:hAnsi="黑体" w:eastAsia="黑体" w:cs="宋体"/>
          <w:bCs/>
          <w:sz w:val="18"/>
          <w:szCs w:val="18"/>
        </w:rPr>
        <w:t>不承担相应责任。</w:t>
      </w:r>
    </w:p>
    <w:p w14:paraId="5E90A7B9">
      <w:pPr>
        <w:spacing w:line="360" w:lineRule="auto"/>
        <w:ind w:firstLine="360" w:firstLineChars="200"/>
        <w:rPr>
          <w:rFonts w:ascii="宋体" w:hAnsi="宋体" w:cs="宋体"/>
          <w:bCs/>
          <w:sz w:val="18"/>
          <w:szCs w:val="18"/>
        </w:rPr>
      </w:pPr>
      <w:r>
        <w:rPr>
          <w:rFonts w:ascii="宋体" w:hAnsi="宋体" w:cs="宋体"/>
          <w:bCs/>
          <w:sz w:val="18"/>
          <w:szCs w:val="18"/>
        </w:rPr>
        <w:t>3.投资者应定期通过约定的信息披露渠道获知有关理财产品相关信息。以上相关信息自披露之日即视为已送达投资者，也视为产品管理人</w:t>
      </w:r>
      <w:r>
        <w:rPr>
          <w:rFonts w:hint="eastAsia" w:ascii="宋体" w:hAnsi="宋体" w:cs="宋体"/>
          <w:bCs/>
          <w:sz w:val="18"/>
          <w:szCs w:val="18"/>
        </w:rPr>
        <w:t>已适当披露理财产品相关信息。投资者承诺将及时接收、浏览和阅读该等信息。如投资者对本产品的运作状况有任何疑问，可向产品管理人或销售机构进行咨询。</w:t>
      </w:r>
    </w:p>
    <w:p w14:paraId="1F242414">
      <w:pPr>
        <w:spacing w:line="360" w:lineRule="auto"/>
        <w:ind w:firstLine="360" w:firstLineChars="200"/>
        <w:rPr>
          <w:rFonts w:ascii="宋体" w:hAnsi="宋体" w:cs="宋体"/>
          <w:bCs/>
          <w:sz w:val="18"/>
          <w:szCs w:val="18"/>
        </w:rPr>
      </w:pPr>
      <w:r>
        <w:rPr>
          <w:rFonts w:ascii="宋体" w:hAnsi="宋体" w:cs="宋体"/>
          <w:bCs/>
          <w:sz w:val="18"/>
          <w:szCs w:val="18"/>
        </w:rPr>
        <w:t>4.在保障投资者知情权的前提下</w:t>
      </w:r>
      <w:r>
        <w:rPr>
          <w:rFonts w:hint="eastAsia" w:ascii="宋体" w:hAnsi="宋体" w:cs="宋体"/>
          <w:bCs/>
          <w:sz w:val="18"/>
          <w:szCs w:val="18"/>
        </w:rPr>
        <w:t>，</w:t>
      </w:r>
      <w:r>
        <w:rPr>
          <w:rFonts w:ascii="宋体" w:hAnsi="宋体" w:cs="宋体"/>
          <w:bCs/>
          <w:sz w:val="18"/>
          <w:szCs w:val="18"/>
        </w:rPr>
        <w:t>产品管理人保留变更信息披露渠道的权利。</w:t>
      </w:r>
    </w:p>
    <w:p w14:paraId="3F844296">
      <w:pPr>
        <w:spacing w:line="360" w:lineRule="auto"/>
        <w:ind w:firstLine="361" w:firstLineChars="200"/>
        <w:rPr>
          <w:rFonts w:ascii="宋体" w:hAnsi="宋体" w:cs="宋体"/>
          <w:b/>
          <w:bCs/>
          <w:sz w:val="18"/>
          <w:szCs w:val="18"/>
        </w:rPr>
      </w:pPr>
      <w:r>
        <w:rPr>
          <w:rFonts w:hint="eastAsia" w:ascii="宋体" w:hAnsi="宋体" w:cs="宋体"/>
          <w:b/>
          <w:bCs/>
          <w:sz w:val="18"/>
          <w:szCs w:val="18"/>
        </w:rPr>
        <w:t>（三）信息披露的内容</w:t>
      </w:r>
    </w:p>
    <w:p w14:paraId="4DE3470D">
      <w:pPr>
        <w:spacing w:line="360" w:lineRule="auto"/>
        <w:ind w:firstLine="360" w:firstLineChars="200"/>
        <w:rPr>
          <w:rFonts w:ascii="宋体" w:hAnsi="宋体" w:cs="宋体"/>
          <w:bCs/>
          <w:sz w:val="18"/>
          <w:szCs w:val="18"/>
        </w:rPr>
      </w:pPr>
      <w:r>
        <w:rPr>
          <w:rFonts w:hint="eastAsia" w:ascii="宋体" w:hAnsi="宋体" w:cs="宋体"/>
          <w:bCs/>
          <w:sz w:val="18"/>
          <w:szCs w:val="18"/>
        </w:rPr>
        <w:t>理财产品信息披露</w:t>
      </w:r>
      <w:r>
        <w:rPr>
          <w:rFonts w:ascii="宋体" w:hAnsi="宋体" w:cs="宋体"/>
          <w:bCs/>
          <w:sz w:val="18"/>
          <w:szCs w:val="18"/>
        </w:rPr>
        <w:t>包括但不限于产品成立、产品终止、</w:t>
      </w:r>
      <w:r>
        <w:rPr>
          <w:rFonts w:hint="eastAsia" w:ascii="宋体" w:hAnsi="宋体" w:cs="宋体"/>
          <w:bCs/>
          <w:sz w:val="18"/>
          <w:szCs w:val="18"/>
        </w:rPr>
        <w:t>募集信息、资产净值、产品份额净值、暂停申购或赎回、投资对象和比例、产品组合资产情况及其流动性风险分析、杠杆水平、利益分配、托管安排、投资账户信息、主要投资风险、估值方法变更、收费标准变更等信息。</w:t>
      </w:r>
    </w:p>
    <w:p w14:paraId="32DCE372">
      <w:pPr>
        <w:spacing w:line="360" w:lineRule="auto"/>
        <w:ind w:firstLine="361" w:firstLineChars="200"/>
        <w:rPr>
          <w:rFonts w:ascii="宋体" w:hAnsi="宋体" w:cs="宋体"/>
          <w:b/>
          <w:bCs/>
          <w:sz w:val="18"/>
          <w:szCs w:val="18"/>
        </w:rPr>
      </w:pPr>
      <w:r>
        <w:rPr>
          <w:rFonts w:hint="eastAsia" w:ascii="宋体" w:hAnsi="宋体" w:cs="宋体"/>
          <w:b/>
          <w:bCs/>
          <w:sz w:val="18"/>
          <w:szCs w:val="18"/>
        </w:rPr>
        <w:t>（四）信息披露的频率和时间</w:t>
      </w:r>
    </w:p>
    <w:p w14:paraId="3A965EE0">
      <w:pPr>
        <w:spacing w:line="360" w:lineRule="auto"/>
        <w:ind w:firstLine="360" w:firstLineChars="200"/>
        <w:rPr>
          <w:rFonts w:ascii="宋体" w:hAnsi="宋体" w:cs="宋体"/>
          <w:bCs/>
          <w:sz w:val="18"/>
          <w:szCs w:val="18"/>
        </w:rPr>
      </w:pPr>
      <w:r>
        <w:rPr>
          <w:rFonts w:ascii="宋体" w:hAnsi="宋体" w:cs="宋体"/>
          <w:bCs/>
          <w:sz w:val="18"/>
          <w:szCs w:val="18"/>
        </w:rPr>
        <w:t>1.产品成立公告</w:t>
      </w:r>
    </w:p>
    <w:p w14:paraId="7FADEAC3">
      <w:pPr>
        <w:spacing w:line="360" w:lineRule="auto"/>
        <w:ind w:firstLine="360" w:firstLineChars="200"/>
        <w:rPr>
          <w:rFonts w:ascii="宋体" w:hAnsi="宋体" w:cs="宋体"/>
          <w:bCs/>
          <w:sz w:val="18"/>
          <w:szCs w:val="18"/>
        </w:rPr>
      </w:pPr>
      <w:r>
        <w:rPr>
          <w:rFonts w:hint="eastAsia" w:ascii="宋体" w:hAnsi="宋体" w:cs="宋体"/>
          <w:bCs/>
          <w:sz w:val="18"/>
          <w:szCs w:val="18"/>
        </w:rPr>
        <w:t>本产品成立后</w:t>
      </w:r>
      <w:r>
        <w:rPr>
          <w:rFonts w:ascii="宋体" w:hAnsi="宋体" w:cs="宋体"/>
          <w:bCs/>
          <w:sz w:val="18"/>
          <w:szCs w:val="18"/>
        </w:rPr>
        <w:t>5个工作日内，产品管理人将发布产品成立公告。</w:t>
      </w:r>
    </w:p>
    <w:p w14:paraId="7F6A7610">
      <w:pPr>
        <w:spacing w:line="360" w:lineRule="auto"/>
        <w:ind w:firstLine="360" w:firstLineChars="200"/>
        <w:rPr>
          <w:rFonts w:ascii="宋体" w:hAnsi="宋体" w:cs="宋体"/>
          <w:bCs/>
          <w:sz w:val="18"/>
          <w:szCs w:val="18"/>
        </w:rPr>
      </w:pPr>
      <w:r>
        <w:rPr>
          <w:rFonts w:ascii="宋体" w:hAnsi="宋体" w:cs="宋体"/>
          <w:bCs/>
          <w:sz w:val="18"/>
          <w:szCs w:val="18"/>
        </w:rPr>
        <w:t>2.重大事项</w:t>
      </w:r>
      <w:r>
        <w:rPr>
          <w:rFonts w:hint="eastAsia" w:ascii="宋体" w:hAnsi="宋体" w:cs="宋体"/>
          <w:bCs/>
          <w:sz w:val="18"/>
          <w:szCs w:val="18"/>
        </w:rPr>
        <w:t>公告</w:t>
      </w:r>
    </w:p>
    <w:p w14:paraId="512FEF8F">
      <w:pPr>
        <w:spacing w:line="360" w:lineRule="auto"/>
        <w:ind w:firstLine="360" w:firstLineChars="200"/>
        <w:rPr>
          <w:rFonts w:ascii="宋体" w:hAnsi="宋体" w:cs="宋体"/>
          <w:bCs/>
          <w:sz w:val="18"/>
          <w:szCs w:val="18"/>
        </w:rPr>
      </w:pPr>
      <w:r>
        <w:rPr>
          <w:rFonts w:hint="eastAsia" w:ascii="宋体" w:hAnsi="宋体" w:cs="宋体"/>
          <w:bCs/>
          <w:sz w:val="18"/>
          <w:szCs w:val="18"/>
        </w:rPr>
        <w:t>在发生可能对理财产品投资者或者理财产品收益产生重大影响的事件后</w:t>
      </w:r>
      <w:r>
        <w:rPr>
          <w:rFonts w:ascii="宋体" w:hAnsi="宋体" w:cs="宋体"/>
          <w:bCs/>
          <w:sz w:val="18"/>
          <w:szCs w:val="18"/>
        </w:rPr>
        <w:t>2个工作日内发布重大事项公告。</w:t>
      </w:r>
    </w:p>
    <w:p w14:paraId="377768DA">
      <w:pPr>
        <w:spacing w:line="360" w:lineRule="auto"/>
        <w:ind w:firstLine="360" w:firstLineChars="200"/>
        <w:rPr>
          <w:rFonts w:ascii="宋体" w:hAnsi="宋体" w:cs="宋体"/>
          <w:bCs/>
          <w:sz w:val="18"/>
          <w:szCs w:val="18"/>
        </w:rPr>
      </w:pPr>
      <w:r>
        <w:rPr>
          <w:rFonts w:ascii="宋体" w:hAnsi="宋体" w:cs="宋体"/>
          <w:bCs/>
          <w:sz w:val="18"/>
          <w:szCs w:val="18"/>
        </w:rPr>
        <w:t>3.定期报告</w:t>
      </w:r>
    </w:p>
    <w:p w14:paraId="2A5B2B64">
      <w:pPr>
        <w:spacing w:line="360" w:lineRule="auto"/>
        <w:ind w:firstLine="360" w:firstLineChars="200"/>
        <w:rPr>
          <w:rFonts w:ascii="宋体" w:hAnsi="宋体" w:cs="宋体"/>
          <w:bCs/>
          <w:sz w:val="18"/>
          <w:szCs w:val="18"/>
        </w:rPr>
      </w:pPr>
      <w:r>
        <w:rPr>
          <w:rFonts w:hint="eastAsia" w:ascii="宋体" w:hAnsi="宋体" w:cs="宋体"/>
          <w:bCs/>
          <w:sz w:val="18"/>
          <w:szCs w:val="18"/>
        </w:rPr>
        <w:t>定期报告分为</w:t>
      </w:r>
      <w:r>
        <w:rPr>
          <w:rFonts w:ascii="宋体" w:hAnsi="宋体" w:cs="宋体"/>
          <w:bCs/>
          <w:sz w:val="18"/>
          <w:szCs w:val="18"/>
        </w:rPr>
        <w:t>季度、半年度和年度定期报告。</w:t>
      </w:r>
      <w:r>
        <w:rPr>
          <w:rFonts w:hint="eastAsia" w:ascii="宋体" w:hAnsi="宋体" w:cs="宋体"/>
          <w:bCs/>
          <w:sz w:val="18"/>
          <w:szCs w:val="18"/>
        </w:rPr>
        <w:t>产品成立超过</w:t>
      </w:r>
      <w:r>
        <w:rPr>
          <w:rFonts w:ascii="宋体" w:hAnsi="宋体" w:cs="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14:paraId="2182B83B">
      <w:pPr>
        <w:spacing w:line="360" w:lineRule="auto"/>
        <w:ind w:firstLine="360" w:firstLineChars="200"/>
        <w:rPr>
          <w:rFonts w:ascii="宋体" w:hAnsi="宋体" w:cs="宋体"/>
          <w:bCs/>
          <w:sz w:val="18"/>
          <w:szCs w:val="18"/>
        </w:rPr>
      </w:pPr>
      <w:r>
        <w:rPr>
          <w:rFonts w:ascii="宋体" w:hAnsi="宋体" w:cs="宋体"/>
          <w:bCs/>
          <w:sz w:val="18"/>
          <w:szCs w:val="18"/>
        </w:rPr>
        <w:t>4.到期公告</w:t>
      </w:r>
    </w:p>
    <w:p w14:paraId="360AC385">
      <w:pPr>
        <w:spacing w:line="360" w:lineRule="auto"/>
        <w:ind w:firstLine="360" w:firstLineChars="200"/>
        <w:rPr>
          <w:rFonts w:ascii="宋体" w:hAnsi="宋体" w:cs="宋体"/>
          <w:bCs/>
          <w:sz w:val="18"/>
          <w:szCs w:val="18"/>
        </w:rPr>
      </w:pPr>
      <w:r>
        <w:rPr>
          <w:rFonts w:hint="eastAsia" w:ascii="宋体" w:hAnsi="宋体" w:cs="宋体"/>
          <w:bCs/>
          <w:sz w:val="18"/>
          <w:szCs w:val="18"/>
        </w:rPr>
        <w:t>如果产品管理人主动提前终止本产品，产品管理人将提前</w:t>
      </w:r>
      <w:r>
        <w:rPr>
          <w:rFonts w:ascii="宋体" w:hAnsi="宋体" w:cs="宋体"/>
          <w:bCs/>
          <w:sz w:val="18"/>
          <w:szCs w:val="18"/>
        </w:rPr>
        <w:t>2个工作日进行公告。本产品终止后5个工作日内，产品管理人发布产品到期公告。</w:t>
      </w:r>
    </w:p>
    <w:p w14:paraId="00C2035B">
      <w:pPr>
        <w:spacing w:line="360" w:lineRule="auto"/>
        <w:ind w:firstLine="360" w:firstLineChars="200"/>
        <w:rPr>
          <w:rFonts w:ascii="宋体" w:hAnsi="宋体" w:cs="宋体"/>
          <w:bCs/>
          <w:sz w:val="18"/>
          <w:szCs w:val="18"/>
        </w:rPr>
      </w:pPr>
      <w:r>
        <w:rPr>
          <w:rFonts w:ascii="宋体" w:hAnsi="宋体" w:cs="宋体"/>
          <w:bCs/>
          <w:sz w:val="18"/>
          <w:szCs w:val="18"/>
        </w:rPr>
        <w:t>5.开放日公告</w:t>
      </w:r>
    </w:p>
    <w:p w14:paraId="627AD579">
      <w:pPr>
        <w:spacing w:line="360" w:lineRule="auto"/>
        <w:ind w:firstLine="360" w:firstLineChars="200"/>
        <w:rPr>
          <w:rFonts w:ascii="宋体" w:hAnsi="宋体" w:cs="宋体"/>
          <w:bCs/>
          <w:sz w:val="18"/>
          <w:szCs w:val="18"/>
        </w:rPr>
      </w:pPr>
      <w:r>
        <w:rPr>
          <w:rFonts w:hint="eastAsia" w:ascii="宋体" w:hAnsi="宋体" w:cs="宋体"/>
          <w:sz w:val="18"/>
          <w:szCs w:val="18"/>
        </w:rPr>
        <w:t>产品管理人</w:t>
      </w:r>
      <w:r>
        <w:rPr>
          <w:rFonts w:hint="eastAsia" w:ascii="宋体" w:hAnsi="宋体" w:cs="宋体"/>
          <w:bCs/>
          <w:sz w:val="18"/>
          <w:szCs w:val="18"/>
        </w:rPr>
        <w:t>在申购日</w:t>
      </w:r>
      <w:r>
        <w:rPr>
          <w:rFonts w:ascii="宋体" w:hAnsi="宋体" w:cs="宋体"/>
          <w:bCs/>
          <w:sz w:val="18"/>
          <w:szCs w:val="18"/>
        </w:rPr>
        <w:t>/赎回日结束后2个工作日内披露开放日公告，公告内容包括申购日/赎回日</w:t>
      </w:r>
      <w:r>
        <w:rPr>
          <w:rFonts w:hint="eastAsia" w:ascii="宋体" w:hAnsi="宋体" w:cs="宋体"/>
          <w:bCs/>
          <w:sz w:val="18"/>
          <w:szCs w:val="18"/>
        </w:rPr>
        <w:t>的产品份额净值、产品份额累计净值等。</w:t>
      </w:r>
    </w:p>
    <w:p w14:paraId="5C73C89C">
      <w:pPr>
        <w:spacing w:line="360" w:lineRule="auto"/>
        <w:ind w:firstLine="360" w:firstLineChars="200"/>
        <w:rPr>
          <w:rFonts w:ascii="宋体" w:hAnsi="宋体" w:cs="宋体"/>
          <w:bCs/>
          <w:sz w:val="18"/>
          <w:szCs w:val="18"/>
        </w:rPr>
      </w:pPr>
      <w:r>
        <w:rPr>
          <w:rFonts w:hint="eastAsia" w:ascii="宋体" w:hAnsi="宋体" w:cs="宋体"/>
          <w:bCs/>
          <w:sz w:val="18"/>
          <w:szCs w:val="18"/>
        </w:rPr>
        <w:t>6</w:t>
      </w:r>
      <w:r>
        <w:rPr>
          <w:rFonts w:ascii="宋体" w:hAnsi="宋体" w:cs="宋体"/>
          <w:bCs/>
          <w:sz w:val="18"/>
          <w:szCs w:val="18"/>
        </w:rPr>
        <w:t>.估值日公告</w:t>
      </w:r>
    </w:p>
    <w:p w14:paraId="27FAF832">
      <w:pPr>
        <w:spacing w:line="360" w:lineRule="auto"/>
        <w:ind w:firstLine="360" w:firstLineChars="200"/>
        <w:rPr>
          <w:rFonts w:ascii="宋体" w:hAnsi="宋体" w:cs="宋体"/>
          <w:bCs/>
          <w:sz w:val="18"/>
          <w:szCs w:val="18"/>
        </w:rPr>
      </w:pPr>
      <w:r>
        <w:rPr>
          <w:rFonts w:hint="eastAsia" w:ascii="宋体" w:hAnsi="宋体" w:cs="宋体"/>
          <w:bCs/>
          <w:sz w:val="18"/>
          <w:szCs w:val="18"/>
        </w:rPr>
        <w:t>产品</w:t>
      </w:r>
      <w:r>
        <w:rPr>
          <w:rFonts w:ascii="宋体" w:hAnsi="宋体" w:cs="宋体"/>
          <w:bCs/>
          <w:sz w:val="18"/>
          <w:szCs w:val="18"/>
        </w:rPr>
        <w:t>存续</w:t>
      </w:r>
      <w:r>
        <w:rPr>
          <w:rFonts w:hint="eastAsia" w:ascii="宋体" w:hAnsi="宋体" w:cs="宋体"/>
          <w:bCs/>
          <w:sz w:val="18"/>
          <w:szCs w:val="18"/>
        </w:rPr>
        <w:t>期间，每【工作日】向投资者披露一次估值日公告，估值日公告披露的内容包括估值日的产品份额净值、产品份额累计净值等。如遇法定节假日顺延。此外，如遇其他特殊情况，以产品管理人信息披露为准。</w:t>
      </w:r>
      <w:r>
        <w:rPr>
          <w:rFonts w:ascii="宋体" w:hAnsi="宋体" w:cs="宋体"/>
          <w:bCs/>
          <w:sz w:val="18"/>
          <w:szCs w:val="18"/>
        </w:rPr>
        <w:t xml:space="preserve"> </w:t>
      </w:r>
    </w:p>
    <w:p w14:paraId="5BF89FA8">
      <w:pPr>
        <w:spacing w:line="360" w:lineRule="auto"/>
        <w:ind w:firstLine="360" w:firstLineChars="200"/>
        <w:rPr>
          <w:rFonts w:ascii="宋体" w:hAnsi="宋体" w:cs="宋体"/>
          <w:bCs/>
          <w:sz w:val="18"/>
          <w:szCs w:val="18"/>
        </w:rPr>
      </w:pPr>
      <w:r>
        <w:rPr>
          <w:rFonts w:ascii="宋体" w:hAnsi="宋体" w:cs="宋体"/>
          <w:bCs/>
          <w:sz w:val="18"/>
          <w:szCs w:val="18"/>
        </w:rPr>
        <w:t>7.临时公告</w:t>
      </w:r>
    </w:p>
    <w:p w14:paraId="50DFF694">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w:t>
      </w:r>
      <w:r>
        <w:rPr>
          <w:rFonts w:ascii="黑体" w:hAnsi="黑体" w:eastAsia="黑体" w:cs="宋体"/>
          <w:sz w:val="18"/>
          <w:szCs w:val="18"/>
        </w:rPr>
        <w:t>1）</w:t>
      </w:r>
      <w:r>
        <w:rPr>
          <w:rFonts w:hint="eastAsia" w:ascii="黑体" w:hAnsi="黑体" w:eastAsia="黑体" w:cs="宋体"/>
          <w:sz w:val="18"/>
          <w:szCs w:val="18"/>
        </w:rPr>
        <w:t>★产品管理人</w:t>
      </w:r>
      <w:r>
        <w:rPr>
          <w:rFonts w:ascii="黑体" w:hAnsi="黑体" w:eastAsia="黑体" w:cs="宋体"/>
          <w:sz w:val="18"/>
          <w:szCs w:val="18"/>
        </w:rPr>
        <w:t>对</w:t>
      </w:r>
      <w:r>
        <w:rPr>
          <w:rFonts w:hint="eastAsia" w:ascii="黑体" w:hAnsi="黑体" w:eastAsia="黑体" w:cs="宋体"/>
          <w:sz w:val="18"/>
          <w:szCs w:val="18"/>
        </w:rPr>
        <w:t>投资范围、投资资产种类、</w:t>
      </w:r>
      <w:r>
        <w:rPr>
          <w:rFonts w:ascii="黑体" w:hAnsi="黑体" w:eastAsia="黑体" w:cs="宋体"/>
          <w:sz w:val="18"/>
          <w:szCs w:val="18"/>
        </w:rPr>
        <w:t>投资</w:t>
      </w:r>
      <w:r>
        <w:rPr>
          <w:rFonts w:hint="eastAsia" w:ascii="黑体" w:hAnsi="黑体" w:eastAsia="黑体" w:cs="宋体"/>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cs="宋体"/>
          <w:sz w:val="18"/>
          <w:szCs w:val="18"/>
        </w:rPr>
        <w:t>2个工作日发布变更公告</w:t>
      </w:r>
      <w:r>
        <w:rPr>
          <w:rFonts w:hint="eastAsia" w:ascii="黑体" w:hAnsi="黑体" w:eastAsia="黑体" w:cs="宋体"/>
          <w:sz w:val="18"/>
          <w:szCs w:val="18"/>
        </w:rPr>
        <w:t>。</w:t>
      </w:r>
    </w:p>
    <w:p w14:paraId="5CFC1D5A">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2）在发生</w:t>
      </w:r>
      <w:r>
        <w:rPr>
          <w:rFonts w:hint="eastAsia" w:ascii="宋体" w:hAnsi="宋体" w:cs="宋体"/>
          <w:sz w:val="18"/>
          <w:szCs w:val="18"/>
        </w:rPr>
        <w:t>产品管理人</w:t>
      </w:r>
      <w:r>
        <w:rPr>
          <w:rFonts w:hint="eastAsia" w:ascii="宋体" w:hAnsi="宋体" w:cs="宋体"/>
          <w:bCs/>
          <w:sz w:val="18"/>
          <w:szCs w:val="18"/>
        </w:rPr>
        <w:t>拒绝或暂停接受</w:t>
      </w:r>
      <w:r>
        <w:rPr>
          <w:rFonts w:ascii="宋体" w:hAnsi="宋体" w:cs="宋体"/>
          <w:bCs/>
          <w:sz w:val="18"/>
          <w:szCs w:val="18"/>
        </w:rPr>
        <w:t>投资者</w:t>
      </w:r>
      <w:r>
        <w:rPr>
          <w:rFonts w:hint="eastAsia" w:ascii="宋体" w:hAnsi="宋体" w:cs="宋体"/>
          <w:bCs/>
          <w:sz w:val="18"/>
          <w:szCs w:val="18"/>
        </w:rPr>
        <w:t>认购</w:t>
      </w:r>
      <w:r>
        <w:rPr>
          <w:rFonts w:ascii="宋体" w:hAnsi="宋体" w:cs="宋体"/>
          <w:bCs/>
          <w:sz w:val="18"/>
          <w:szCs w:val="18"/>
        </w:rPr>
        <w:t>/申购</w:t>
      </w:r>
      <w:r>
        <w:rPr>
          <w:rFonts w:hint="eastAsia" w:ascii="宋体" w:hAnsi="宋体" w:cs="宋体"/>
          <w:bCs/>
          <w:sz w:val="18"/>
          <w:szCs w:val="18"/>
        </w:rPr>
        <w:t>申请、暂停接受</w:t>
      </w:r>
      <w:r>
        <w:rPr>
          <w:rFonts w:ascii="宋体" w:hAnsi="宋体" w:cs="宋体"/>
          <w:bCs/>
          <w:sz w:val="18"/>
          <w:szCs w:val="18"/>
        </w:rPr>
        <w:t>投资者</w:t>
      </w:r>
      <w:r>
        <w:rPr>
          <w:rFonts w:hint="eastAsia" w:ascii="宋体" w:hAnsi="宋体" w:cs="宋体"/>
          <w:bCs/>
          <w:sz w:val="18"/>
          <w:szCs w:val="18"/>
        </w:rPr>
        <w:t>赎回申请、延缓支付赎回款项、</w:t>
      </w:r>
      <w:r>
        <w:rPr>
          <w:rFonts w:ascii="宋体" w:hAnsi="宋体" w:cs="宋体"/>
          <w:bCs/>
          <w:sz w:val="18"/>
          <w:szCs w:val="18"/>
        </w:rPr>
        <w:t>巨额赎回</w:t>
      </w:r>
      <w:r>
        <w:rPr>
          <w:rFonts w:hint="eastAsia" w:ascii="宋体" w:hAnsi="宋体" w:cs="宋体"/>
          <w:bCs/>
          <w:sz w:val="18"/>
          <w:szCs w:val="18"/>
        </w:rPr>
        <w:t>、暂停理财产品估值、采用摆动定价</w:t>
      </w:r>
      <w:r>
        <w:rPr>
          <w:rFonts w:ascii="宋体" w:hAnsi="宋体" w:cs="宋体"/>
          <w:bCs/>
          <w:sz w:val="18"/>
          <w:szCs w:val="18"/>
        </w:rPr>
        <w:t>等</w:t>
      </w:r>
      <w:r>
        <w:rPr>
          <w:rFonts w:hint="eastAsia" w:ascii="宋体" w:hAnsi="宋体" w:cs="宋体"/>
          <w:bCs/>
          <w:sz w:val="18"/>
          <w:szCs w:val="18"/>
        </w:rPr>
        <w:t>情形</w:t>
      </w:r>
      <w:r>
        <w:rPr>
          <w:rFonts w:ascii="宋体" w:hAnsi="宋体" w:cs="宋体"/>
          <w:bCs/>
          <w:sz w:val="18"/>
          <w:szCs w:val="18"/>
        </w:rPr>
        <w:t>时，</w:t>
      </w:r>
      <w:r>
        <w:rPr>
          <w:rFonts w:hint="eastAsia" w:ascii="宋体" w:hAnsi="宋体" w:cs="宋体"/>
          <w:sz w:val="18"/>
          <w:szCs w:val="18"/>
        </w:rPr>
        <w:t>产品管理人</w:t>
      </w:r>
      <w:r>
        <w:rPr>
          <w:rFonts w:hint="eastAsia" w:ascii="宋体" w:hAnsi="宋体" w:cs="宋体"/>
          <w:bCs/>
          <w:sz w:val="18"/>
          <w:szCs w:val="18"/>
        </w:rPr>
        <w:t>将</w:t>
      </w:r>
      <w:r>
        <w:rPr>
          <w:rFonts w:ascii="宋体" w:hAnsi="宋体" w:cs="宋体"/>
          <w:bCs/>
          <w:sz w:val="18"/>
          <w:szCs w:val="18"/>
        </w:rPr>
        <w:t>于3个</w:t>
      </w:r>
      <w:r>
        <w:rPr>
          <w:rFonts w:hint="eastAsia" w:ascii="宋体" w:hAnsi="宋体" w:cs="宋体"/>
          <w:bCs/>
          <w:sz w:val="18"/>
          <w:szCs w:val="18"/>
        </w:rPr>
        <w:t>交易</w:t>
      </w:r>
      <w:r>
        <w:rPr>
          <w:rFonts w:ascii="宋体" w:hAnsi="宋体" w:cs="宋体"/>
          <w:bCs/>
          <w:sz w:val="18"/>
          <w:szCs w:val="18"/>
        </w:rPr>
        <w:t>日</w:t>
      </w:r>
      <w:r>
        <w:rPr>
          <w:rFonts w:hint="eastAsia" w:ascii="宋体" w:hAnsi="宋体" w:cs="宋体"/>
          <w:bCs/>
          <w:sz w:val="18"/>
          <w:szCs w:val="18"/>
        </w:rPr>
        <w:t>内告知投资者，并说明运用相关措施的原因和拟采取的应对安排等</w:t>
      </w:r>
      <w:r>
        <w:rPr>
          <w:rFonts w:ascii="宋体" w:hAnsi="宋体" w:cs="宋体"/>
          <w:bCs/>
          <w:sz w:val="18"/>
          <w:szCs w:val="18"/>
        </w:rPr>
        <w:t>。</w:t>
      </w:r>
      <w:r>
        <w:rPr>
          <w:rFonts w:hint="eastAsia" w:ascii="宋体" w:hAnsi="宋体" w:cs="宋体"/>
          <w:bCs/>
          <w:sz w:val="18"/>
          <w:szCs w:val="18"/>
        </w:rPr>
        <w:t>在发生涉及产品认购、申购或赎回事项调整或潜在影响投资者赎回等事项时，管理人将发布临时公告。</w:t>
      </w:r>
    </w:p>
    <w:p w14:paraId="6E3242F4">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3）理财产品清算期超过5个工作日的，产品管理人应当在理财产品终止前，根据与投资者的约定，在指定渠道向理财产品投资者进行披露。</w:t>
      </w:r>
    </w:p>
    <w:p w14:paraId="561A82E2">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w:t>
      </w:r>
      <w:r>
        <w:rPr>
          <w:rFonts w:ascii="黑体" w:hAnsi="黑体" w:eastAsia="黑体" w:cs="宋体"/>
          <w:sz w:val="18"/>
          <w:szCs w:val="18"/>
        </w:rPr>
        <w:t>4）★在本产品存续期内，如因国家法律法规、监管规定发生变化，或是出于维护本产品正常运营的需要，在不损害投资者</w:t>
      </w:r>
      <w:r>
        <w:rPr>
          <w:rFonts w:hint="eastAsia" w:ascii="黑体" w:hAnsi="黑体" w:eastAsia="黑体" w:cs="宋体"/>
          <w:sz w:val="18"/>
          <w:szCs w:val="18"/>
        </w:rPr>
        <w:t>权益</w:t>
      </w:r>
      <w:r>
        <w:rPr>
          <w:rFonts w:ascii="黑体" w:hAnsi="黑体" w:eastAsia="黑体" w:cs="宋体"/>
          <w:sz w:val="18"/>
          <w:szCs w:val="18"/>
        </w:rPr>
        <w:t>的前提下，</w:t>
      </w:r>
      <w:r>
        <w:rPr>
          <w:rFonts w:hint="eastAsia" w:ascii="黑体" w:hAnsi="黑体" w:eastAsia="黑体" w:cs="宋体"/>
          <w:sz w:val="18"/>
          <w:szCs w:val="18"/>
        </w:rPr>
        <w:t>产品管理人</w:t>
      </w:r>
      <w:r>
        <w:rPr>
          <w:rFonts w:ascii="黑体" w:hAnsi="黑体" w:eastAsia="黑体" w:cs="宋体"/>
          <w:sz w:val="18"/>
          <w:szCs w:val="18"/>
        </w:rPr>
        <w:t>有权对</w:t>
      </w:r>
      <w:r>
        <w:rPr>
          <w:rFonts w:hint="eastAsia" w:ascii="黑体" w:hAnsi="黑体" w:eastAsia="黑体" w:cs="宋体"/>
          <w:sz w:val="18"/>
          <w:szCs w:val="18"/>
        </w:rPr>
        <w:t>理财产品销售文件</w:t>
      </w:r>
      <w:r>
        <w:rPr>
          <w:rFonts w:ascii="黑体" w:hAnsi="黑体" w:eastAsia="黑体" w:cs="宋体"/>
          <w:sz w:val="18"/>
          <w:szCs w:val="18"/>
        </w:rPr>
        <w:t>进行修订，并提前2个工作日进行</w:t>
      </w:r>
      <w:r>
        <w:rPr>
          <w:rFonts w:hint="eastAsia" w:ascii="黑体" w:hAnsi="黑体" w:eastAsia="黑体" w:cs="宋体"/>
          <w:sz w:val="18"/>
          <w:szCs w:val="18"/>
        </w:rPr>
        <w:t>公告</w:t>
      </w:r>
      <w:r>
        <w:rPr>
          <w:rFonts w:ascii="黑体" w:hAnsi="黑体" w:eastAsia="黑体" w:cs="宋体"/>
          <w:sz w:val="18"/>
          <w:szCs w:val="18"/>
        </w:rPr>
        <w:t>。</w:t>
      </w:r>
    </w:p>
    <w:p w14:paraId="4F4F8410">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5）其他临时性公告</w:t>
      </w:r>
    </w:p>
    <w:p w14:paraId="4B5363CD">
      <w:pPr>
        <w:spacing w:line="360" w:lineRule="auto"/>
        <w:ind w:firstLine="360" w:firstLineChars="200"/>
        <w:rPr>
          <w:rFonts w:ascii="宋体" w:hAnsi="宋体" w:cs="宋体"/>
          <w:bCs/>
          <w:sz w:val="18"/>
          <w:szCs w:val="18"/>
        </w:rPr>
      </w:pPr>
      <w:r>
        <w:rPr>
          <w:rFonts w:hint="eastAsia" w:ascii="宋体" w:hAnsi="宋体" w:cs="宋体"/>
          <w:bCs/>
          <w:sz w:val="18"/>
          <w:szCs w:val="18"/>
        </w:rPr>
        <w:t>除前述事项外，如出现其他突发事件，需在事件发生后及时进行披露。</w:t>
      </w:r>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14:paraId="07B0DC8E">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w:t>
      </w:r>
      <w:r>
        <w:rPr>
          <w:rFonts w:ascii="黑体" w:hAnsi="黑体" w:eastAsia="黑体" w:cs="宋体"/>
          <w:sz w:val="18"/>
          <w:szCs w:val="18"/>
        </w:rPr>
        <w:t>并提前2个工作日进行</w:t>
      </w:r>
      <w:r>
        <w:rPr>
          <w:rFonts w:hint="eastAsia" w:ascii="黑体" w:hAnsi="黑体" w:eastAsia="黑体" w:cs="宋体"/>
          <w:sz w:val="18"/>
          <w:szCs w:val="18"/>
        </w:rPr>
        <w:t>公告。若投资者未选择退出本产品的，则视为已理解并接受管理人的相应变更。</w:t>
      </w:r>
    </w:p>
    <w:p w14:paraId="0BC014E1">
      <w:pPr>
        <w:spacing w:line="360" w:lineRule="auto"/>
        <w:rPr>
          <w:rFonts w:ascii="Calibri" w:hAnsi="Calibri" w:cs="宋体"/>
          <w:bCs/>
          <w:sz w:val="24"/>
          <w:szCs w:val="22"/>
        </w:rPr>
      </w:pPr>
    </w:p>
    <w:p w14:paraId="5BFF6CF5">
      <w:pPr>
        <w:keepNext/>
        <w:keepLines/>
        <w:widowControl w:val="0"/>
        <w:spacing w:before="0" w:after="0" w:line="360" w:lineRule="auto"/>
        <w:jc w:val="center"/>
        <w:outlineLvl w:val="0"/>
        <w:rPr>
          <w:rFonts w:ascii="Times New Roman" w:hAnsi="Calibri" w:eastAsia="宋体" w:cs="宋体"/>
          <w:b w:val="0"/>
          <w:bCs/>
          <w:kern w:val="44"/>
          <w:sz w:val="30"/>
          <w:szCs w:val="44"/>
          <w:lang w:val="en-US" w:eastAsia="zh-CN" w:bidi="ar-SA"/>
        </w:rPr>
      </w:pPr>
      <w:bookmarkStart w:id="279" w:name="_Toc79154675"/>
      <w:bookmarkStart w:id="280" w:name="_Toc8020"/>
      <w:bookmarkStart w:id="281" w:name="_Toc184"/>
      <w:bookmarkStart w:id="282" w:name="_Toc30149"/>
      <w:bookmarkStart w:id="283" w:name="_Toc92377141"/>
      <w:r>
        <w:rPr>
          <w:rFonts w:hint="eastAsia" w:ascii="Times New Roman" w:hAnsi="Calibri" w:eastAsia="宋体" w:cs="宋体"/>
          <w:b/>
          <w:bCs/>
          <w:kern w:val="44"/>
          <w:sz w:val="30"/>
          <w:szCs w:val="44"/>
          <w:lang w:val="en-US" w:eastAsia="zh-CN" w:bidi="ar-SA"/>
        </w:rPr>
        <w:t>第十二条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w:t>
      </w:r>
      <w:r>
        <w:rPr>
          <w:rFonts w:ascii="Times New Roman" w:hAnsi="Calibri" w:eastAsia="宋体" w:cs="宋体"/>
          <w:b/>
          <w:bCs/>
          <w:kern w:val="44"/>
          <w:sz w:val="30"/>
          <w:szCs w:val="44"/>
          <w:lang w:val="en-US" w:eastAsia="zh-CN" w:bidi="ar-SA"/>
        </w:rPr>
        <w:t>的风险揭示</w:t>
      </w:r>
      <w:bookmarkEnd w:id="279"/>
      <w:bookmarkEnd w:id="280"/>
      <w:bookmarkEnd w:id="281"/>
      <w:bookmarkEnd w:id="282"/>
      <w:bookmarkEnd w:id="283"/>
    </w:p>
    <w:p w14:paraId="6677116B">
      <w:pPr>
        <w:spacing w:line="360" w:lineRule="auto"/>
        <w:ind w:firstLine="361" w:firstLineChars="200"/>
        <w:rPr>
          <w:rFonts w:ascii="宋体" w:hAnsi="宋体" w:cs="宋体"/>
          <w:b/>
          <w:sz w:val="18"/>
          <w:szCs w:val="18"/>
        </w:rPr>
      </w:pPr>
      <w:r>
        <w:rPr>
          <w:rFonts w:hint="eastAsia" w:ascii="宋体" w:hAnsi="宋体" w:cs="宋体"/>
          <w:b/>
          <w:sz w:val="18"/>
          <w:szCs w:val="18"/>
        </w:rPr>
        <w:t>（一）投资者投资本产品可能面临的特定风险主要包括（但不限于）：</w:t>
      </w:r>
    </w:p>
    <w:p w14:paraId="3685D08C">
      <w:pPr>
        <w:spacing w:line="360" w:lineRule="auto"/>
        <w:ind w:firstLine="360" w:firstLineChars="200"/>
        <w:rPr>
          <w:rFonts w:ascii="宋体" w:hAnsi="宋体" w:cs="宋体"/>
          <w:sz w:val="18"/>
          <w:szCs w:val="18"/>
        </w:rPr>
      </w:pPr>
      <w:r>
        <w:rPr>
          <w:rFonts w:hint="eastAsia" w:ascii="宋体" w:hAnsi="宋体" w:cs="宋体"/>
          <w:sz w:val="18"/>
          <w:szCs w:val="18"/>
        </w:rPr>
        <w:t>【1.拟投资市场和资产的风险：</w:t>
      </w:r>
    </w:p>
    <w:p w14:paraId="10701243">
      <w:pPr>
        <w:spacing w:line="360" w:lineRule="auto"/>
        <w:ind w:firstLine="360" w:firstLineChars="200"/>
        <w:rPr>
          <w:rFonts w:ascii="宋体" w:hAnsi="宋体" w:cs="宋体"/>
          <w:sz w:val="18"/>
          <w:szCs w:val="18"/>
        </w:rPr>
      </w:pPr>
      <w:r>
        <w:rPr>
          <w:rFonts w:hint="eastAsia" w:ascii="宋体" w:hAnsi="宋体" w:cs="宋体"/>
          <w:sz w:val="18"/>
          <w:szCs w:val="18"/>
        </w:rPr>
        <w:t>（1）投资债权类资产的风险</w:t>
      </w:r>
    </w:p>
    <w:p w14:paraId="09A28E1E">
      <w:pPr>
        <w:spacing w:line="360" w:lineRule="auto"/>
        <w:ind w:firstLine="360" w:firstLineChars="200"/>
        <w:rPr>
          <w:rFonts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投资标准化债权类资产的风险</w:t>
      </w:r>
    </w:p>
    <w:p w14:paraId="68D33E18">
      <w:pPr>
        <w:spacing w:line="360" w:lineRule="auto"/>
        <w:ind w:firstLine="360" w:firstLineChars="200"/>
        <w:rPr>
          <w:rFonts w:ascii="宋体" w:hAnsi="宋体" w:cs="宋体"/>
          <w:sz w:val="18"/>
          <w:szCs w:val="18"/>
        </w:rPr>
      </w:pPr>
      <w:r>
        <w:rPr>
          <w:rFonts w:hint="eastAsia" w:ascii="宋体" w:hAnsi="宋体" w:cs="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14:paraId="56418491">
      <w:pPr>
        <w:spacing w:line="360" w:lineRule="auto"/>
        <w:ind w:firstLine="360" w:firstLineChars="200"/>
        <w:rPr>
          <w:rFonts w:ascii="宋体" w:hAnsi="宋体" w:cs="宋体"/>
          <w:sz w:val="18"/>
          <w:szCs w:val="18"/>
        </w:rPr>
      </w:pPr>
      <w:r>
        <w:rPr>
          <w:rFonts w:hint="eastAsia" w:ascii="宋体" w:hAnsi="宋体" w:cs="宋体"/>
          <w:sz w:val="18"/>
          <w:szCs w:val="18"/>
        </w:rPr>
        <w:t xml:space="preserve">（2）投资商品和金融衍生品类资产的风险 </w:t>
      </w:r>
    </w:p>
    <w:p w14:paraId="29E4A784">
      <w:pPr>
        <w:spacing w:line="360" w:lineRule="auto"/>
        <w:ind w:firstLine="360" w:firstLineChars="200"/>
        <w:rPr>
          <w:rFonts w:ascii="宋体" w:hAnsi="宋体" w:cs="宋体"/>
          <w:sz w:val="18"/>
          <w:szCs w:val="18"/>
        </w:rPr>
      </w:pPr>
      <w:r>
        <w:rPr>
          <w:rFonts w:hint="eastAsia" w:ascii="宋体" w:hAnsi="宋体" w:cs="宋体"/>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14:paraId="59E7B945">
      <w:pPr>
        <w:widowControl w:val="0"/>
        <w:spacing w:line="360" w:lineRule="auto"/>
        <w:ind w:firstLine="361" w:firstLineChars="200"/>
        <w:jc w:val="both"/>
        <w:rPr>
          <w:rFonts w:ascii="宋体" w:hAnsi="宋体" w:eastAsia="宋体" w:cs="宋体"/>
          <w:kern w:val="2"/>
          <w:sz w:val="18"/>
          <w:szCs w:val="18"/>
          <w:lang w:val="en-US" w:eastAsia="zh-CN" w:bidi="ar-SA"/>
        </w:rPr>
      </w:pPr>
      <w:r>
        <w:rPr>
          <w:rFonts w:hint="eastAsia" w:ascii="黑体" w:hAnsi="黑体" w:eastAsia="黑体" w:cs="仿宋_GB2312"/>
          <w:b/>
          <w:kern w:val="0"/>
          <w:sz w:val="18"/>
          <w:szCs w:val="18"/>
          <w:lang w:val="en-US" w:eastAsia="zh-CN" w:bidi="ar-SA"/>
        </w:rPr>
        <w:t>★</w:t>
      </w:r>
      <w:r>
        <w:rPr>
          <w:rFonts w:hint="eastAsia" w:ascii="黑体" w:hAnsi="黑体" w:eastAsia="黑体" w:cs="宋体"/>
          <w:kern w:val="2"/>
          <w:sz w:val="18"/>
          <w:szCs w:val="18"/>
          <w:lang w:val="en-US" w:eastAsia="zh-CN" w:bidi="ar-SA"/>
        </w:rPr>
        <w:t>注：以上特定风险仅为列举性质，未能详尽列明投资本产品可能面临的全部风险和可能导致投资者投资本金及收益损失的所有因素。</w:t>
      </w:r>
    </w:p>
    <w:p w14:paraId="091AF562">
      <w:pPr>
        <w:spacing w:line="360" w:lineRule="auto"/>
        <w:ind w:firstLine="361" w:firstLineChars="200"/>
        <w:rPr>
          <w:rFonts w:ascii="宋体" w:hAnsi="宋体" w:cs="宋体"/>
          <w:b/>
          <w:sz w:val="18"/>
          <w:szCs w:val="18"/>
        </w:rPr>
      </w:pPr>
      <w:r>
        <w:rPr>
          <w:rFonts w:hint="eastAsia" w:ascii="宋体" w:hAnsi="宋体" w:cs="宋体"/>
          <w:b/>
          <w:sz w:val="18"/>
          <w:szCs w:val="18"/>
        </w:rPr>
        <w:t xml:space="preserve">（二）投资者投资本产品可能面临的一般风险主要包括（但不限于）： </w:t>
      </w:r>
    </w:p>
    <w:p w14:paraId="194CECC7">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w:t>
      </w:r>
      <w:r>
        <w:rPr>
          <w:rFonts w:ascii="宋体" w:hAnsi="宋体" w:cs="宋体"/>
          <w:sz w:val="18"/>
          <w:szCs w:val="18"/>
        </w:rPr>
        <w:t>信用风险</w:t>
      </w:r>
    </w:p>
    <w:p w14:paraId="7EE97A62">
      <w:pPr>
        <w:spacing w:line="360" w:lineRule="auto"/>
        <w:ind w:firstLine="360" w:firstLineChars="200"/>
        <w:rPr>
          <w:rFonts w:ascii="宋体" w:hAnsi="宋体" w:cs="宋体"/>
          <w:sz w:val="18"/>
          <w:szCs w:val="18"/>
        </w:rPr>
      </w:pPr>
      <w:r>
        <w:rPr>
          <w:rFonts w:hint="eastAsia" w:ascii="宋体" w:hAnsi="宋体" w:cs="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14:paraId="2340AD38">
      <w:pPr>
        <w:spacing w:line="360" w:lineRule="auto"/>
        <w:ind w:firstLine="360" w:firstLineChars="200"/>
        <w:rPr>
          <w:rFonts w:ascii="宋体" w:hAnsi="宋体" w:cs="宋体"/>
          <w:sz w:val="18"/>
          <w:szCs w:val="18"/>
        </w:rPr>
      </w:pPr>
      <w:r>
        <w:rPr>
          <w:rFonts w:ascii="宋体" w:hAnsi="宋体" w:cs="宋体"/>
          <w:sz w:val="18"/>
          <w:szCs w:val="18"/>
        </w:rPr>
        <w:t>2</w:t>
      </w:r>
      <w:r>
        <w:rPr>
          <w:rFonts w:hint="eastAsia" w:ascii="宋体" w:hAnsi="宋体" w:cs="宋体"/>
          <w:sz w:val="18"/>
          <w:szCs w:val="18"/>
        </w:rPr>
        <w:t>.</w:t>
      </w:r>
      <w:r>
        <w:rPr>
          <w:rFonts w:ascii="宋体" w:hAnsi="宋体" w:cs="宋体"/>
          <w:sz w:val="18"/>
          <w:szCs w:val="18"/>
        </w:rPr>
        <w:t>利率风险</w:t>
      </w:r>
    </w:p>
    <w:p w14:paraId="63D1CD3A">
      <w:pPr>
        <w:spacing w:line="360" w:lineRule="auto"/>
        <w:ind w:firstLine="360" w:firstLineChars="200"/>
        <w:rPr>
          <w:rFonts w:ascii="宋体" w:hAnsi="宋体" w:cs="宋体"/>
          <w:sz w:val="18"/>
          <w:szCs w:val="18"/>
        </w:rPr>
      </w:pPr>
      <w:r>
        <w:rPr>
          <w:rFonts w:hint="eastAsia" w:ascii="宋体" w:hAnsi="宋体" w:cs="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14:paraId="13AB59C8">
      <w:pPr>
        <w:spacing w:line="360" w:lineRule="auto"/>
        <w:ind w:firstLine="360" w:firstLineChars="200"/>
        <w:rPr>
          <w:rFonts w:ascii="宋体" w:hAnsi="宋体" w:cs="宋体"/>
          <w:sz w:val="18"/>
          <w:szCs w:val="18"/>
        </w:rPr>
      </w:pPr>
      <w:r>
        <w:rPr>
          <w:rFonts w:hint="eastAsia" w:ascii="宋体" w:hAnsi="宋体" w:cs="宋体"/>
          <w:sz w:val="18"/>
          <w:szCs w:val="18"/>
        </w:rPr>
        <w:t>3.市场</w:t>
      </w:r>
      <w:r>
        <w:rPr>
          <w:rFonts w:ascii="宋体" w:hAnsi="宋体" w:cs="宋体"/>
          <w:sz w:val="18"/>
          <w:szCs w:val="18"/>
        </w:rPr>
        <w:t>风险</w:t>
      </w:r>
    </w:p>
    <w:p w14:paraId="5B6FC83B">
      <w:pPr>
        <w:spacing w:line="360" w:lineRule="auto"/>
        <w:ind w:firstLine="360" w:firstLineChars="200"/>
        <w:rPr>
          <w:rFonts w:ascii="宋体" w:hAnsi="宋体" w:cs="宋体"/>
          <w:sz w:val="18"/>
          <w:szCs w:val="18"/>
        </w:rPr>
      </w:pPr>
      <w:r>
        <w:rPr>
          <w:rFonts w:hint="eastAsia" w:ascii="宋体" w:hAnsi="宋体" w:cs="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14:paraId="22D6144C">
      <w:pPr>
        <w:spacing w:line="360" w:lineRule="auto"/>
        <w:ind w:firstLine="360" w:firstLineChars="200"/>
        <w:rPr>
          <w:rFonts w:ascii="宋体" w:hAnsi="宋体" w:cs="宋体"/>
          <w:sz w:val="18"/>
          <w:szCs w:val="18"/>
        </w:rPr>
      </w:pPr>
      <w:r>
        <w:rPr>
          <w:rFonts w:hint="eastAsia" w:ascii="宋体" w:hAnsi="宋体" w:cs="宋体"/>
          <w:sz w:val="18"/>
          <w:szCs w:val="18"/>
        </w:rPr>
        <w:t>4.流动性风险</w:t>
      </w:r>
    </w:p>
    <w:p w14:paraId="23463DAB">
      <w:pPr>
        <w:spacing w:line="360" w:lineRule="auto"/>
        <w:ind w:firstLine="360" w:firstLineChars="200"/>
        <w:rPr>
          <w:rFonts w:ascii="宋体" w:hAnsi="宋体" w:cs="宋体"/>
          <w:sz w:val="18"/>
          <w:szCs w:val="18"/>
        </w:rPr>
      </w:pPr>
      <w:r>
        <w:rPr>
          <w:rFonts w:hint="eastAsia" w:ascii="宋体" w:hAnsi="宋体" w:cs="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14:paraId="1F40DD06">
      <w:pPr>
        <w:spacing w:line="360" w:lineRule="auto"/>
        <w:ind w:firstLine="360" w:firstLineChars="200"/>
        <w:rPr>
          <w:rFonts w:ascii="宋体" w:hAnsi="宋体" w:cs="宋体"/>
          <w:sz w:val="18"/>
          <w:szCs w:val="18"/>
        </w:rPr>
      </w:pPr>
      <w:r>
        <w:rPr>
          <w:rFonts w:hint="eastAsia" w:ascii="宋体" w:hAnsi="宋体" w:cs="宋体"/>
          <w:sz w:val="18"/>
          <w:szCs w:val="18"/>
        </w:rPr>
        <w:t>5.</w:t>
      </w:r>
      <w:r>
        <w:rPr>
          <w:rFonts w:ascii="宋体" w:hAnsi="宋体" w:cs="宋体"/>
          <w:sz w:val="18"/>
          <w:szCs w:val="18"/>
        </w:rPr>
        <w:t>法律与政策风险</w:t>
      </w:r>
    </w:p>
    <w:p w14:paraId="31387AE4">
      <w:pPr>
        <w:spacing w:line="360" w:lineRule="auto"/>
        <w:ind w:firstLine="360" w:firstLineChars="200"/>
        <w:rPr>
          <w:rFonts w:ascii="宋体" w:hAnsi="宋体" w:cs="宋体"/>
          <w:sz w:val="18"/>
          <w:szCs w:val="18"/>
        </w:rPr>
      </w:pPr>
      <w:r>
        <w:rPr>
          <w:rFonts w:hint="eastAsia" w:ascii="宋体" w:hAnsi="宋体" w:cs="宋体"/>
          <w:sz w:val="18"/>
          <w:szCs w:val="18"/>
        </w:rPr>
        <w:t>国家监管政策、货币政策、财政税收政策、产业政策、宏观政策及相关法律、法规的调整与变化将会影响本产品的设立、投资及管理等的正常运行，甚至导致本产品发生损失。</w:t>
      </w:r>
    </w:p>
    <w:p w14:paraId="4DF0DFCF">
      <w:pPr>
        <w:spacing w:line="360" w:lineRule="auto"/>
        <w:ind w:firstLine="360" w:firstLineChars="200"/>
        <w:rPr>
          <w:rFonts w:ascii="宋体" w:hAnsi="宋体" w:cs="宋体"/>
          <w:sz w:val="18"/>
          <w:szCs w:val="18"/>
        </w:rPr>
      </w:pPr>
      <w:r>
        <w:rPr>
          <w:rFonts w:hint="eastAsia" w:ascii="宋体" w:hAnsi="宋体" w:cs="宋体"/>
          <w:sz w:val="18"/>
          <w:szCs w:val="18"/>
        </w:rPr>
        <w:t>6.</w:t>
      </w:r>
      <w:r>
        <w:rPr>
          <w:rFonts w:ascii="宋体" w:hAnsi="宋体" w:cs="宋体"/>
          <w:sz w:val="18"/>
          <w:szCs w:val="18"/>
        </w:rPr>
        <w:t>延期终止风险</w:t>
      </w:r>
    </w:p>
    <w:p w14:paraId="09E2F391">
      <w:pPr>
        <w:spacing w:line="360" w:lineRule="auto"/>
        <w:ind w:firstLine="360" w:firstLineChars="200"/>
        <w:rPr>
          <w:rFonts w:ascii="宋体" w:hAnsi="宋体" w:cs="宋体"/>
          <w:sz w:val="18"/>
          <w:szCs w:val="18"/>
        </w:rPr>
      </w:pPr>
      <w:r>
        <w:rPr>
          <w:rFonts w:hint="eastAsia" w:ascii="宋体" w:hAnsi="宋体" w:cs="宋体"/>
          <w:sz w:val="18"/>
          <w:szCs w:val="18"/>
        </w:rPr>
        <w:t>指因市场内部和外部的原因导致理财基础资产不能及时变现而造成理财产品不能按时分配，理财期限将相应延长，从而导致本产品部分资金的延期分配。</w:t>
      </w:r>
    </w:p>
    <w:p w14:paraId="2FD26EC2">
      <w:pPr>
        <w:spacing w:line="360" w:lineRule="auto"/>
        <w:ind w:firstLine="360" w:firstLineChars="200"/>
        <w:rPr>
          <w:rFonts w:ascii="宋体" w:hAnsi="宋体" w:cs="宋体"/>
          <w:sz w:val="18"/>
          <w:szCs w:val="18"/>
        </w:rPr>
      </w:pPr>
      <w:r>
        <w:rPr>
          <w:rFonts w:hint="eastAsia" w:ascii="宋体" w:hAnsi="宋体" w:cs="宋体"/>
          <w:sz w:val="18"/>
          <w:szCs w:val="18"/>
        </w:rPr>
        <w:t>7.</w:t>
      </w:r>
      <w:r>
        <w:rPr>
          <w:rFonts w:ascii="宋体" w:hAnsi="宋体" w:cs="宋体"/>
          <w:sz w:val="18"/>
          <w:szCs w:val="18"/>
        </w:rPr>
        <w:t>提前终止风险</w:t>
      </w:r>
    </w:p>
    <w:p w14:paraId="23A8F8B6">
      <w:pPr>
        <w:spacing w:line="360" w:lineRule="auto"/>
        <w:ind w:firstLine="360" w:firstLineChars="200"/>
        <w:rPr>
          <w:rFonts w:ascii="宋体" w:hAnsi="宋体" w:cs="宋体"/>
          <w:sz w:val="18"/>
          <w:szCs w:val="18"/>
        </w:rPr>
      </w:pPr>
      <w:r>
        <w:rPr>
          <w:rFonts w:hint="eastAsia" w:ascii="宋体" w:hAnsi="宋体" w:cs="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14:paraId="22BE8552">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8</w:t>
      </w:r>
      <w:r>
        <w:rPr>
          <w:rFonts w:ascii="黑体" w:hAnsi="黑体" w:eastAsia="黑体" w:cs="宋体"/>
          <w:sz w:val="18"/>
          <w:szCs w:val="18"/>
        </w:rPr>
        <w:t>.★信息传递风险</w:t>
      </w:r>
    </w:p>
    <w:p w14:paraId="12E43F50">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投资者需要通过约定的信息披露渠道了解产品相关信息公告。具体公告方式以理财产品</w:t>
      </w:r>
      <w:r>
        <w:rPr>
          <w:rFonts w:ascii="黑体" w:hAnsi="黑体" w:eastAsia="黑体" w:cs="宋体"/>
          <w:sz w:val="18"/>
          <w:szCs w:val="18"/>
        </w:rPr>
        <w:t>销售文件</w:t>
      </w:r>
      <w:r>
        <w:rPr>
          <w:rFonts w:hint="eastAsia" w:ascii="黑体" w:hAnsi="黑体" w:eastAsia="黑体" w:cs="宋体"/>
          <w:sz w:val="18"/>
          <w:szCs w:val="18"/>
        </w:rPr>
        <w:t>所载明的公告方式为准。投资者应根据本产品说明书所载明的公告方式及时查询本理财产品的相关信息。</w:t>
      </w:r>
      <w:r>
        <w:rPr>
          <w:rFonts w:ascii="黑体" w:hAnsi="黑体" w:eastAsia="黑体" w:cs="宋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cs="宋体"/>
          <w:sz w:val="18"/>
          <w:szCs w:val="18"/>
        </w:rPr>
        <w:t>产品管理人</w:t>
      </w:r>
      <w:r>
        <w:rPr>
          <w:rFonts w:ascii="黑体" w:hAnsi="黑体" w:eastAsia="黑体" w:cs="宋体"/>
          <w:sz w:val="18"/>
          <w:szCs w:val="18"/>
        </w:rPr>
        <w:t>的，致使在需要联系投资者时无法及时联系并可能会由此影响投资者的投资决策，由此而产生的责任和风险由投资者自行承担。</w:t>
      </w:r>
    </w:p>
    <w:p w14:paraId="0C53478A">
      <w:pPr>
        <w:spacing w:line="360" w:lineRule="auto"/>
        <w:ind w:firstLine="360" w:firstLineChars="200"/>
        <w:rPr>
          <w:rFonts w:ascii="宋体" w:hAnsi="宋体" w:cs="宋体"/>
          <w:sz w:val="18"/>
          <w:szCs w:val="18"/>
        </w:rPr>
      </w:pPr>
      <w:r>
        <w:rPr>
          <w:rFonts w:hint="eastAsia" w:ascii="宋体" w:hAnsi="宋体" w:cs="宋体"/>
          <w:sz w:val="18"/>
          <w:szCs w:val="18"/>
        </w:rPr>
        <w:t>9.</w:t>
      </w:r>
      <w:r>
        <w:rPr>
          <w:rFonts w:ascii="宋体" w:hAnsi="宋体" w:cs="宋体"/>
          <w:sz w:val="18"/>
          <w:szCs w:val="18"/>
        </w:rPr>
        <w:t>不可抗力及意外事件风险</w:t>
      </w:r>
    </w:p>
    <w:p w14:paraId="4E89E0C3">
      <w:pPr>
        <w:spacing w:line="360" w:lineRule="auto"/>
        <w:ind w:firstLine="360" w:firstLineChars="200"/>
        <w:rPr>
          <w:rFonts w:ascii="宋体" w:hAnsi="宋体" w:cs="宋体"/>
          <w:sz w:val="18"/>
          <w:szCs w:val="18"/>
        </w:rPr>
      </w:pPr>
      <w:r>
        <w:rPr>
          <w:rFonts w:hint="eastAsia" w:ascii="宋体" w:hAnsi="宋体" w:cs="宋体"/>
          <w:sz w:val="18"/>
          <w:szCs w:val="18"/>
        </w:rPr>
        <w:t>因战争、自然灾害、重大政治事件等不可抗力以及其他不可预见的意外事件可能致使理财产品面临损失的风险。</w:t>
      </w:r>
    </w:p>
    <w:p w14:paraId="5C479EC9">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0.</w:t>
      </w:r>
      <w:r>
        <w:rPr>
          <w:rFonts w:ascii="宋体" w:hAnsi="宋体" w:cs="宋体"/>
          <w:sz w:val="18"/>
          <w:szCs w:val="18"/>
        </w:rPr>
        <w:t>管理人风险</w:t>
      </w:r>
    </w:p>
    <w:p w14:paraId="659D3737">
      <w:pPr>
        <w:spacing w:line="360" w:lineRule="auto"/>
        <w:ind w:firstLine="360" w:firstLineChars="200"/>
        <w:rPr>
          <w:rFonts w:ascii="宋体" w:hAnsi="宋体" w:cs="宋体"/>
          <w:bCs/>
          <w:sz w:val="18"/>
          <w:szCs w:val="18"/>
        </w:rPr>
      </w:pPr>
      <w:r>
        <w:rPr>
          <w:rFonts w:hint="eastAsia" w:ascii="宋体" w:hAnsi="宋体" w:cs="宋体"/>
          <w:sz w:val="18"/>
          <w:szCs w:val="18"/>
        </w:rPr>
        <w:t>理财产品管理人或理财投资资产相关服务机构受经验、技能等因素的限制，或者上述主体处理事务不当等，可能导致投资者遭受损失。</w:t>
      </w:r>
    </w:p>
    <w:p w14:paraId="1BB60A07">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1.理财产品不成立风险</w:t>
      </w:r>
    </w:p>
    <w:p w14:paraId="18A43C80">
      <w:pPr>
        <w:spacing w:line="360" w:lineRule="auto"/>
        <w:ind w:firstLine="360" w:firstLineChars="200"/>
        <w:rPr>
          <w:rFonts w:ascii="宋体" w:hAnsi="宋体" w:cs="宋体"/>
          <w:sz w:val="18"/>
          <w:szCs w:val="18"/>
        </w:rPr>
      </w:pPr>
      <w:r>
        <w:rPr>
          <w:rFonts w:hint="eastAsia" w:ascii="宋体" w:hAnsi="宋体" w:cs="宋体"/>
          <w:sz w:val="18"/>
          <w:szCs w:val="18"/>
        </w:rPr>
        <w:t>如自本产品开始募集至认购期结束认购总金额未达到产品最小成立规模（如有约定），或</w:t>
      </w:r>
      <w:r>
        <w:rPr>
          <w:rFonts w:ascii="宋体" w:hAnsi="宋体" w:cs="宋体"/>
          <w:sz w:val="18"/>
          <w:szCs w:val="18"/>
        </w:rPr>
        <w:t>融资人取消</w:t>
      </w:r>
      <w:r>
        <w:rPr>
          <w:rFonts w:hint="eastAsia" w:ascii="宋体" w:hAnsi="宋体" w:cs="宋体"/>
          <w:sz w:val="18"/>
          <w:szCs w:val="18"/>
        </w:rPr>
        <w:t>融资</w:t>
      </w:r>
      <w:r>
        <w:rPr>
          <w:rFonts w:ascii="宋体" w:hAnsi="宋体" w:cs="宋体"/>
          <w:sz w:val="18"/>
          <w:szCs w:val="18"/>
        </w:rPr>
        <w:t>计划，</w:t>
      </w:r>
      <w:r>
        <w:rPr>
          <w:rFonts w:hint="eastAsia" w:ascii="宋体" w:hAnsi="宋体" w:cs="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cs="宋体"/>
          <w:sz w:val="18"/>
          <w:szCs w:val="18"/>
        </w:rPr>
        <w:t>及时返还投资者资金</w:t>
      </w:r>
      <w:r>
        <w:rPr>
          <w:rFonts w:hint="eastAsia" w:ascii="宋体" w:hAnsi="宋体" w:cs="宋体"/>
          <w:sz w:val="18"/>
          <w:szCs w:val="18"/>
        </w:rPr>
        <w:t>，投资者将承担投资本产品不成立的风险。</w:t>
      </w:r>
    </w:p>
    <w:p w14:paraId="7C3D611F">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2.</w:t>
      </w:r>
      <w:r>
        <w:rPr>
          <w:rFonts w:ascii="宋体" w:hAnsi="宋体" w:cs="宋体"/>
          <w:sz w:val="18"/>
          <w:szCs w:val="18"/>
        </w:rPr>
        <w:t>操作风险</w:t>
      </w:r>
    </w:p>
    <w:p w14:paraId="4FD80B7E">
      <w:pPr>
        <w:spacing w:line="360" w:lineRule="auto"/>
        <w:ind w:firstLine="360" w:firstLineChars="200"/>
        <w:rPr>
          <w:rFonts w:ascii="宋体" w:hAnsi="宋体" w:cs="宋体"/>
          <w:sz w:val="18"/>
          <w:szCs w:val="18"/>
        </w:rPr>
      </w:pPr>
      <w:r>
        <w:rPr>
          <w:rFonts w:hint="eastAsia" w:ascii="宋体" w:hAnsi="宋体" w:cs="宋体"/>
          <w:sz w:val="18"/>
          <w:szCs w:val="18"/>
        </w:rPr>
        <w:t>由于产品管理人的</w:t>
      </w:r>
      <w:r>
        <w:rPr>
          <w:rFonts w:ascii="宋体" w:hAnsi="宋体" w:cs="宋体"/>
          <w:sz w:val="18"/>
          <w:szCs w:val="18"/>
        </w:rPr>
        <w:t>不完善或有问题的内部程序、员工和信息科技系统，以及外部事件所造成损失的风险。</w:t>
      </w:r>
    </w:p>
    <w:p w14:paraId="68CC2AD3">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3</w:t>
      </w:r>
      <w:r>
        <w:rPr>
          <w:rFonts w:ascii="宋体" w:hAnsi="宋体" w:cs="宋体"/>
          <w:sz w:val="18"/>
          <w:szCs w:val="18"/>
        </w:rPr>
        <w:t>.估值</w:t>
      </w:r>
      <w:r>
        <w:rPr>
          <w:rFonts w:hint="eastAsia" w:ascii="宋体" w:hAnsi="宋体" w:cs="宋体"/>
          <w:sz w:val="18"/>
          <w:szCs w:val="18"/>
        </w:rPr>
        <w:t>波动</w:t>
      </w:r>
      <w:r>
        <w:rPr>
          <w:rFonts w:ascii="宋体" w:hAnsi="宋体" w:cs="宋体"/>
          <w:sz w:val="18"/>
          <w:szCs w:val="18"/>
        </w:rPr>
        <w:t>风险</w:t>
      </w:r>
    </w:p>
    <w:p w14:paraId="76314E94">
      <w:pPr>
        <w:spacing w:line="360" w:lineRule="auto"/>
        <w:ind w:firstLine="360" w:firstLineChars="200"/>
        <w:rPr>
          <w:rFonts w:ascii="宋体" w:hAnsi="宋体" w:cs="宋体"/>
          <w:sz w:val="18"/>
          <w:szCs w:val="18"/>
        </w:rPr>
      </w:pPr>
      <w:r>
        <w:rPr>
          <w:rFonts w:hint="eastAsia" w:ascii="宋体" w:hAnsi="宋体" w:cs="宋体"/>
          <w:sz w:val="18"/>
          <w:szCs w:val="18"/>
        </w:rPr>
        <w:t>本理财产品可能</w:t>
      </w:r>
      <w:r>
        <w:rPr>
          <w:rFonts w:ascii="宋体" w:hAnsi="宋体" w:cs="宋体"/>
          <w:sz w:val="18"/>
          <w:szCs w:val="18"/>
        </w:rPr>
        <w:t>投资符合监管</w:t>
      </w:r>
      <w:r>
        <w:rPr>
          <w:rFonts w:hint="eastAsia" w:ascii="宋体" w:hAnsi="宋体" w:cs="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cs="宋体"/>
          <w:sz w:val="18"/>
          <w:szCs w:val="18"/>
        </w:rPr>
        <w:t>业绩报酬，</w:t>
      </w:r>
      <w:r>
        <w:rPr>
          <w:rFonts w:hint="eastAsia" w:ascii="宋体" w:hAnsi="宋体" w:cs="宋体"/>
          <w:sz w:val="18"/>
          <w:szCs w:val="18"/>
        </w:rPr>
        <w:t>当前述资产管理产品计提业绩报酬时，本理财产品的产品份额净值存在下跌的风险。</w:t>
      </w:r>
    </w:p>
    <w:p w14:paraId="535D9207">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4.</w:t>
      </w:r>
      <w:r>
        <w:rPr>
          <w:rFonts w:ascii="宋体" w:hAnsi="宋体" w:cs="宋体"/>
          <w:sz w:val="18"/>
          <w:szCs w:val="18"/>
        </w:rPr>
        <w:t>估值差错风险</w:t>
      </w:r>
    </w:p>
    <w:p w14:paraId="17537F95">
      <w:pPr>
        <w:spacing w:line="360" w:lineRule="auto"/>
        <w:ind w:firstLine="360" w:firstLineChars="200"/>
        <w:rPr>
          <w:rFonts w:ascii="宋体" w:hAnsi="宋体" w:cs="宋体"/>
          <w:sz w:val="18"/>
          <w:szCs w:val="18"/>
        </w:rPr>
      </w:pPr>
      <w:r>
        <w:rPr>
          <w:rFonts w:hint="eastAsia" w:ascii="宋体" w:hAnsi="宋体" w:cs="宋体"/>
          <w:sz w:val="18"/>
          <w:szCs w:val="18"/>
        </w:rPr>
        <w:t>理财投资基础资产时涉及对资产估值不准确、及时的，理财产品管理人及产品托管人对理财产品费用计提出现错误，将导致本产品估值差错，可能影响理财产品份额净值。</w:t>
      </w:r>
    </w:p>
    <w:p w14:paraId="2230BFA6">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14:paraId="2AACA842">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14:paraId="0EE279E2">
      <w:pPr>
        <w:spacing w:line="360" w:lineRule="auto"/>
        <w:ind w:firstLine="360" w:firstLineChars="200"/>
        <w:rPr>
          <w:rFonts w:ascii="黑体" w:hAnsi="黑体" w:eastAsia="黑体" w:cs="宋体"/>
          <w:sz w:val="18"/>
          <w:szCs w:val="18"/>
        </w:rPr>
      </w:pPr>
      <w:r>
        <w:rPr>
          <w:rFonts w:ascii="黑体" w:hAnsi="黑体" w:eastAsia="黑体" w:cs="宋体"/>
          <w:sz w:val="18"/>
          <w:szCs w:val="18"/>
        </w:rPr>
        <w:t>1</w:t>
      </w:r>
      <w:r>
        <w:rPr>
          <w:rFonts w:hint="eastAsia" w:ascii="黑体" w:hAnsi="黑体" w:eastAsia="黑体" w:cs="宋体"/>
          <w:sz w:val="18"/>
          <w:szCs w:val="18"/>
        </w:rPr>
        <w:t>6</w:t>
      </w:r>
      <w:r>
        <w:rPr>
          <w:rFonts w:ascii="黑体" w:hAnsi="黑体" w:eastAsia="黑体" w:cs="宋体"/>
          <w:sz w:val="18"/>
          <w:szCs w:val="18"/>
        </w:rPr>
        <w:t>.</w:t>
      </w:r>
      <w:r>
        <w:rPr>
          <w:rFonts w:hint="eastAsia" w:ascii="黑体" w:hAnsi="黑体" w:eastAsia="黑体" w:cs="宋体"/>
          <w:sz w:val="18"/>
          <w:szCs w:val="18"/>
        </w:rPr>
        <w:t>★不同理财产品份额类别存在差异的风险</w:t>
      </w:r>
    </w:p>
    <w:p w14:paraId="5AAB7BFF">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理财产品管理人可根据投资者购买理财产品的金额、销售</w:t>
      </w:r>
      <w:r>
        <w:rPr>
          <w:rFonts w:ascii="黑体" w:hAnsi="黑体" w:eastAsia="黑体" w:cs="宋体"/>
          <w:sz w:val="18"/>
          <w:szCs w:val="18"/>
        </w:rPr>
        <w:t>渠道</w:t>
      </w:r>
      <w:r>
        <w:rPr>
          <w:rFonts w:hint="eastAsia" w:ascii="黑体" w:hAnsi="黑体" w:eastAsia="黑体" w:cs="宋体"/>
          <w:sz w:val="18"/>
          <w:szCs w:val="18"/>
        </w:rPr>
        <w:t>等因素，对理财投资者所持有的理财产品设置不同理财产品份额类别。不同类别的理财产品份额可能在销售名称、收费方式、销售服务费、销售代码、销售对象、销售起点金额（认购、申购的</w:t>
      </w:r>
      <w:r>
        <w:rPr>
          <w:rFonts w:ascii="黑体" w:hAnsi="黑体" w:eastAsia="黑体" w:cs="宋体"/>
          <w:sz w:val="18"/>
          <w:szCs w:val="18"/>
        </w:rPr>
        <w:t>起点金额</w:t>
      </w:r>
      <w:r>
        <w:rPr>
          <w:rFonts w:hint="eastAsia" w:ascii="黑体" w:hAnsi="黑体" w:eastAsia="黑体" w:cs="宋体"/>
          <w:sz w:val="18"/>
          <w:szCs w:val="18"/>
        </w:rPr>
        <w:t>）、投资者认购申购和赎回的数量限制、投资者持有本产品的最高限额最低限额、计算和公告产品份额净值方面存在差异。</w:t>
      </w:r>
    </w:p>
    <w:p w14:paraId="66AED98A">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7</w:t>
      </w:r>
      <w:r>
        <w:rPr>
          <w:rFonts w:ascii="宋体" w:hAnsi="宋体" w:cs="宋体"/>
          <w:sz w:val="18"/>
          <w:szCs w:val="18"/>
        </w:rPr>
        <w:t>.</w:t>
      </w:r>
      <w:r>
        <w:rPr>
          <w:rFonts w:hint="eastAsia" w:ascii="宋体" w:hAnsi="宋体" w:cs="宋体"/>
          <w:sz w:val="18"/>
          <w:szCs w:val="18"/>
        </w:rPr>
        <w:t>关联交易风险</w:t>
      </w:r>
    </w:p>
    <w:p w14:paraId="068363F9">
      <w:pPr>
        <w:spacing w:line="360" w:lineRule="auto"/>
        <w:ind w:firstLine="360" w:firstLineChars="200"/>
        <w:rPr>
          <w:rFonts w:ascii="宋体" w:hAnsi="宋体" w:cs="宋体"/>
          <w:sz w:val="18"/>
          <w:szCs w:val="18"/>
        </w:rPr>
      </w:pPr>
      <w:r>
        <w:rPr>
          <w:rFonts w:hint="eastAsia" w:ascii="宋体" w:hAnsi="宋体" w:cs="宋体"/>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cs="宋体"/>
          <w:sz w:val="18"/>
          <w:szCs w:val="18"/>
        </w:rPr>
        <w:t>关系</w:t>
      </w:r>
      <w:r>
        <w:rPr>
          <w:rFonts w:hint="eastAsia" w:ascii="宋体" w:hAnsi="宋体" w:cs="宋体"/>
          <w:sz w:val="18"/>
          <w:szCs w:val="18"/>
        </w:rPr>
        <w:t>仍可能产生</w:t>
      </w:r>
      <w:r>
        <w:rPr>
          <w:rFonts w:ascii="宋体" w:hAnsi="宋体" w:cs="宋体"/>
          <w:sz w:val="18"/>
          <w:szCs w:val="18"/>
        </w:rPr>
        <w:t>不利影响和投资</w:t>
      </w:r>
      <w:r>
        <w:rPr>
          <w:rFonts w:hint="eastAsia" w:ascii="宋体" w:hAnsi="宋体" w:cs="宋体"/>
          <w:sz w:val="18"/>
          <w:szCs w:val="18"/>
        </w:rPr>
        <w:t>风险，进而可能影响投资者的利益。</w:t>
      </w:r>
    </w:p>
    <w:p w14:paraId="05A0AD7F">
      <w:pPr>
        <w:spacing w:line="360" w:lineRule="auto"/>
        <w:ind w:firstLine="360" w:firstLineChars="200"/>
        <w:rPr>
          <w:rFonts w:ascii="Calibri" w:hAnsi="宋体" w:cs="宋体"/>
          <w:sz w:val="18"/>
          <w:szCs w:val="18"/>
        </w:rPr>
      </w:pPr>
      <w:r>
        <w:rPr>
          <w:rFonts w:hint="eastAsia" w:ascii="黑体" w:hAnsi="黑体" w:eastAsia="黑体" w:cs="宋体"/>
          <w:sz w:val="18"/>
          <w:szCs w:val="18"/>
        </w:rPr>
        <w:t>（</w:t>
      </w:r>
      <w:r>
        <w:rPr>
          <w:rFonts w:ascii="黑体" w:hAnsi="黑体" w:eastAsia="黑体" w:cs="宋体"/>
          <w:sz w:val="18"/>
          <w:szCs w:val="18"/>
        </w:rPr>
        <w:t>三</w:t>
      </w:r>
      <w:r>
        <w:rPr>
          <w:rFonts w:hint="eastAsia" w:ascii="黑体" w:hAnsi="黑体" w:eastAsia="黑体" w:cs="宋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cs="宋体"/>
          <w:sz w:val="18"/>
          <w:szCs w:val="18"/>
        </w:rPr>
        <w:t>，甚至投资者的投资本金将遭受损失，在最不利的极端情况下，投资者可能损失全部本金。</w:t>
      </w:r>
    </w:p>
    <w:p w14:paraId="6F0EBF82">
      <w:pPr>
        <w:rPr>
          <w:rFonts w:ascii="宋体" w:hAnsi="宋体" w:cs="宋体"/>
          <w:sz w:val="18"/>
          <w:szCs w:val="18"/>
        </w:rPr>
      </w:pPr>
      <w:r>
        <w:rPr>
          <w:rFonts w:ascii="宋体" w:hAnsi="宋体" w:cs="宋体"/>
          <w:sz w:val="18"/>
          <w:szCs w:val="18"/>
        </w:rPr>
        <w:br w:type="page"/>
      </w:r>
    </w:p>
    <w:tbl>
      <w:tblPr>
        <w:tblStyle w:val="8"/>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14:paraId="4A1A356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222" w:type="dxa"/>
            <w:gridSpan w:val="2"/>
          </w:tcPr>
          <w:p w14:paraId="4940214E">
            <w:pPr>
              <w:spacing w:line="280" w:lineRule="atLeast"/>
              <w:ind w:firstLine="422"/>
              <w:jc w:val="center"/>
              <w:rPr>
                <w:rFonts w:ascii="宋体" w:hAnsi="宋体" w:cs="Arial"/>
                <w:b/>
                <w:szCs w:val="21"/>
              </w:rPr>
            </w:pPr>
            <w:r>
              <w:rPr>
                <w:rFonts w:hint="eastAsia" w:ascii="宋体" w:hAnsi="宋体" w:cs="Arial"/>
                <w:b/>
                <w:szCs w:val="21"/>
              </w:rPr>
              <w:t>投资者确认栏</w:t>
            </w:r>
          </w:p>
          <w:p w14:paraId="35E98D6A">
            <w:pPr>
              <w:spacing w:line="360" w:lineRule="auto"/>
              <w:ind w:firstLine="361"/>
              <w:rPr>
                <w:rFonts w:ascii="Calibri" w:hAnsi="Calibri" w:cs="宋体"/>
                <w:b/>
                <w:sz w:val="18"/>
                <w:szCs w:val="18"/>
              </w:rPr>
            </w:pPr>
          </w:p>
        </w:tc>
      </w:tr>
      <w:tr w14:paraId="112CB13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14:paraId="1D04AC0F">
            <w:pPr>
              <w:spacing w:line="360" w:lineRule="auto"/>
              <w:jc w:val="left"/>
              <w:rPr>
                <w:rFonts w:ascii="Calibri" w:hAnsi="Calibri" w:cs="宋体"/>
                <w:b/>
                <w:sz w:val="18"/>
                <w:szCs w:val="18"/>
              </w:rPr>
            </w:pPr>
            <w:r>
              <w:rPr>
                <w:rFonts w:hint="eastAsia" w:ascii="Calibri" w:hAnsi="Calibri" w:cs="宋体"/>
                <w:b/>
                <w:sz w:val="18"/>
                <w:szCs w:val="18"/>
              </w:rPr>
              <w:t>个人投资者适用</w:t>
            </w:r>
          </w:p>
        </w:tc>
        <w:tc>
          <w:tcPr>
            <w:tcW w:w="7371" w:type="dxa"/>
          </w:tcPr>
          <w:p w14:paraId="2304F9B0">
            <w:pPr>
              <w:spacing w:line="360" w:lineRule="auto"/>
              <w:ind w:firstLine="360"/>
              <w:jc w:val="left"/>
              <w:rPr>
                <w:rFonts w:ascii="Calibri" w:hAnsi="Calibri" w:cs="宋体"/>
                <w:sz w:val="18"/>
                <w:szCs w:val="18"/>
              </w:rPr>
            </w:pPr>
            <w:r>
              <w:rPr>
                <w:rFonts w:hint="eastAsia" w:ascii="Calibri" w:hAnsi="Calibri" w:cs="宋体"/>
                <w:sz w:val="18"/>
                <w:szCs w:val="18"/>
              </w:rPr>
              <w:t>投资者（</w:t>
            </w:r>
            <w:r>
              <w:rPr>
                <w:rFonts w:ascii="Calibri" w:hAnsi="Calibri" w:cs="宋体"/>
                <w:sz w:val="18"/>
                <w:szCs w:val="18"/>
              </w:rPr>
              <w:t>签名</w:t>
            </w:r>
            <w:r>
              <w:rPr>
                <w:rFonts w:hint="eastAsia" w:ascii="Calibri" w:hAnsi="Calibri" w:cs="宋体"/>
                <w:sz w:val="18"/>
                <w:szCs w:val="18"/>
              </w:rPr>
              <w:t>/线上确认）：</w:t>
            </w:r>
          </w:p>
          <w:p w14:paraId="536FF0D8">
            <w:pPr>
              <w:spacing w:line="360" w:lineRule="auto"/>
              <w:ind w:firstLine="361"/>
              <w:jc w:val="left"/>
              <w:rPr>
                <w:rFonts w:ascii="Calibri" w:hAnsi="Calibri" w:cs="宋体"/>
                <w:b/>
                <w:sz w:val="18"/>
                <w:szCs w:val="18"/>
              </w:rPr>
            </w:pPr>
          </w:p>
          <w:p w14:paraId="18934CEF">
            <w:pPr>
              <w:spacing w:line="360" w:lineRule="auto"/>
              <w:ind w:firstLine="360"/>
              <w:jc w:val="left"/>
              <w:rPr>
                <w:rFonts w:ascii="Calibri" w:hAnsi="Calibri" w:cs="宋体"/>
                <w:sz w:val="18"/>
                <w:szCs w:val="18"/>
              </w:rPr>
            </w:pPr>
            <w:r>
              <w:rPr>
                <w:rFonts w:hint="eastAsia" w:ascii="Calibri" w:hAnsi="Calibri" w:cs="宋体"/>
                <w:sz w:val="18"/>
                <w:szCs w:val="18"/>
              </w:rPr>
              <w:t>日期：</w:t>
            </w:r>
          </w:p>
        </w:tc>
      </w:tr>
      <w:tr w14:paraId="4D82356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14:paraId="32436B7D">
            <w:pPr>
              <w:spacing w:line="360" w:lineRule="auto"/>
              <w:jc w:val="left"/>
              <w:rPr>
                <w:rFonts w:ascii="Calibri" w:hAnsi="Calibri" w:cs="宋体"/>
                <w:b/>
                <w:sz w:val="18"/>
                <w:szCs w:val="18"/>
              </w:rPr>
            </w:pPr>
            <w:r>
              <w:rPr>
                <w:rFonts w:hint="eastAsia" w:ascii="Calibri" w:hAnsi="Calibri" w:cs="宋体"/>
                <w:b/>
                <w:sz w:val="18"/>
                <w:szCs w:val="18"/>
              </w:rPr>
              <w:t>机构投资者适用</w:t>
            </w:r>
          </w:p>
        </w:tc>
        <w:tc>
          <w:tcPr>
            <w:tcW w:w="7371" w:type="dxa"/>
          </w:tcPr>
          <w:p w14:paraId="265EC59F">
            <w:pPr>
              <w:spacing w:line="360" w:lineRule="auto"/>
              <w:ind w:firstLine="360"/>
              <w:jc w:val="left"/>
              <w:rPr>
                <w:rFonts w:ascii="Calibri" w:hAnsi="Calibri" w:cs="Arial"/>
                <w:sz w:val="18"/>
                <w:szCs w:val="18"/>
              </w:rPr>
            </w:pPr>
            <w:r>
              <w:rPr>
                <w:rFonts w:hint="eastAsia" w:ascii="Calibri" w:hAnsi="Calibri" w:cs="宋体"/>
                <w:sz w:val="18"/>
                <w:szCs w:val="18"/>
              </w:rPr>
              <w:t>投资者</w:t>
            </w:r>
            <w:r>
              <w:rPr>
                <w:rFonts w:hint="eastAsia" w:ascii="Calibri" w:hAnsi="Calibri" w:cs="Arial"/>
                <w:sz w:val="18"/>
                <w:szCs w:val="18"/>
              </w:rPr>
              <w:t>（盖章/线上确认）：</w:t>
            </w:r>
          </w:p>
          <w:p w14:paraId="582C4FF5">
            <w:pPr>
              <w:spacing w:line="360" w:lineRule="auto"/>
              <w:ind w:firstLine="360"/>
              <w:jc w:val="left"/>
              <w:rPr>
                <w:rFonts w:ascii="Calibri" w:hAnsi="Calibri" w:cs="Arial"/>
                <w:sz w:val="18"/>
                <w:szCs w:val="18"/>
              </w:rPr>
            </w:pPr>
          </w:p>
          <w:p w14:paraId="2C03601C">
            <w:pPr>
              <w:spacing w:line="360" w:lineRule="auto"/>
              <w:ind w:firstLine="360"/>
              <w:jc w:val="left"/>
              <w:rPr>
                <w:rFonts w:ascii="Calibri" w:hAnsi="Calibri" w:cs="Arial"/>
                <w:sz w:val="18"/>
                <w:szCs w:val="18"/>
              </w:rPr>
            </w:pPr>
            <w:r>
              <w:rPr>
                <w:rFonts w:hint="eastAsia" w:ascii="Calibri" w:hAnsi="Calibri" w:cs="Arial"/>
                <w:sz w:val="18"/>
                <w:szCs w:val="18"/>
              </w:rPr>
              <w:t>投资者法定代表人或授权代理人（签名/盖章/线上确认）：</w:t>
            </w:r>
          </w:p>
          <w:p w14:paraId="64E5B4F9">
            <w:pPr>
              <w:spacing w:line="360" w:lineRule="auto"/>
              <w:ind w:firstLine="360"/>
              <w:jc w:val="left"/>
              <w:rPr>
                <w:rFonts w:ascii="Calibri" w:hAnsi="Calibri" w:cs="宋体"/>
                <w:sz w:val="18"/>
                <w:szCs w:val="18"/>
              </w:rPr>
            </w:pPr>
            <w:r>
              <w:rPr>
                <w:rFonts w:hint="eastAsia" w:ascii="Calibri" w:hAnsi="Calibri" w:cs="宋体"/>
                <w:sz w:val="18"/>
                <w:szCs w:val="18"/>
              </w:rPr>
              <w:t>日期：</w:t>
            </w:r>
          </w:p>
        </w:tc>
      </w:tr>
    </w:tbl>
    <w:p w14:paraId="42BB96F5">
      <w:pPr>
        <w:spacing w:line="360" w:lineRule="auto"/>
        <w:jc w:val="left"/>
        <w:rPr>
          <w:rFonts w:ascii="Calibri" w:hAnsi="Calibri" w:cs="宋体"/>
          <w:b/>
          <w:bCs/>
          <w:szCs w:val="22"/>
        </w:rPr>
      </w:pPr>
      <w:r>
        <w:rPr>
          <w:rFonts w:hint="eastAsia" w:ascii="宋体" w:hAnsi="宋体" w:cs="宋体"/>
          <w:b/>
          <w:bCs/>
          <w:sz w:val="18"/>
          <w:szCs w:val="18"/>
        </w:rPr>
        <w:t>（本《产品说明书》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cs="宋体"/>
          <w:b/>
          <w:bCs/>
          <w:sz w:val="18"/>
          <w:szCs w:val="18"/>
        </w:rPr>
        <w:t>。）</w:t>
      </w:r>
    </w:p>
    <w:p w14:paraId="247C2675">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14:paraId="23CC2BEE">
      <w:pPr>
        <w:sectPr>
          <w:headerReference r:id="rId5" w:type="default"/>
          <w:footerReference r:id="rId6" w:type="default"/>
          <w:pgSz w:w="11906" w:h="16838"/>
          <w:pgMar w:top="1276" w:right="1800" w:bottom="1418" w:left="1800" w:header="567" w:footer="850" w:gutter="0"/>
          <w:cols w:space="425" w:num="1"/>
          <w:docGrid w:type="lines" w:linePitch="312" w:charSpace="0"/>
        </w:sectPr>
      </w:pPr>
    </w:p>
    <w:p w14:paraId="25BAF8A0"/>
    <w:p w14:paraId="44BAC99F">
      <w:pPr>
        <w:widowControl/>
        <w:spacing w:before="156"/>
        <w:jc w:val="center"/>
        <w:rPr>
          <w:rFonts w:ascii="黑体" w:hAnsi="黑体" w:eastAsia="黑体" w:cs="宋体"/>
          <w:b/>
          <w:sz w:val="28"/>
          <w:szCs w:val="28"/>
        </w:rPr>
      </w:pPr>
      <w:r>
        <w:rPr>
          <w:rFonts w:hint="eastAsia" w:ascii="黑体" w:hAnsi="黑体" w:eastAsia="黑体" w:cs="宋体"/>
          <w:b/>
          <w:sz w:val="28"/>
          <w:szCs w:val="28"/>
        </w:rPr>
        <w:t>兴银理财【稳添利最短持有期日开固收类】理财产品</w:t>
      </w:r>
    </w:p>
    <w:p w14:paraId="17ACFCDB">
      <w:pPr>
        <w:widowControl/>
        <w:spacing w:before="156"/>
        <w:jc w:val="center"/>
        <w:rPr>
          <w:rFonts w:ascii="黑体" w:hAnsi="黑体" w:eastAsia="黑体" w:cs="宋体"/>
          <w:b/>
          <w:sz w:val="28"/>
          <w:szCs w:val="28"/>
        </w:rPr>
      </w:pPr>
      <w:r>
        <w:rPr>
          <w:rFonts w:hint="eastAsia" w:ascii="黑体" w:hAnsi="黑体" w:eastAsia="黑体" w:cs="宋体"/>
          <w:b/>
          <w:sz w:val="28"/>
          <w:szCs w:val="28"/>
        </w:rPr>
        <w:t>（代理）销售协议书</w:t>
      </w:r>
    </w:p>
    <w:p w14:paraId="41B3802C">
      <w:pPr>
        <w:autoSpaceDE w:val="0"/>
        <w:autoSpaceDN w:val="0"/>
        <w:adjustRightInd w:val="0"/>
        <w:snapToGrid w:val="0"/>
        <w:spacing w:before="156" w:beforeLines="50" w:line="320" w:lineRule="exact"/>
        <w:jc w:val="center"/>
        <w:rPr>
          <w:rFonts w:ascii="宋体" w:hAnsi="宋体" w:cs="宋体"/>
          <w:b/>
          <w:sz w:val="32"/>
          <w:szCs w:val="32"/>
        </w:rPr>
      </w:pPr>
      <w:r>
        <w:rPr>
          <w:rFonts w:hint="eastAsia" w:ascii="宋体" w:hAnsi="宋体" w:cs="宋体"/>
          <w:b/>
          <w:sz w:val="24"/>
          <w:szCs w:val="22"/>
        </w:rPr>
        <w:t>理财非存款、产品有风险、投资须谨慎</w:t>
      </w:r>
    </w:p>
    <w:p w14:paraId="3847F657">
      <w:pPr>
        <w:tabs>
          <w:tab w:val="left" w:pos="8070"/>
          <w:tab w:val="right" w:pos="8306"/>
        </w:tabs>
        <w:autoSpaceDE w:val="0"/>
        <w:autoSpaceDN w:val="0"/>
        <w:adjustRightInd w:val="0"/>
        <w:snapToGrid w:val="0"/>
        <w:spacing w:before="156" w:beforeLines="50" w:line="320" w:lineRule="exact"/>
        <w:jc w:val="center"/>
        <w:rPr>
          <w:rFonts w:ascii="宋体" w:hAnsi="宋体" w:cs="宋体"/>
          <w:b/>
          <w:szCs w:val="21"/>
          <w:u w:val="single"/>
        </w:rPr>
      </w:pPr>
      <w:r>
        <w:rPr>
          <w:rFonts w:hint="eastAsia" w:ascii="宋体" w:hAnsi="宋体" w:cs="宋体"/>
          <w:b/>
          <w:szCs w:val="21"/>
        </w:rPr>
        <w:t>协议编号：</w:t>
      </w:r>
    </w:p>
    <w:p w14:paraId="775C4FEB">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7"/>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14:paraId="422B59D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14:paraId="32B0506B">
            <w:pPr>
              <w:pBdr>
                <w:bottom w:val="single" w:color="auto" w:sz="6" w:space="1"/>
              </w:pBdr>
              <w:snapToGrid w:val="0"/>
              <w:spacing w:line="320" w:lineRule="exact"/>
              <w:jc w:val="center"/>
              <w:rPr>
                <w:rFonts w:ascii="宋体" w:hAnsi="宋体" w:cs="宋体"/>
                <w:b/>
                <w:bCs/>
                <w:sz w:val="28"/>
                <w:szCs w:val="28"/>
              </w:rPr>
            </w:pPr>
            <w:r>
              <w:rPr>
                <w:rFonts w:hint="eastAsia" w:ascii="宋体" w:hAnsi="宋体" w:cs="宋体"/>
                <w:b/>
                <w:bCs/>
                <w:sz w:val="28"/>
                <w:szCs w:val="28"/>
              </w:rPr>
              <w:t>信息栏</w:t>
            </w:r>
          </w:p>
          <w:p w14:paraId="0664331B">
            <w:pPr>
              <w:widowControl w:val="0"/>
              <w:pBdr>
                <w:bottom w:val="single" w:color="auto" w:sz="6" w:space="1"/>
              </w:pBdr>
              <w:snapToGrid w:val="0"/>
              <w:spacing w:line="320" w:lineRule="exact"/>
              <w:jc w:val="center"/>
              <w:rPr>
                <w:rFonts w:ascii="宋体" w:hAnsi="宋体" w:eastAsiaTheme="minorEastAsia" w:cstheme="minorBidi"/>
                <w:b/>
                <w:bCs/>
                <w:kern w:val="2"/>
                <w:sz w:val="28"/>
                <w:szCs w:val="28"/>
                <w:lang w:val="en-US" w:eastAsia="zh-CN" w:bidi="ar-SA"/>
              </w:rPr>
            </w:pPr>
          </w:p>
        </w:tc>
      </w:tr>
      <w:tr w14:paraId="2CFC3BE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14:paraId="258DEEE8">
            <w:pPr>
              <w:widowControl w:val="0"/>
              <w:pBdr>
                <w:bottom w:val="single" w:color="auto" w:sz="6" w:space="1"/>
              </w:pBdr>
              <w:snapToGrid w:val="0"/>
              <w:spacing w:line="320" w:lineRule="exact"/>
              <w:jc w:val="center"/>
              <w:rPr>
                <w:rFonts w:ascii="宋体" w:hAnsi="宋体" w:eastAsiaTheme="minorEastAsia" w:cstheme="minorBidi"/>
                <w:b/>
                <w:bCs/>
                <w:kern w:val="2"/>
                <w:sz w:val="28"/>
                <w:szCs w:val="28"/>
                <w:lang w:val="en-US" w:eastAsia="zh-CN" w:bidi="ar-SA"/>
              </w:rPr>
            </w:pPr>
          </w:p>
        </w:tc>
      </w:tr>
      <w:tr w14:paraId="2515E6B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14:paraId="0B5A3EB8">
            <w:pPr>
              <w:spacing w:line="320" w:lineRule="exact"/>
              <w:jc w:val="left"/>
              <w:rPr>
                <w:rFonts w:ascii="宋体" w:hAnsi="宋体" w:cs="宋体"/>
                <w:b/>
                <w:bCs/>
                <w:sz w:val="18"/>
                <w:szCs w:val="18"/>
              </w:rPr>
            </w:pPr>
            <w:r>
              <w:rPr>
                <w:rFonts w:hint="eastAsia" w:ascii="宋体" w:hAnsi="宋体" w:cs="宋体"/>
                <w:b/>
                <w:bCs/>
                <w:sz w:val="18"/>
                <w:szCs w:val="18"/>
              </w:rPr>
              <w:t>投资者信息</w:t>
            </w:r>
          </w:p>
        </w:tc>
        <w:tc>
          <w:tcPr>
            <w:tcW w:w="635" w:type="dxa"/>
            <w:vMerge w:val="restart"/>
            <w:shd w:val="solid" w:color="FFFFFF" w:fill="FFFFFF"/>
            <w:vAlign w:val="center"/>
          </w:tcPr>
          <w:p w14:paraId="6A08157D">
            <w:pPr>
              <w:spacing w:line="320" w:lineRule="exact"/>
              <w:jc w:val="left"/>
              <w:rPr>
                <w:rFonts w:ascii="宋体" w:hAnsi="宋体" w:cs="宋体"/>
                <w:sz w:val="18"/>
                <w:szCs w:val="18"/>
              </w:rPr>
            </w:pPr>
            <w:r>
              <w:rPr>
                <w:rFonts w:hint="eastAsia" w:ascii="宋体" w:hAnsi="宋体" w:cs="宋体"/>
                <w:sz w:val="18"/>
                <w:szCs w:val="18"/>
              </w:rPr>
              <w:t>个人投资者适用</w:t>
            </w:r>
          </w:p>
        </w:tc>
        <w:tc>
          <w:tcPr>
            <w:tcW w:w="1085" w:type="dxa"/>
            <w:shd w:val="solid" w:color="FFFFFF" w:fill="FFFFFF"/>
            <w:vAlign w:val="center"/>
          </w:tcPr>
          <w:p w14:paraId="0CE903B3">
            <w:pPr>
              <w:spacing w:line="320" w:lineRule="exact"/>
              <w:jc w:val="left"/>
              <w:rPr>
                <w:rFonts w:ascii="宋体" w:hAnsi="宋体" w:cs="宋体"/>
                <w:sz w:val="18"/>
                <w:szCs w:val="18"/>
              </w:rPr>
            </w:pPr>
            <w:r>
              <w:rPr>
                <w:rFonts w:hint="eastAsia" w:ascii="宋体" w:hAnsi="宋体" w:cs="宋体"/>
                <w:sz w:val="18"/>
                <w:szCs w:val="18"/>
              </w:rPr>
              <w:t>姓名</w:t>
            </w:r>
          </w:p>
        </w:tc>
        <w:tc>
          <w:tcPr>
            <w:tcW w:w="5061" w:type="dxa"/>
            <w:gridSpan w:val="3"/>
            <w:shd w:val="solid" w:color="FFFFFF" w:fill="FFFFFF"/>
            <w:vAlign w:val="center"/>
          </w:tcPr>
          <w:p w14:paraId="40BD61E5">
            <w:pPr>
              <w:spacing w:line="320" w:lineRule="exact"/>
              <w:jc w:val="left"/>
              <w:rPr>
                <w:rFonts w:ascii="宋体" w:hAnsi="宋体" w:cs="宋体"/>
                <w:sz w:val="18"/>
                <w:szCs w:val="18"/>
              </w:rPr>
            </w:pPr>
          </w:p>
        </w:tc>
      </w:tr>
      <w:tr w14:paraId="26BE77C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0381EF69">
            <w:pPr>
              <w:spacing w:line="320" w:lineRule="exact"/>
              <w:jc w:val="left"/>
              <w:rPr>
                <w:rFonts w:ascii="宋体" w:hAnsi="宋体" w:cs="宋体"/>
                <w:b/>
                <w:bCs/>
                <w:sz w:val="18"/>
                <w:szCs w:val="18"/>
              </w:rPr>
            </w:pPr>
          </w:p>
        </w:tc>
        <w:tc>
          <w:tcPr>
            <w:tcW w:w="635" w:type="dxa"/>
            <w:vMerge w:val="continue"/>
            <w:shd w:val="solid" w:color="FFFFFF" w:fill="FFFFFF"/>
            <w:vAlign w:val="center"/>
          </w:tcPr>
          <w:p w14:paraId="6DDD0E40">
            <w:pPr>
              <w:spacing w:line="320" w:lineRule="exact"/>
              <w:jc w:val="left"/>
              <w:rPr>
                <w:rFonts w:ascii="宋体" w:hAnsi="宋体" w:cs="宋体"/>
                <w:sz w:val="18"/>
                <w:szCs w:val="18"/>
              </w:rPr>
            </w:pPr>
          </w:p>
        </w:tc>
        <w:tc>
          <w:tcPr>
            <w:tcW w:w="1085" w:type="dxa"/>
            <w:shd w:val="solid" w:color="FFFFFF" w:fill="FFFFFF"/>
            <w:vAlign w:val="center"/>
          </w:tcPr>
          <w:p w14:paraId="7EFFE5FE">
            <w:pPr>
              <w:spacing w:line="320" w:lineRule="exact"/>
              <w:jc w:val="left"/>
              <w:rPr>
                <w:rFonts w:ascii="宋体" w:hAnsi="宋体" w:cs="宋体"/>
                <w:sz w:val="18"/>
                <w:szCs w:val="18"/>
              </w:rPr>
            </w:pPr>
            <w:r>
              <w:rPr>
                <w:rFonts w:hint="eastAsia" w:ascii="宋体" w:hAnsi="宋体" w:cs="宋体"/>
                <w:sz w:val="18"/>
                <w:szCs w:val="18"/>
              </w:rPr>
              <w:t>证件类型</w:t>
            </w:r>
          </w:p>
        </w:tc>
        <w:tc>
          <w:tcPr>
            <w:tcW w:w="1384" w:type="dxa"/>
            <w:shd w:val="solid" w:color="FFFFFF" w:fill="FFFFFF"/>
            <w:vAlign w:val="center"/>
          </w:tcPr>
          <w:p w14:paraId="7AEA1C6B">
            <w:pPr>
              <w:spacing w:line="320" w:lineRule="exact"/>
              <w:jc w:val="left"/>
              <w:rPr>
                <w:rFonts w:ascii="宋体" w:hAnsi="宋体" w:cs="宋体"/>
                <w:sz w:val="18"/>
                <w:szCs w:val="18"/>
              </w:rPr>
            </w:pPr>
          </w:p>
        </w:tc>
        <w:tc>
          <w:tcPr>
            <w:tcW w:w="1234" w:type="dxa"/>
            <w:shd w:val="solid" w:color="FFFFFF" w:fill="FFFFFF"/>
            <w:vAlign w:val="center"/>
          </w:tcPr>
          <w:p w14:paraId="38454556">
            <w:pPr>
              <w:spacing w:line="320" w:lineRule="exact"/>
              <w:jc w:val="left"/>
              <w:rPr>
                <w:rFonts w:ascii="宋体" w:hAnsi="宋体" w:cs="宋体"/>
                <w:sz w:val="18"/>
                <w:szCs w:val="18"/>
              </w:rPr>
            </w:pPr>
            <w:r>
              <w:rPr>
                <w:rFonts w:hint="eastAsia" w:ascii="宋体" w:hAnsi="宋体" w:cs="宋体"/>
                <w:sz w:val="18"/>
                <w:szCs w:val="18"/>
              </w:rPr>
              <w:t>证件号码</w:t>
            </w:r>
          </w:p>
        </w:tc>
        <w:tc>
          <w:tcPr>
            <w:tcW w:w="2443" w:type="dxa"/>
            <w:shd w:val="solid" w:color="FFFFFF" w:fill="FFFFFF"/>
            <w:vAlign w:val="center"/>
          </w:tcPr>
          <w:p w14:paraId="525B8136">
            <w:pPr>
              <w:spacing w:line="320" w:lineRule="exact"/>
              <w:jc w:val="left"/>
              <w:rPr>
                <w:rFonts w:ascii="宋体" w:hAnsi="宋体" w:cs="宋体"/>
                <w:sz w:val="18"/>
                <w:szCs w:val="18"/>
              </w:rPr>
            </w:pPr>
          </w:p>
        </w:tc>
      </w:tr>
      <w:tr w14:paraId="7CDADC2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3B8FF52D">
            <w:pPr>
              <w:spacing w:line="320" w:lineRule="exact"/>
              <w:jc w:val="left"/>
              <w:rPr>
                <w:rFonts w:ascii="宋体" w:hAnsi="宋体" w:cs="宋体"/>
                <w:b/>
                <w:bCs/>
                <w:sz w:val="18"/>
                <w:szCs w:val="18"/>
              </w:rPr>
            </w:pPr>
          </w:p>
        </w:tc>
        <w:tc>
          <w:tcPr>
            <w:tcW w:w="635" w:type="dxa"/>
            <w:vMerge w:val="continue"/>
            <w:shd w:val="solid" w:color="FFFFFF" w:fill="FFFFFF"/>
            <w:vAlign w:val="center"/>
          </w:tcPr>
          <w:p w14:paraId="6F4CD3D8">
            <w:pPr>
              <w:spacing w:line="320" w:lineRule="exact"/>
              <w:jc w:val="left"/>
              <w:rPr>
                <w:rFonts w:ascii="宋体" w:hAnsi="宋体" w:cs="宋体"/>
                <w:sz w:val="18"/>
                <w:szCs w:val="18"/>
              </w:rPr>
            </w:pPr>
          </w:p>
        </w:tc>
        <w:tc>
          <w:tcPr>
            <w:tcW w:w="1085" w:type="dxa"/>
            <w:shd w:val="solid" w:color="FFFFFF" w:fill="FFFFFF"/>
            <w:vAlign w:val="center"/>
          </w:tcPr>
          <w:p w14:paraId="35C74F35">
            <w:pPr>
              <w:spacing w:line="320" w:lineRule="exact"/>
              <w:jc w:val="left"/>
              <w:rPr>
                <w:rFonts w:ascii="宋体" w:hAnsi="宋体" w:cs="宋体"/>
                <w:sz w:val="18"/>
                <w:szCs w:val="18"/>
              </w:rPr>
            </w:pPr>
            <w:r>
              <w:rPr>
                <w:rFonts w:hint="eastAsia" w:ascii="宋体" w:hAnsi="宋体" w:cs="宋体"/>
                <w:sz w:val="18"/>
                <w:szCs w:val="18"/>
              </w:rPr>
              <w:t>联系电话</w:t>
            </w:r>
          </w:p>
        </w:tc>
        <w:tc>
          <w:tcPr>
            <w:tcW w:w="1384" w:type="dxa"/>
            <w:shd w:val="solid" w:color="FFFFFF" w:fill="FFFFFF"/>
            <w:vAlign w:val="center"/>
          </w:tcPr>
          <w:p w14:paraId="16DD4DCC">
            <w:pPr>
              <w:spacing w:line="320" w:lineRule="exact"/>
              <w:jc w:val="left"/>
              <w:rPr>
                <w:rFonts w:ascii="宋体" w:hAnsi="宋体" w:cs="宋体"/>
                <w:sz w:val="18"/>
                <w:szCs w:val="18"/>
              </w:rPr>
            </w:pPr>
          </w:p>
        </w:tc>
        <w:tc>
          <w:tcPr>
            <w:tcW w:w="1234" w:type="dxa"/>
            <w:shd w:val="solid" w:color="FFFFFF" w:fill="FFFFFF"/>
            <w:vAlign w:val="center"/>
          </w:tcPr>
          <w:p w14:paraId="5044114F">
            <w:pPr>
              <w:spacing w:line="320" w:lineRule="exact"/>
              <w:jc w:val="left"/>
              <w:rPr>
                <w:rFonts w:ascii="宋体" w:hAnsi="宋体" w:cs="宋体"/>
                <w:sz w:val="18"/>
                <w:szCs w:val="18"/>
              </w:rPr>
            </w:pPr>
            <w:r>
              <w:rPr>
                <w:rFonts w:hint="eastAsia" w:ascii="宋体" w:hAnsi="宋体" w:cs="宋体"/>
                <w:sz w:val="18"/>
                <w:szCs w:val="18"/>
              </w:rPr>
              <w:t>电子邮箱</w:t>
            </w:r>
          </w:p>
        </w:tc>
        <w:tc>
          <w:tcPr>
            <w:tcW w:w="2443" w:type="dxa"/>
            <w:shd w:val="solid" w:color="FFFFFF" w:fill="FFFFFF"/>
            <w:vAlign w:val="center"/>
          </w:tcPr>
          <w:p w14:paraId="0E7DAEEA">
            <w:pPr>
              <w:spacing w:line="320" w:lineRule="exact"/>
              <w:jc w:val="left"/>
              <w:rPr>
                <w:rFonts w:ascii="宋体" w:hAnsi="宋体" w:cs="宋体"/>
                <w:sz w:val="18"/>
                <w:szCs w:val="18"/>
              </w:rPr>
            </w:pPr>
          </w:p>
        </w:tc>
      </w:tr>
      <w:tr w14:paraId="5821394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0B812884">
            <w:pPr>
              <w:spacing w:line="320" w:lineRule="exact"/>
              <w:jc w:val="left"/>
              <w:rPr>
                <w:rFonts w:ascii="宋体" w:hAnsi="宋体" w:cs="宋体"/>
                <w:b/>
                <w:bCs/>
                <w:sz w:val="18"/>
                <w:szCs w:val="18"/>
              </w:rPr>
            </w:pPr>
          </w:p>
        </w:tc>
        <w:tc>
          <w:tcPr>
            <w:tcW w:w="635" w:type="dxa"/>
            <w:vMerge w:val="continue"/>
            <w:shd w:val="solid" w:color="FFFFFF" w:fill="FFFFFF"/>
            <w:vAlign w:val="center"/>
          </w:tcPr>
          <w:p w14:paraId="06BB0880">
            <w:pPr>
              <w:spacing w:line="320" w:lineRule="exact"/>
              <w:jc w:val="left"/>
              <w:rPr>
                <w:rFonts w:ascii="宋体" w:hAnsi="宋体" w:cs="宋体"/>
                <w:sz w:val="18"/>
                <w:szCs w:val="18"/>
              </w:rPr>
            </w:pPr>
          </w:p>
        </w:tc>
        <w:tc>
          <w:tcPr>
            <w:tcW w:w="1085" w:type="dxa"/>
            <w:shd w:val="solid" w:color="FFFFFF" w:fill="FFFFFF"/>
            <w:vAlign w:val="center"/>
          </w:tcPr>
          <w:p w14:paraId="49C180FE">
            <w:pPr>
              <w:spacing w:line="320" w:lineRule="exact"/>
              <w:jc w:val="left"/>
              <w:rPr>
                <w:rFonts w:ascii="宋体" w:hAnsi="宋体" w:cs="宋体"/>
                <w:sz w:val="18"/>
                <w:szCs w:val="18"/>
              </w:rPr>
            </w:pPr>
            <w:r>
              <w:rPr>
                <w:rFonts w:hint="eastAsia" w:ascii="宋体" w:hAnsi="宋体" w:cs="宋体"/>
                <w:sz w:val="18"/>
                <w:szCs w:val="18"/>
              </w:rPr>
              <w:t>联系地址</w:t>
            </w:r>
          </w:p>
        </w:tc>
        <w:tc>
          <w:tcPr>
            <w:tcW w:w="5061" w:type="dxa"/>
            <w:gridSpan w:val="3"/>
            <w:shd w:val="solid" w:color="FFFFFF" w:fill="FFFFFF"/>
            <w:vAlign w:val="center"/>
          </w:tcPr>
          <w:p w14:paraId="1C23C189">
            <w:pPr>
              <w:spacing w:line="320" w:lineRule="exact"/>
              <w:jc w:val="left"/>
              <w:rPr>
                <w:rFonts w:ascii="宋体" w:hAnsi="宋体" w:cs="宋体"/>
                <w:sz w:val="18"/>
                <w:szCs w:val="18"/>
              </w:rPr>
            </w:pPr>
          </w:p>
        </w:tc>
      </w:tr>
      <w:tr w14:paraId="65B1DF5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31CED207">
            <w:pPr>
              <w:spacing w:line="320" w:lineRule="exact"/>
              <w:jc w:val="left"/>
              <w:rPr>
                <w:rFonts w:ascii="宋体" w:hAnsi="宋体" w:cs="宋体"/>
                <w:b/>
                <w:bCs/>
                <w:sz w:val="18"/>
                <w:szCs w:val="18"/>
              </w:rPr>
            </w:pPr>
          </w:p>
        </w:tc>
        <w:tc>
          <w:tcPr>
            <w:tcW w:w="635" w:type="dxa"/>
            <w:vMerge w:val="continue"/>
            <w:shd w:val="solid" w:color="FFFFFF" w:fill="FFFFFF"/>
            <w:vAlign w:val="center"/>
          </w:tcPr>
          <w:p w14:paraId="4DB98AE3">
            <w:pPr>
              <w:spacing w:line="320" w:lineRule="exact"/>
              <w:jc w:val="left"/>
              <w:rPr>
                <w:rFonts w:ascii="宋体" w:hAnsi="宋体" w:cs="宋体"/>
                <w:sz w:val="18"/>
                <w:szCs w:val="18"/>
              </w:rPr>
            </w:pPr>
          </w:p>
        </w:tc>
        <w:tc>
          <w:tcPr>
            <w:tcW w:w="1085" w:type="dxa"/>
            <w:tcBorders>
              <w:bottom w:val="single" w:color="auto" w:sz="12" w:space="0"/>
            </w:tcBorders>
            <w:shd w:val="solid" w:color="FFFFFF" w:fill="FFFFFF"/>
            <w:vAlign w:val="center"/>
          </w:tcPr>
          <w:p w14:paraId="5DC67C45">
            <w:pPr>
              <w:spacing w:line="320" w:lineRule="exact"/>
              <w:jc w:val="left"/>
              <w:rPr>
                <w:rFonts w:ascii="宋体" w:hAnsi="宋体" w:cs="宋体"/>
                <w:sz w:val="18"/>
                <w:szCs w:val="18"/>
              </w:rPr>
            </w:pPr>
            <w:r>
              <w:rPr>
                <w:rFonts w:hint="eastAsia" w:ascii="宋体" w:hAnsi="宋体" w:cs="宋体"/>
                <w:sz w:val="18"/>
                <w:szCs w:val="18"/>
              </w:rPr>
              <w:t>邮政编码</w:t>
            </w:r>
          </w:p>
        </w:tc>
        <w:tc>
          <w:tcPr>
            <w:tcW w:w="5061" w:type="dxa"/>
            <w:gridSpan w:val="3"/>
            <w:tcBorders>
              <w:bottom w:val="single" w:color="auto" w:sz="12" w:space="0"/>
            </w:tcBorders>
            <w:shd w:val="solid" w:color="FFFFFF" w:fill="FFFFFF"/>
            <w:vAlign w:val="center"/>
          </w:tcPr>
          <w:p w14:paraId="76BFCB53">
            <w:pPr>
              <w:spacing w:line="320" w:lineRule="exact"/>
              <w:jc w:val="left"/>
              <w:rPr>
                <w:rFonts w:ascii="宋体" w:hAnsi="宋体" w:cs="宋体"/>
                <w:sz w:val="18"/>
                <w:szCs w:val="18"/>
              </w:rPr>
            </w:pPr>
          </w:p>
        </w:tc>
      </w:tr>
      <w:tr w14:paraId="4A35428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4C213DC7">
            <w:pPr>
              <w:spacing w:line="320" w:lineRule="exact"/>
              <w:jc w:val="left"/>
              <w:rPr>
                <w:rFonts w:ascii="宋体" w:hAnsi="宋体" w:cs="宋体"/>
                <w:b/>
                <w:bCs/>
                <w:sz w:val="18"/>
                <w:szCs w:val="18"/>
              </w:rPr>
            </w:pPr>
          </w:p>
        </w:tc>
        <w:tc>
          <w:tcPr>
            <w:tcW w:w="635" w:type="dxa"/>
            <w:vMerge w:val="restart"/>
            <w:tcBorders>
              <w:right w:val="single" w:color="auto" w:sz="12" w:space="0"/>
            </w:tcBorders>
            <w:shd w:val="solid" w:color="FFFFFF" w:fill="FFFFFF"/>
            <w:vAlign w:val="center"/>
          </w:tcPr>
          <w:p w14:paraId="50C06219">
            <w:pPr>
              <w:spacing w:line="320" w:lineRule="exact"/>
              <w:jc w:val="left"/>
              <w:rPr>
                <w:rFonts w:ascii="宋体" w:hAnsi="宋体" w:cs="宋体"/>
                <w:sz w:val="18"/>
                <w:szCs w:val="18"/>
              </w:rPr>
            </w:pPr>
            <w:r>
              <w:rPr>
                <w:rFonts w:hint="eastAsia" w:ascii="宋体" w:hAnsi="宋体" w:cs="宋体"/>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79C0843E">
            <w:pPr>
              <w:spacing w:line="320" w:lineRule="exact"/>
              <w:jc w:val="left"/>
              <w:rPr>
                <w:rFonts w:ascii="宋体" w:hAnsi="宋体" w:cs="宋体"/>
                <w:sz w:val="18"/>
                <w:szCs w:val="18"/>
              </w:rPr>
            </w:pPr>
            <w:r>
              <w:rPr>
                <w:rFonts w:hint="eastAsia" w:ascii="宋体" w:hAnsi="宋体" w:cs="宋体"/>
                <w:sz w:val="18"/>
                <w:szCs w:val="18"/>
              </w:rPr>
              <w:t>机构</w:t>
            </w:r>
            <w:r>
              <w:rPr>
                <w:rFonts w:ascii="宋体" w:hAnsi="宋体" w:cs="宋体"/>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303374E1">
            <w:pPr>
              <w:spacing w:line="320" w:lineRule="exact"/>
              <w:jc w:val="left"/>
              <w:rPr>
                <w:rFonts w:ascii="宋体" w:hAnsi="宋体" w:cs="宋体"/>
                <w:sz w:val="18"/>
                <w:szCs w:val="18"/>
              </w:rPr>
            </w:pPr>
          </w:p>
        </w:tc>
      </w:tr>
      <w:tr w14:paraId="75FF8A5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0C76C745">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14:paraId="58C910CB">
            <w:pPr>
              <w:spacing w:line="320" w:lineRule="exact"/>
              <w:jc w:val="left"/>
              <w:rPr>
                <w:rFonts w:ascii="宋体" w:hAnsi="宋体" w:cs="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4F32299C">
            <w:pPr>
              <w:spacing w:line="320" w:lineRule="exact"/>
              <w:jc w:val="left"/>
              <w:rPr>
                <w:rFonts w:ascii="宋体" w:hAnsi="宋体" w:cs="宋体"/>
                <w:sz w:val="18"/>
                <w:szCs w:val="18"/>
              </w:rPr>
            </w:pPr>
            <w:r>
              <w:rPr>
                <w:rFonts w:hint="eastAsia" w:ascii="宋体" w:hAnsi="宋体" w:cs="宋体"/>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14:paraId="7CC55930">
            <w:pPr>
              <w:spacing w:line="320" w:lineRule="exact"/>
              <w:jc w:val="left"/>
              <w:rPr>
                <w:rFonts w:ascii="宋体" w:hAnsi="宋体" w:cs="宋体"/>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14:paraId="44A9E91D">
            <w:pPr>
              <w:spacing w:line="320" w:lineRule="exact"/>
              <w:jc w:val="left"/>
              <w:rPr>
                <w:rFonts w:ascii="宋体" w:hAnsi="宋体" w:cs="宋体"/>
                <w:sz w:val="18"/>
                <w:szCs w:val="18"/>
              </w:rPr>
            </w:pPr>
            <w:r>
              <w:rPr>
                <w:rFonts w:hint="eastAsia" w:ascii="宋体" w:hAnsi="宋体" w:cs="宋体"/>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14:paraId="30A45E7E">
            <w:pPr>
              <w:spacing w:line="320" w:lineRule="exact"/>
              <w:jc w:val="left"/>
              <w:rPr>
                <w:rFonts w:ascii="宋体" w:hAnsi="宋体" w:cs="宋体"/>
                <w:sz w:val="18"/>
                <w:szCs w:val="18"/>
              </w:rPr>
            </w:pPr>
          </w:p>
        </w:tc>
      </w:tr>
      <w:tr w14:paraId="741B828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22202FBB">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14:paraId="349EC197">
            <w:pPr>
              <w:spacing w:line="320" w:lineRule="exact"/>
              <w:jc w:val="left"/>
              <w:rPr>
                <w:rFonts w:ascii="宋体" w:hAnsi="宋体" w:cs="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46A4FDC1">
            <w:pPr>
              <w:spacing w:line="320" w:lineRule="exact"/>
              <w:jc w:val="left"/>
              <w:rPr>
                <w:rFonts w:ascii="宋体" w:hAnsi="宋体" w:cs="宋体"/>
                <w:sz w:val="18"/>
                <w:szCs w:val="18"/>
              </w:rPr>
            </w:pPr>
            <w:r>
              <w:rPr>
                <w:rFonts w:hint="eastAsia" w:ascii="宋体" w:hAnsi="宋体" w:cs="宋体"/>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1BF6C076">
            <w:pPr>
              <w:spacing w:line="320" w:lineRule="exact"/>
              <w:jc w:val="left"/>
              <w:rPr>
                <w:rFonts w:ascii="宋体" w:hAnsi="宋体" w:cs="宋体"/>
                <w:sz w:val="18"/>
                <w:szCs w:val="18"/>
              </w:rPr>
            </w:pPr>
          </w:p>
        </w:tc>
      </w:tr>
      <w:tr w14:paraId="0398C3B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153B18B2">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14:paraId="1DF9C126">
            <w:pPr>
              <w:spacing w:line="320" w:lineRule="exact"/>
              <w:jc w:val="left"/>
              <w:rPr>
                <w:rFonts w:ascii="宋体" w:hAnsi="宋体" w:cs="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548A5719">
            <w:pPr>
              <w:spacing w:line="320" w:lineRule="exact"/>
              <w:jc w:val="left"/>
              <w:rPr>
                <w:rFonts w:ascii="宋体" w:hAnsi="宋体" w:cs="宋体"/>
                <w:sz w:val="18"/>
                <w:szCs w:val="18"/>
              </w:rPr>
            </w:pPr>
            <w:r>
              <w:rPr>
                <w:rFonts w:hint="eastAsia" w:ascii="宋体" w:hAnsi="宋体" w:cs="宋体"/>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14:paraId="5FBFE8DB">
            <w:pPr>
              <w:spacing w:line="320" w:lineRule="exact"/>
              <w:jc w:val="left"/>
              <w:rPr>
                <w:rFonts w:ascii="宋体" w:hAnsi="宋体" w:cs="宋体"/>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14:paraId="1F991B9A">
            <w:pPr>
              <w:spacing w:line="280" w:lineRule="exact"/>
              <w:jc w:val="left"/>
              <w:rPr>
                <w:rFonts w:ascii="宋体" w:hAnsi="宋体" w:cs="宋体"/>
                <w:sz w:val="18"/>
                <w:szCs w:val="18"/>
              </w:rPr>
            </w:pPr>
            <w:r>
              <w:rPr>
                <w:rFonts w:hint="eastAsia" w:ascii="宋体" w:hAnsi="宋体" w:cs="宋体"/>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14:paraId="22A880ED">
            <w:pPr>
              <w:spacing w:line="320" w:lineRule="exact"/>
              <w:jc w:val="left"/>
              <w:rPr>
                <w:rFonts w:ascii="宋体" w:hAnsi="宋体" w:cs="宋体"/>
                <w:sz w:val="18"/>
                <w:szCs w:val="18"/>
              </w:rPr>
            </w:pPr>
          </w:p>
        </w:tc>
      </w:tr>
      <w:tr w14:paraId="274C9CE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14:paraId="27F8B58C">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14:paraId="53AEB67F">
            <w:pPr>
              <w:spacing w:line="320" w:lineRule="exact"/>
              <w:jc w:val="left"/>
              <w:rPr>
                <w:rFonts w:ascii="宋体" w:hAnsi="宋体" w:cs="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3D915DC2">
            <w:pPr>
              <w:spacing w:line="320" w:lineRule="exact"/>
              <w:jc w:val="left"/>
              <w:rPr>
                <w:rFonts w:ascii="宋体" w:hAnsi="宋体" w:cs="宋体"/>
                <w:sz w:val="18"/>
                <w:szCs w:val="18"/>
              </w:rPr>
            </w:pPr>
            <w:r>
              <w:rPr>
                <w:rFonts w:hint="eastAsia" w:ascii="宋体" w:hAnsi="宋体" w:cs="宋体"/>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3F0AD8A2">
            <w:pPr>
              <w:spacing w:line="320" w:lineRule="exact"/>
              <w:jc w:val="left"/>
              <w:rPr>
                <w:rFonts w:ascii="宋体" w:hAnsi="宋体" w:cs="宋体"/>
                <w:sz w:val="18"/>
                <w:szCs w:val="18"/>
              </w:rPr>
            </w:pPr>
          </w:p>
        </w:tc>
      </w:tr>
      <w:tr w14:paraId="290A59D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tcBorders>
              <w:bottom w:val="single" w:color="auto" w:sz="12" w:space="0"/>
            </w:tcBorders>
            <w:shd w:val="solid" w:color="FFFFFF" w:fill="FFFFFF"/>
            <w:vAlign w:val="center"/>
          </w:tcPr>
          <w:p w14:paraId="437695BD">
            <w:pPr>
              <w:spacing w:line="320" w:lineRule="exact"/>
              <w:jc w:val="left"/>
              <w:rPr>
                <w:rFonts w:ascii="宋体" w:hAnsi="宋体" w:cs="宋体"/>
                <w:b/>
                <w:bCs/>
                <w:sz w:val="18"/>
                <w:szCs w:val="18"/>
              </w:rPr>
            </w:pPr>
          </w:p>
        </w:tc>
        <w:tc>
          <w:tcPr>
            <w:tcW w:w="635" w:type="dxa"/>
            <w:vMerge w:val="continue"/>
            <w:tcBorders>
              <w:bottom w:val="single" w:color="auto" w:sz="12" w:space="0"/>
              <w:right w:val="single" w:color="auto" w:sz="12" w:space="0"/>
            </w:tcBorders>
            <w:shd w:val="solid" w:color="FFFFFF" w:fill="FFFFFF"/>
            <w:vAlign w:val="center"/>
          </w:tcPr>
          <w:p w14:paraId="0EA3DEFB">
            <w:pPr>
              <w:spacing w:line="320" w:lineRule="exact"/>
              <w:jc w:val="left"/>
              <w:rPr>
                <w:rFonts w:ascii="宋体" w:hAnsi="宋体" w:cs="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14:paraId="6DE6A61C">
            <w:pPr>
              <w:spacing w:line="320" w:lineRule="exact"/>
              <w:jc w:val="left"/>
              <w:rPr>
                <w:rFonts w:ascii="宋体" w:hAnsi="宋体" w:cs="宋体"/>
                <w:sz w:val="18"/>
                <w:szCs w:val="18"/>
              </w:rPr>
            </w:pPr>
            <w:r>
              <w:rPr>
                <w:rFonts w:hint="eastAsia" w:ascii="宋体" w:hAnsi="宋体" w:cs="宋体"/>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14:paraId="7503D340">
            <w:pPr>
              <w:spacing w:line="320" w:lineRule="exact"/>
              <w:jc w:val="left"/>
              <w:rPr>
                <w:rFonts w:ascii="宋体" w:hAnsi="宋体" w:cs="宋体"/>
                <w:sz w:val="18"/>
                <w:szCs w:val="18"/>
              </w:rPr>
            </w:pPr>
          </w:p>
        </w:tc>
      </w:tr>
      <w:tr w14:paraId="4EBD543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14:paraId="634A9381">
            <w:pPr>
              <w:widowControl w:val="0"/>
              <w:pBdr>
                <w:bottom w:val="none" w:color="auto" w:sz="0" w:space="0"/>
              </w:pBdr>
              <w:snapToGrid w:val="0"/>
              <w:spacing w:line="320" w:lineRule="exact"/>
              <w:jc w:val="center"/>
              <w:rPr>
                <w:rFonts w:ascii="宋体" w:hAnsi="宋体" w:eastAsiaTheme="minorEastAsia" w:cstheme="minorBidi"/>
                <w:kern w:val="2"/>
                <w:sz w:val="28"/>
                <w:szCs w:val="28"/>
                <w:lang w:val="en-US" w:eastAsia="zh-CN" w:bidi="ar-SA"/>
              </w:rPr>
            </w:pPr>
          </w:p>
        </w:tc>
      </w:tr>
      <w:tr w14:paraId="6348159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vMerge w:val="restart"/>
            <w:shd w:val="solid" w:color="FFFFFF" w:fill="FFFFFF"/>
            <w:vAlign w:val="center"/>
          </w:tcPr>
          <w:p w14:paraId="12909E23">
            <w:pPr>
              <w:spacing w:line="320" w:lineRule="exact"/>
              <w:jc w:val="left"/>
              <w:rPr>
                <w:rFonts w:ascii="宋体" w:hAnsi="宋体" w:cs="宋体"/>
                <w:b/>
                <w:bCs/>
                <w:sz w:val="18"/>
                <w:szCs w:val="18"/>
              </w:rPr>
            </w:pPr>
            <w:r>
              <w:rPr>
                <w:rFonts w:hint="eastAsia" w:ascii="宋体" w:hAnsi="宋体" w:cs="宋体"/>
                <w:b/>
                <w:bCs/>
                <w:sz w:val="18"/>
                <w:szCs w:val="18"/>
              </w:rPr>
              <w:t>销售</w:t>
            </w:r>
            <w:r>
              <w:rPr>
                <w:rFonts w:ascii="宋体" w:hAnsi="宋体" w:cs="宋体"/>
                <w:b/>
                <w:bCs/>
                <w:sz w:val="18"/>
                <w:szCs w:val="18"/>
              </w:rPr>
              <w:t>机构信息</w:t>
            </w:r>
          </w:p>
        </w:tc>
        <w:tc>
          <w:tcPr>
            <w:tcW w:w="1720" w:type="dxa"/>
            <w:gridSpan w:val="2"/>
            <w:shd w:val="solid" w:color="FFFFFF" w:fill="FFFFFF"/>
            <w:vAlign w:val="center"/>
          </w:tcPr>
          <w:p w14:paraId="0C40E319">
            <w:pPr>
              <w:spacing w:line="320" w:lineRule="exact"/>
              <w:jc w:val="left"/>
              <w:rPr>
                <w:rFonts w:ascii="宋体" w:hAnsi="宋体" w:cs="宋体"/>
                <w:sz w:val="18"/>
                <w:szCs w:val="18"/>
              </w:rPr>
            </w:pPr>
            <w:r>
              <w:rPr>
                <w:rFonts w:hint="eastAsia" w:ascii="Calibri" w:hAnsi="宋体" w:cs="宋体"/>
                <w:sz w:val="18"/>
                <w:szCs w:val="18"/>
              </w:rPr>
              <w:t>★</w:t>
            </w:r>
            <w:r>
              <w:rPr>
                <w:rFonts w:hint="eastAsia" w:ascii="宋体" w:hAnsi="宋体" w:cs="宋体"/>
                <w:sz w:val="18"/>
                <w:szCs w:val="18"/>
              </w:rPr>
              <w:t>销售性质</w:t>
            </w:r>
          </w:p>
        </w:tc>
        <w:tc>
          <w:tcPr>
            <w:tcW w:w="5061" w:type="dxa"/>
            <w:gridSpan w:val="3"/>
            <w:shd w:val="solid" w:color="FFFFFF" w:fill="FFFFFF"/>
            <w:vAlign w:val="center"/>
          </w:tcPr>
          <w:p w14:paraId="6E56EE7A">
            <w:pPr>
              <w:spacing w:line="320" w:lineRule="exact"/>
              <w:jc w:val="left"/>
              <w:rPr>
                <w:rFonts w:cs="宋体" w:asciiTheme="majorEastAsia" w:hAnsiTheme="majorEastAsia" w:eastAsiaTheme="majorEastAsia"/>
                <w:sz w:val="18"/>
                <w:szCs w:val="18"/>
              </w:rPr>
            </w:pPr>
            <w:r>
              <w:rPr>
                <w:rFonts w:hint="eastAsia" w:cs="宋体" w:asciiTheme="majorEastAsia" w:hAnsiTheme="majorEastAsia" w:eastAsiaTheme="majorEastAsia"/>
                <w:sz w:val="18"/>
                <w:szCs w:val="18"/>
              </w:rPr>
              <w:t>□</w:t>
            </w:r>
            <w:r>
              <w:rPr>
                <w:rFonts w:cs="宋体" w:asciiTheme="majorEastAsia" w:hAnsiTheme="majorEastAsia" w:eastAsiaTheme="majorEastAsia"/>
                <w:sz w:val="18"/>
                <w:szCs w:val="18"/>
              </w:rPr>
              <w:t xml:space="preserve"> </w:t>
            </w:r>
            <w:r>
              <w:rPr>
                <w:rFonts w:hint="eastAsia" w:cs="宋体" w:asciiTheme="majorEastAsia" w:hAnsiTheme="majorEastAsia" w:eastAsiaTheme="majorEastAsia"/>
                <w:sz w:val="18"/>
                <w:szCs w:val="18"/>
              </w:rPr>
              <w:t>直销：产品管理人销售</w:t>
            </w:r>
          </w:p>
          <w:p w14:paraId="24D8BACC">
            <w:pPr>
              <w:spacing w:line="320" w:lineRule="exact"/>
              <w:jc w:val="left"/>
              <w:rPr>
                <w:rFonts w:ascii="宋体" w:hAnsi="宋体" w:cs="宋体"/>
                <w:sz w:val="18"/>
                <w:szCs w:val="18"/>
              </w:rPr>
            </w:pPr>
            <w:r>
              <w:rPr>
                <w:rFonts w:hint="eastAsia" w:cs="宋体" w:asciiTheme="majorEastAsia" w:hAnsiTheme="majorEastAsia" w:eastAsiaTheme="majorEastAsia"/>
                <w:sz w:val="18"/>
                <w:szCs w:val="18"/>
              </w:rPr>
              <w:t>■</w:t>
            </w:r>
            <w:r>
              <w:rPr>
                <w:rFonts w:cs="宋体" w:asciiTheme="majorEastAsia" w:hAnsiTheme="majorEastAsia" w:eastAsiaTheme="majorEastAsia"/>
                <w:sz w:val="18"/>
                <w:szCs w:val="18"/>
              </w:rPr>
              <w:t xml:space="preserve"> </w:t>
            </w:r>
            <w:r>
              <w:rPr>
                <w:rFonts w:hint="eastAsia" w:cs="宋体" w:asciiTheme="majorEastAsia" w:hAnsiTheme="majorEastAsia" w:eastAsiaTheme="majorEastAsia"/>
                <w:sz w:val="18"/>
                <w:szCs w:val="18"/>
              </w:rPr>
              <w:t>代销：代理</w:t>
            </w:r>
            <w:r>
              <w:rPr>
                <w:rFonts w:cs="宋体" w:asciiTheme="majorEastAsia" w:hAnsiTheme="majorEastAsia" w:eastAsiaTheme="majorEastAsia"/>
                <w:sz w:val="18"/>
                <w:szCs w:val="18"/>
              </w:rPr>
              <w:t>销售机构</w:t>
            </w:r>
            <w:r>
              <w:rPr>
                <w:rFonts w:hint="eastAsia" w:cs="宋体" w:asciiTheme="majorEastAsia" w:hAnsiTheme="majorEastAsia" w:eastAsiaTheme="majorEastAsia"/>
                <w:sz w:val="18"/>
                <w:szCs w:val="18"/>
              </w:rPr>
              <w:t>销售</w:t>
            </w:r>
          </w:p>
        </w:tc>
      </w:tr>
      <w:tr w14:paraId="322913E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14:paraId="42A3842B">
            <w:pPr>
              <w:spacing w:line="320" w:lineRule="exact"/>
              <w:jc w:val="left"/>
              <w:rPr>
                <w:rFonts w:ascii="宋体" w:hAnsi="宋体" w:cs="宋体"/>
                <w:b/>
                <w:bCs/>
                <w:sz w:val="18"/>
                <w:szCs w:val="18"/>
              </w:rPr>
            </w:pPr>
          </w:p>
        </w:tc>
        <w:tc>
          <w:tcPr>
            <w:tcW w:w="1720" w:type="dxa"/>
            <w:gridSpan w:val="2"/>
            <w:shd w:val="solid" w:color="FFFFFF" w:fill="FFFFFF"/>
            <w:vAlign w:val="center"/>
          </w:tcPr>
          <w:p w14:paraId="5C005CB3">
            <w:pPr>
              <w:spacing w:line="320" w:lineRule="exact"/>
              <w:jc w:val="left"/>
              <w:rPr>
                <w:rFonts w:ascii="宋体" w:hAnsi="宋体" w:cs="宋体"/>
                <w:sz w:val="18"/>
                <w:szCs w:val="18"/>
              </w:rPr>
            </w:pPr>
            <w:r>
              <w:rPr>
                <w:rFonts w:hint="eastAsia" w:ascii="宋体" w:hAnsi="宋体" w:cs="宋体"/>
                <w:sz w:val="18"/>
                <w:szCs w:val="18"/>
              </w:rPr>
              <w:t>机构名称</w:t>
            </w:r>
          </w:p>
        </w:tc>
        <w:tc>
          <w:tcPr>
            <w:tcW w:w="5061" w:type="dxa"/>
            <w:gridSpan w:val="3"/>
            <w:shd w:val="solid" w:color="FFFFFF" w:fill="FFFFFF"/>
            <w:vAlign w:val="center"/>
          </w:tcPr>
          <w:p w14:paraId="27E973A0">
            <w:pPr>
              <w:spacing w:line="320" w:lineRule="exact"/>
              <w:jc w:val="left"/>
              <w:rPr>
                <w:rFonts w:ascii="宋体" w:hAnsi="宋体" w:cs="宋体"/>
                <w:sz w:val="18"/>
                <w:szCs w:val="18"/>
              </w:rPr>
            </w:pPr>
            <w:r>
              <w:rPr>
                <w:rFonts w:hint="eastAsia" w:ascii="宋体" w:hAnsi="宋体" w:cs="宋体"/>
                <w:sz w:val="18"/>
                <w:szCs w:val="18"/>
              </w:rPr>
              <w:t>【】</w:t>
            </w:r>
          </w:p>
        </w:tc>
      </w:tr>
      <w:tr w14:paraId="6FB7F57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14:paraId="6611D447">
            <w:pPr>
              <w:spacing w:line="320" w:lineRule="exact"/>
              <w:jc w:val="left"/>
              <w:rPr>
                <w:rFonts w:ascii="宋体" w:hAnsi="宋体" w:cs="宋体"/>
                <w:b/>
                <w:bCs/>
                <w:sz w:val="18"/>
                <w:szCs w:val="18"/>
              </w:rPr>
            </w:pPr>
          </w:p>
        </w:tc>
        <w:tc>
          <w:tcPr>
            <w:tcW w:w="1720" w:type="dxa"/>
            <w:gridSpan w:val="2"/>
            <w:tcBorders>
              <w:bottom w:val="single" w:color="auto" w:sz="12" w:space="0"/>
            </w:tcBorders>
            <w:shd w:val="solid" w:color="FFFFFF" w:fill="FFFFFF"/>
            <w:vAlign w:val="center"/>
          </w:tcPr>
          <w:p w14:paraId="00871C69">
            <w:pPr>
              <w:spacing w:line="320" w:lineRule="exact"/>
              <w:jc w:val="left"/>
              <w:rPr>
                <w:rFonts w:ascii="宋体" w:hAnsi="宋体" w:cs="宋体"/>
                <w:sz w:val="18"/>
                <w:szCs w:val="18"/>
              </w:rPr>
            </w:pPr>
            <w:r>
              <w:rPr>
                <w:rFonts w:hint="eastAsia" w:ascii="宋体" w:hAnsi="宋体" w:cs="宋体"/>
                <w:sz w:val="18"/>
                <w:szCs w:val="18"/>
              </w:rPr>
              <w:t>机构简介</w:t>
            </w:r>
          </w:p>
        </w:tc>
        <w:tc>
          <w:tcPr>
            <w:tcW w:w="5061" w:type="dxa"/>
            <w:gridSpan w:val="3"/>
            <w:tcBorders>
              <w:bottom w:val="single" w:color="auto" w:sz="12" w:space="0"/>
            </w:tcBorders>
            <w:shd w:val="solid" w:color="FFFFFF" w:fill="FFFFFF"/>
            <w:vAlign w:val="center"/>
          </w:tcPr>
          <w:p w14:paraId="4D403634">
            <w:pPr>
              <w:widowControl w:val="0"/>
              <w:autoSpaceDE w:val="0"/>
              <w:autoSpaceDN w:val="0"/>
              <w:adjustRightInd w:val="0"/>
              <w:jc w:val="both"/>
              <w:rPr>
                <w:rFonts w:ascii="宋体" w:hAnsi="Calibri" w:eastAsia="宋体" w:cs="宋体"/>
                <w:color w:val="000000"/>
                <w:sz w:val="24"/>
                <w:szCs w:val="24"/>
                <w:lang w:val="en-US" w:eastAsia="zh-CN" w:bidi="ar-SA"/>
              </w:rPr>
            </w:pPr>
            <w:r>
              <w:rPr>
                <w:rFonts w:hint="eastAsia" w:cs="宋体" w:asciiTheme="majorEastAsia" w:hAnsiTheme="majorEastAsia" w:eastAsiaTheme="majorEastAsia"/>
                <w:color w:val="000000"/>
                <w:sz w:val="18"/>
                <w:szCs w:val="18"/>
                <w:lang w:val="en-US" w:eastAsia="zh-CN" w:bidi="ar-SA"/>
              </w:rPr>
              <w:t>【】</w:t>
            </w:r>
          </w:p>
        </w:tc>
      </w:tr>
      <w:tr w14:paraId="5AED794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14:paraId="6648605A">
            <w:pPr>
              <w:spacing w:line="320" w:lineRule="exact"/>
              <w:jc w:val="left"/>
              <w:rPr>
                <w:rFonts w:ascii="宋体" w:hAnsi="宋体" w:cs="宋体"/>
                <w:bCs/>
                <w:sz w:val="18"/>
                <w:szCs w:val="18"/>
              </w:rPr>
            </w:pPr>
          </w:p>
        </w:tc>
      </w:tr>
      <w:tr w14:paraId="3730FBD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shd w:val="solid" w:color="FFFFFF" w:fill="FFFFFF"/>
            <w:vAlign w:val="center"/>
          </w:tcPr>
          <w:p w14:paraId="74843AFC">
            <w:pPr>
              <w:widowControl w:val="0"/>
              <w:pBdr>
                <w:bottom w:val="none" w:color="auto" w:sz="0" w:space="0"/>
              </w:pBdr>
              <w:snapToGrid/>
              <w:spacing w:line="320" w:lineRule="exact"/>
              <w:jc w:val="center"/>
              <w:rPr>
                <w:rFonts w:ascii="宋体" w:hAnsi="宋体" w:eastAsiaTheme="minorEastAsia" w:cstheme="minorBidi"/>
                <w:b/>
                <w:kern w:val="2"/>
                <w:sz w:val="18"/>
                <w:szCs w:val="18"/>
                <w:lang w:val="en-US" w:eastAsia="zh-CN" w:bidi="ar-SA"/>
              </w:rPr>
            </w:pPr>
            <w:r>
              <w:rPr>
                <w:rFonts w:hint="eastAsia" w:ascii="宋体" w:hAnsi="宋体" w:eastAsiaTheme="minorEastAsia" w:cstheme="minorBidi"/>
                <w:b/>
                <w:kern w:val="2"/>
                <w:sz w:val="18"/>
                <w:szCs w:val="18"/>
                <w:lang w:val="en-US" w:eastAsia="zh-CN" w:bidi="ar-SA"/>
              </w:rPr>
              <w:t>理财产品指定账户信息</w:t>
            </w:r>
          </w:p>
        </w:tc>
        <w:tc>
          <w:tcPr>
            <w:tcW w:w="6781" w:type="dxa"/>
            <w:gridSpan w:val="5"/>
            <w:shd w:val="solid" w:color="FFFFFF" w:fill="FFFFFF"/>
            <w:vAlign w:val="center"/>
          </w:tcPr>
          <w:p w14:paraId="308A28AB">
            <w:pPr>
              <w:widowControl w:val="0"/>
              <w:pBdr>
                <w:bottom w:val="none" w:color="auto" w:sz="0" w:space="0"/>
              </w:pBdr>
              <w:snapToGrid/>
              <w:spacing w:line="320" w:lineRule="exact"/>
              <w:jc w:val="left"/>
              <w:rPr>
                <w:rFonts w:ascii="宋体" w:hAnsi="宋体" w:eastAsiaTheme="minorEastAsia" w:cstheme="minorBidi"/>
                <w:b/>
                <w:kern w:val="2"/>
                <w:sz w:val="18"/>
                <w:szCs w:val="18"/>
                <w:lang w:val="en-US" w:eastAsia="zh-CN" w:bidi="ar-SA"/>
              </w:rPr>
            </w:pPr>
            <w:r>
              <w:rPr>
                <w:rFonts w:hint="eastAsia" w:ascii="宋体" w:hAnsi="宋体" w:eastAsiaTheme="minorEastAsia" w:cstheme="minorBidi"/>
                <w:kern w:val="2"/>
                <w:sz w:val="18"/>
                <w:szCs w:val="18"/>
                <w:lang w:val="en-US" w:eastAsia="zh-CN" w:bidi="ar-SA"/>
              </w:rPr>
              <w:t>投资者</w:t>
            </w:r>
            <w:r>
              <w:rPr>
                <w:rFonts w:ascii="宋体" w:hAnsi="宋体" w:eastAsiaTheme="minorEastAsia" w:cstheme="minorBidi"/>
                <w:kern w:val="2"/>
                <w:sz w:val="18"/>
                <w:szCs w:val="18"/>
                <w:lang w:val="en-US" w:eastAsia="zh-CN" w:bidi="ar-SA"/>
              </w:rPr>
              <w:t>在销售机构开立</w:t>
            </w:r>
            <w:r>
              <w:rPr>
                <w:rFonts w:hint="eastAsia" w:ascii="宋体" w:hAnsi="宋体" w:eastAsiaTheme="minorEastAsia" w:cstheme="minorBidi"/>
                <w:kern w:val="2"/>
                <w:sz w:val="18"/>
                <w:szCs w:val="18"/>
                <w:lang w:val="en-US" w:eastAsia="zh-CN" w:bidi="ar-SA"/>
              </w:rPr>
              <w:t>理财卡结算账户</w:t>
            </w:r>
            <w:r>
              <w:rPr>
                <w:rFonts w:hint="eastAsia" w:ascii="宋体" w:hAnsi="宋体" w:eastAsiaTheme="minorEastAsia" w:cstheme="minorBidi"/>
                <w:spacing w:val="-6"/>
                <w:kern w:val="2"/>
                <w:sz w:val="18"/>
                <w:szCs w:val="18"/>
                <w:lang w:val="en-US" w:eastAsia="zh-CN" w:bidi="ar-SA"/>
              </w:rPr>
              <w:t>或存折结算账户（</w:t>
            </w:r>
            <w:r>
              <w:rPr>
                <w:rFonts w:hint="eastAsia" w:ascii="宋体" w:hAnsi="宋体" w:eastAsiaTheme="minorEastAsia" w:cstheme="minorBidi"/>
                <w:kern w:val="2"/>
                <w:sz w:val="18"/>
                <w:szCs w:val="18"/>
                <w:lang w:val="en-US" w:eastAsia="zh-CN" w:bidi="ar-SA"/>
              </w:rPr>
              <w:t>以下简称“指定账户”），</w:t>
            </w:r>
            <w:r>
              <w:rPr>
                <w:rFonts w:ascii="宋体" w:hAnsi="宋体" w:eastAsiaTheme="minorEastAsia" w:cstheme="minorBidi"/>
                <w:kern w:val="2"/>
                <w:sz w:val="18"/>
                <w:szCs w:val="18"/>
                <w:lang w:val="en-US" w:eastAsia="zh-CN" w:bidi="ar-SA"/>
              </w:rPr>
              <w:t>用于</w:t>
            </w:r>
            <w:r>
              <w:rPr>
                <w:rFonts w:hint="eastAsia" w:ascii="宋体" w:hAnsi="宋体" w:eastAsiaTheme="minorEastAsia" w:cstheme="minorBidi"/>
                <w:kern w:val="2"/>
                <w:sz w:val="18"/>
                <w:szCs w:val="18"/>
                <w:lang w:val="en-US" w:eastAsia="zh-CN" w:bidi="ar-SA"/>
              </w:rPr>
              <w:t>本产品的</w:t>
            </w:r>
            <w:r>
              <w:rPr>
                <w:rFonts w:ascii="宋体" w:hAnsi="宋体" w:eastAsiaTheme="minorEastAsia" w:cstheme="minorBidi"/>
                <w:kern w:val="2"/>
                <w:sz w:val="18"/>
                <w:szCs w:val="18"/>
                <w:lang w:val="en-US" w:eastAsia="zh-CN" w:bidi="ar-SA"/>
              </w:rPr>
              <w:t>资金划转及</w:t>
            </w:r>
            <w:r>
              <w:rPr>
                <w:rFonts w:hint="eastAsia" w:ascii="宋体" w:hAnsi="宋体" w:eastAsiaTheme="minorEastAsia" w:cstheme="minorBidi"/>
                <w:kern w:val="2"/>
                <w:sz w:val="18"/>
                <w:szCs w:val="18"/>
                <w:lang w:val="en-US" w:eastAsia="zh-CN" w:bidi="ar-SA"/>
              </w:rPr>
              <w:t>产品分配，账号：</w:t>
            </w:r>
            <w:r>
              <w:rPr>
                <w:rFonts w:ascii="宋体" w:hAnsi="宋体" w:eastAsiaTheme="minorEastAsia" w:cstheme="minorBidi"/>
                <w:kern w:val="2"/>
                <w:sz w:val="18"/>
                <w:szCs w:val="18"/>
                <w:u w:val="single"/>
                <w:lang w:val="en-US" w:eastAsia="zh-CN" w:bidi="ar-SA"/>
              </w:rPr>
              <w:t xml:space="preserve">　                     </w:t>
            </w:r>
            <w:r>
              <w:rPr>
                <w:rFonts w:hint="eastAsia" w:ascii="宋体" w:hAnsi="宋体" w:eastAsiaTheme="minorEastAsia" w:cstheme="minorBidi"/>
                <w:kern w:val="2"/>
                <w:sz w:val="18"/>
                <w:szCs w:val="18"/>
                <w:lang w:val="en-US" w:eastAsia="zh-CN" w:bidi="ar-SA"/>
              </w:rPr>
              <w:t>。</w:t>
            </w:r>
          </w:p>
        </w:tc>
      </w:tr>
    </w:tbl>
    <w:p w14:paraId="4E8A1F74">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14:paraId="79D1A904">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14:paraId="26F74774">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cs="宋体"/>
          <w:sz w:val="18"/>
          <w:szCs w:val="18"/>
        </w:rPr>
        <w:t>甲乙双方经友好协商，本着平等自愿、诚实信用的原则，达成协议如下：</w:t>
      </w:r>
    </w:p>
    <w:p w14:paraId="793D6E36">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14:paraId="1B76430F">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第一条 重要提示</w:t>
      </w:r>
    </w:p>
    <w:p w14:paraId="7C52C018">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14:paraId="005F90CA">
      <w:pPr>
        <w:widowControl/>
        <w:spacing w:line="360" w:lineRule="auto"/>
        <w:jc w:val="left"/>
        <w:rPr>
          <w:rFonts w:ascii="黑体" w:hAnsi="黑体" w:eastAsia="黑体" w:cs="仿宋_GB2312"/>
          <w:kern w:val="0"/>
          <w:sz w:val="18"/>
          <w:szCs w:val="18"/>
        </w:rPr>
      </w:pPr>
      <w:r>
        <w:rPr>
          <w:rFonts w:hint="eastAsia" w:ascii="黑体" w:hAnsi="黑体" w:eastAsia="黑体" w:cs="宋体"/>
          <w:bCs/>
          <w:sz w:val="18"/>
          <w:szCs w:val="18"/>
        </w:rPr>
        <w:t>□</w:t>
      </w:r>
      <w:r>
        <w:rPr>
          <w:rFonts w:ascii="黑体" w:hAnsi="黑体" w:eastAsia="黑体" w:cs="宋体"/>
          <w:bCs/>
          <w:sz w:val="18"/>
          <w:szCs w:val="18"/>
        </w:rPr>
        <w:t xml:space="preserve"> </w:t>
      </w:r>
      <w:r>
        <w:rPr>
          <w:rFonts w:hint="eastAsia" w:ascii="黑体" w:hAnsi="黑体" w:eastAsia="黑体" w:cs="仿宋_GB2312"/>
          <w:kern w:val="0"/>
          <w:sz w:val="18"/>
          <w:szCs w:val="18"/>
        </w:rPr>
        <w:t>直销适用</w:t>
      </w:r>
    </w:p>
    <w:p w14:paraId="7B46BF6A">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为乙方所发行的理财产品，乙方既作为理财产品的销售机构，又是理财产品管理人，对理财产品的业绩不承担任何保证和其他经济责任。乙方受理的销售理财产品业务申请，以产品管理人的最终确认结果为准。</w:t>
      </w:r>
    </w:p>
    <w:p w14:paraId="4EC374A2">
      <w:pPr>
        <w:widowControl/>
        <w:spacing w:line="360" w:lineRule="auto"/>
        <w:jc w:val="left"/>
        <w:rPr>
          <w:rFonts w:ascii="黑体" w:hAnsi="黑体" w:eastAsia="黑体" w:cs="仿宋_GB2312"/>
          <w:kern w:val="0"/>
          <w:sz w:val="18"/>
          <w:szCs w:val="18"/>
        </w:rPr>
      </w:pPr>
      <w:r>
        <w:rPr>
          <w:rFonts w:hint="eastAsia" w:ascii="黑体" w:hAnsi="黑体" w:eastAsia="黑体" w:cs="宋体"/>
          <w:bCs/>
          <w:sz w:val="18"/>
          <w:szCs w:val="18"/>
        </w:rPr>
        <w:t>□</w:t>
      </w:r>
      <w:r>
        <w:rPr>
          <w:rFonts w:ascii="黑体" w:hAnsi="黑体" w:eastAsia="黑体" w:cs="宋体"/>
          <w:bCs/>
          <w:sz w:val="18"/>
          <w:szCs w:val="18"/>
        </w:rPr>
        <w:t xml:space="preserve"> </w:t>
      </w:r>
      <w:r>
        <w:rPr>
          <w:rFonts w:hint="eastAsia" w:ascii="黑体" w:hAnsi="黑体" w:eastAsia="黑体" w:cs="仿宋_GB2312"/>
          <w:kern w:val="0"/>
          <w:sz w:val="18"/>
          <w:szCs w:val="18"/>
        </w:rPr>
        <w:t>代销适用</w:t>
      </w:r>
    </w:p>
    <w:p w14:paraId="7107B81F">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14:paraId="3BB8A38F">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hint="eastAsia" w:ascii="宋体" w:hAnsi="宋体" w:cs="仿宋_GB2312"/>
          <w:kern w:val="0"/>
          <w:sz w:val="18"/>
          <w:szCs w:val="18"/>
        </w:rPr>
        <w:t>》《产品说明书》《（代理）销售</w:t>
      </w:r>
      <w:r>
        <w:rPr>
          <w:rFonts w:ascii="宋体" w:hAnsi="宋体" w:cs="仿宋_GB2312"/>
          <w:kern w:val="0"/>
          <w:sz w:val="18"/>
          <w:szCs w:val="18"/>
        </w:rPr>
        <w:t>协议书</w:t>
      </w:r>
      <w:r>
        <w:rPr>
          <w:rFonts w:hint="eastAsia" w:ascii="宋体" w:hAnsi="宋体" w:cs="仿宋_GB2312"/>
          <w:kern w:val="0"/>
          <w:sz w:val="18"/>
          <w:szCs w:val="18"/>
        </w:rPr>
        <w:t>》《风险揭示书》《投资者权益须知》等完整</w:t>
      </w:r>
      <w:r>
        <w:rPr>
          <w:rFonts w:ascii="宋体" w:hAnsi="宋体" w:cs="仿宋_GB2312"/>
          <w:kern w:val="0"/>
          <w:sz w:val="18"/>
          <w:szCs w:val="18"/>
        </w:rPr>
        <w:t>的</w:t>
      </w:r>
      <w:r>
        <w:rPr>
          <w:rFonts w:hint="eastAsia" w:ascii="宋体" w:hAnsi="宋体" w:cs="仿宋_GB2312"/>
          <w:kern w:val="0"/>
          <w:sz w:val="18"/>
          <w:szCs w:val="18"/>
        </w:rPr>
        <w:t>理财产品销售文件，并充分了解投资者的全部权利与义务以及理财产品的全部风险。</w:t>
      </w:r>
    </w:p>
    <w:p w14:paraId="0D0E60F1">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将理财产品分为【】个风险等级</w:t>
      </w:r>
      <w:r>
        <w:rPr>
          <w:rFonts w:ascii="宋体" w:hAnsi="宋体" w:cs="仿宋_GB2312"/>
          <w:kern w:val="0"/>
          <w:sz w:val="18"/>
          <w:szCs w:val="18"/>
        </w:rPr>
        <w:t>：</w:t>
      </w:r>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14:paraId="43953C8B">
      <w:pPr>
        <w:widowControl/>
        <w:spacing w:line="360" w:lineRule="auto"/>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cs="宋体" w:asciiTheme="majorEastAsia" w:hAnsiTheme="majorEastAsia" w:eastAsiaTheme="majorEastAsia"/>
          <w:bCs/>
          <w:sz w:val="18"/>
          <w:szCs w:val="18"/>
        </w:rPr>
        <w:t>销售机构</w:t>
      </w:r>
      <w:r>
        <w:rPr>
          <w:rFonts w:hint="eastAsia" w:cs="宋体" w:asciiTheme="majorEastAsia" w:hAnsiTheme="majorEastAsia" w:eastAsiaTheme="majorEastAsia"/>
          <w:bCs/>
          <w:sz w:val="18"/>
          <w:szCs w:val="18"/>
        </w:rPr>
        <w:t>应采用对应较高风险的评级结果。</w:t>
      </w:r>
    </w:p>
    <w:p w14:paraId="285D9992">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14:paraId="5F8ECC6F">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14:paraId="60D488BD">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14:paraId="1F004DD9">
      <w:pPr>
        <w:widowControl w:val="0"/>
        <w:autoSpaceDE w:val="0"/>
        <w:autoSpaceDN w:val="0"/>
        <w:adjustRightInd w:val="0"/>
        <w:spacing w:line="360" w:lineRule="auto"/>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（3）</w:t>
      </w:r>
      <w:r>
        <w:rPr>
          <w:rFonts w:hint="eastAsia" w:ascii="宋体" w:hAnsi="宋体" w:eastAsia="宋体" w:cs="仿宋_GB2312"/>
          <w:color w:val="000000"/>
          <w:sz w:val="18"/>
          <w:szCs w:val="18"/>
          <w:lang w:val="en-US" w:eastAsia="zh-CN" w:bidi="ar-SA"/>
        </w:rPr>
        <w:t>甲方应根据风险承受能力选择与其风险承受能力相匹配的风险等级的理财产品，不得购买高于甲方风险承受能力的理财产品。</w:t>
      </w:r>
    </w:p>
    <w:p w14:paraId="348BC51A">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14:paraId="628DF0C9">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（1）甲方为非机构投资者时，甲方购买乙方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14:paraId="2E605111">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（2）其他类型投资者的风险承受能力评估按销售机构的以下销售政策执行：</w:t>
      </w:r>
    </w:p>
    <w:p w14:paraId="20F26701">
      <w:pPr>
        <w:widowControl/>
        <w:spacing w:line="360" w:lineRule="auto"/>
        <w:jc w:val="left"/>
        <w:rPr>
          <w:rFonts w:cs="宋体" w:asciiTheme="majorEastAsia" w:hAnsiTheme="majorEastAsia" w:eastAsiaTheme="majorEastAsia"/>
          <w:sz w:val="18"/>
          <w:szCs w:val="18"/>
        </w:rPr>
      </w:pPr>
      <w:r>
        <w:rPr>
          <w:rFonts w:hint="eastAsia" w:cs="宋体" w:asciiTheme="majorEastAsia" w:hAnsiTheme="majorEastAsia" w:eastAsiaTheme="majorEastAsia"/>
          <w:sz w:val="18"/>
          <w:szCs w:val="18"/>
        </w:rPr>
        <w:sym w:font="Wingdings 2" w:char="00A3"/>
      </w:r>
      <w:r>
        <w:rPr>
          <w:rFonts w:hint="eastAsia" w:cs="宋体" w:asciiTheme="majorEastAsia" w:hAnsiTheme="majorEastAsia" w:eastAsiaTheme="majorEastAsia"/>
          <w:sz w:val="18"/>
          <w:szCs w:val="18"/>
        </w:rPr>
        <w:t xml:space="preserve"> 参照本条第（1）款非机构投资者要求执行；</w:t>
      </w:r>
    </w:p>
    <w:p w14:paraId="6BE4B5D8">
      <w:pPr>
        <w:widowControl/>
        <w:spacing w:line="360" w:lineRule="auto"/>
        <w:jc w:val="left"/>
        <w:rPr>
          <w:rFonts w:cs="宋体" w:asciiTheme="majorEastAsia" w:hAnsiTheme="majorEastAsia" w:eastAsiaTheme="majorEastAsia"/>
          <w:sz w:val="18"/>
          <w:szCs w:val="18"/>
        </w:rPr>
      </w:pPr>
      <w:r>
        <w:rPr>
          <w:rFonts w:hint="eastAsia" w:cs="宋体" w:asciiTheme="majorEastAsia" w:hAnsiTheme="majorEastAsia" w:eastAsiaTheme="majorEastAsia"/>
          <w:sz w:val="18"/>
          <w:szCs w:val="18"/>
        </w:rPr>
        <w:sym w:font="Wingdings 2" w:char="00A3"/>
      </w:r>
      <w:r>
        <w:rPr>
          <w:rFonts w:hint="eastAsia" w:cs="宋体" w:asciiTheme="majorEastAsia" w:hAnsiTheme="majorEastAsia" w:eastAsiaTheme="majorEastAsia"/>
          <w:sz w:val="18"/>
          <w:szCs w:val="18"/>
        </w:rPr>
        <w:t xml:space="preserve"> 其他：</w:t>
      </w:r>
      <w:r>
        <w:rPr>
          <w:rFonts w:hint="eastAsia" w:cs="宋体" w:asciiTheme="majorEastAsia" w:hAnsiTheme="majorEastAsia" w:eastAsiaTheme="majorEastAsia"/>
          <w:sz w:val="18"/>
          <w:szCs w:val="18"/>
          <w:u w:val="single"/>
        </w:rPr>
        <w:t xml:space="preserve">                               。</w:t>
      </w:r>
    </w:p>
    <w:p w14:paraId="7846FE56">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cs="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14:paraId="49F41EC3">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14:paraId="05AD726D">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14:paraId="0395451C">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14:paraId="197273D2">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14:paraId="54D63A64">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14:paraId="7454257F">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w:t>
      </w:r>
      <w:r>
        <w:rPr>
          <w:rFonts w:hint="eastAsia" w:ascii="黑体" w:hAnsi="黑体" w:eastAsia="黑体" w:cs="仿宋_GB2312"/>
          <w:kern w:val="0"/>
          <w:sz w:val="18"/>
          <w:szCs w:val="18"/>
        </w:rPr>
        <w:t>.</w:t>
      </w:r>
      <w:r>
        <w:rPr>
          <w:rFonts w:ascii="黑体" w:hAnsi="黑体" w:eastAsia="黑体" w:cs="仿宋_GB2312"/>
          <w:kern w:val="0"/>
          <w:sz w:val="18"/>
          <w:szCs w:val="18"/>
        </w:rPr>
        <w:t>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14:paraId="1D43D8AA">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14:paraId="2CAF2848">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14:paraId="7E1CBB44">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14:paraId="4C396275">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14:paraId="74BC684E">
      <w:pPr>
        <w:widowControl/>
        <w:spacing w:line="360" w:lineRule="auto"/>
        <w:jc w:val="left"/>
        <w:rPr>
          <w:rFonts w:ascii="宋体" w:hAnsi="宋体" w:cs="仿宋_GB2312"/>
          <w:kern w:val="0"/>
          <w:sz w:val="18"/>
          <w:szCs w:val="18"/>
        </w:rPr>
      </w:pPr>
    </w:p>
    <w:p w14:paraId="4AD4E267">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第二条 免责条款</w:t>
      </w:r>
    </w:p>
    <w:p w14:paraId="532DA1CB">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14:paraId="3D4B58E8">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14:paraId="4FBBE163">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14:paraId="65306051">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14:paraId="2FE307A6">
      <w:pPr>
        <w:widowControl/>
        <w:spacing w:line="360" w:lineRule="auto"/>
        <w:jc w:val="left"/>
        <w:rPr>
          <w:rFonts w:ascii="宋体" w:hAnsi="宋体" w:cs="仿宋_GB2312"/>
          <w:kern w:val="0"/>
          <w:sz w:val="18"/>
          <w:szCs w:val="18"/>
        </w:rPr>
      </w:pPr>
    </w:p>
    <w:p w14:paraId="2E6D2937">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第三条 争议处理</w:t>
      </w:r>
    </w:p>
    <w:p w14:paraId="17D848ED">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14:paraId="50913EEC">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14:paraId="092A18E1">
      <w:pPr>
        <w:widowControl/>
        <w:spacing w:line="360" w:lineRule="auto"/>
        <w:jc w:val="left"/>
        <w:rPr>
          <w:rFonts w:ascii="宋体" w:hAnsi="宋体" w:cs="仿宋_GB2312"/>
          <w:kern w:val="0"/>
          <w:sz w:val="18"/>
          <w:szCs w:val="18"/>
        </w:rPr>
      </w:pPr>
    </w:p>
    <w:p w14:paraId="21B92561">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第四条 协议的生效和终止</w:t>
      </w:r>
    </w:p>
    <w:p w14:paraId="24A11DA5">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1.协议生效</w:t>
      </w:r>
    </w:p>
    <w:p w14:paraId="17A0D8E7">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甲方通过乙方线下渠道购买理财产品的，本协议经甲方签名或盖章且乙方盖柜面业务章后生效（为避免歧义，乙方相关业务人员在本协议的签字仅为乙方内部风险控制要求，并不作为协议成立的条件，下同）。</w:t>
      </w:r>
    </w:p>
    <w:p w14:paraId="5310361F">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14:paraId="0E5F5FB6">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14:paraId="416AE41A">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14:paraId="14F15238">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3.其他</w:t>
      </w:r>
    </w:p>
    <w:p w14:paraId="5D7B7287">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14:paraId="7EF916B4">
      <w:pPr>
        <w:widowControl/>
        <w:spacing w:line="360" w:lineRule="auto"/>
        <w:jc w:val="left"/>
        <w:rPr>
          <w:rFonts w:ascii="宋体" w:hAnsi="宋体" w:cs="仿宋_GB2312"/>
          <w:b/>
          <w:kern w:val="0"/>
          <w:sz w:val="18"/>
          <w:szCs w:val="18"/>
        </w:rPr>
      </w:pPr>
    </w:p>
    <w:p w14:paraId="6A2DB09E">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甲方声明：</w:t>
      </w:r>
    </w:p>
    <w:p w14:paraId="565C5A45">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1)甲方已经收到所购买乙方销售的理财产品的《投资协议书》《产品说明书》《（代理）销售协议书》《风险揭示书》《投资者权益须知》等，并完全理解和接受上述文件的全部内容，清楚了解所购买理财产品的内容及可能出现的风险。甲方的投资决策完全基于甲方的独立自主判断做出，并自愿承担所认购、申购、赎回理财产品所产生的相关风险和不利后果。</w:t>
      </w:r>
    </w:p>
    <w:p w14:paraId="3210614B">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14:paraId="0C8C3555">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14:paraId="3054B253">
      <w:pPr>
        <w:widowControl/>
        <w:jc w:val="left"/>
        <w:rPr>
          <w:rFonts w:ascii="宋体" w:hAnsi="宋体" w:cs="仿宋_GB2312"/>
          <w:b/>
          <w:kern w:val="0"/>
          <w:sz w:val="18"/>
          <w:szCs w:val="18"/>
        </w:rPr>
      </w:pPr>
      <w:r>
        <w:rPr>
          <w:rFonts w:ascii="宋体" w:hAnsi="宋体" w:cs="仿宋_GB2312"/>
          <w:b/>
          <w:kern w:val="0"/>
          <w:sz w:val="18"/>
          <w:szCs w:val="18"/>
        </w:rPr>
        <w:br w:type="page"/>
      </w:r>
    </w:p>
    <w:p w14:paraId="513EF84A">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8"/>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14:paraId="32007E9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14:paraId="5DFF3EBB">
            <w:pPr>
              <w:autoSpaceDE w:val="0"/>
              <w:autoSpaceDN w:val="0"/>
              <w:adjustRightInd w:val="0"/>
              <w:snapToGrid w:val="0"/>
              <w:spacing w:line="360" w:lineRule="auto"/>
              <w:jc w:val="center"/>
              <w:rPr>
                <w:rFonts w:ascii="宋体" w:hAnsi="宋体" w:cs="宋体"/>
                <w:b/>
                <w:kern w:val="0"/>
                <w:sz w:val="18"/>
                <w:szCs w:val="18"/>
              </w:rPr>
            </w:pPr>
            <w:r>
              <w:rPr>
                <w:rFonts w:hint="eastAsia" w:ascii="宋体" w:hAnsi="宋体" w:cs="宋体"/>
                <w:b/>
                <w:kern w:val="0"/>
                <w:sz w:val="18"/>
                <w:szCs w:val="18"/>
              </w:rPr>
              <w:t>签署栏</w:t>
            </w:r>
          </w:p>
        </w:tc>
      </w:tr>
      <w:tr w14:paraId="24879FF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14:paraId="1B26063D">
            <w:pPr>
              <w:tabs>
                <w:tab w:val="left" w:pos="8070"/>
                <w:tab w:val="right" w:pos="8306"/>
              </w:tabs>
              <w:autoSpaceDE w:val="0"/>
              <w:autoSpaceDN w:val="0"/>
              <w:adjustRightInd w:val="0"/>
              <w:snapToGrid w:val="0"/>
              <w:spacing w:line="360" w:lineRule="auto"/>
              <w:jc w:val="center"/>
              <w:rPr>
                <w:rFonts w:ascii="黑体" w:hAnsi="黑体" w:eastAsia="黑体" w:cs="宋体"/>
                <w:kern w:val="0"/>
                <w:sz w:val="18"/>
                <w:szCs w:val="18"/>
              </w:rPr>
            </w:pPr>
            <w:r>
              <w:rPr>
                <w:rFonts w:hint="eastAsia" w:ascii="黑体" w:hAnsi="黑体" w:eastAsia="黑体" w:cs="宋体"/>
                <w:kern w:val="0"/>
                <w:sz w:val="18"/>
                <w:szCs w:val="18"/>
              </w:rPr>
              <w:t>★</w:t>
            </w:r>
          </w:p>
          <w:p w14:paraId="79E0C840">
            <w:pPr>
              <w:tabs>
                <w:tab w:val="left" w:pos="8070"/>
                <w:tab w:val="right" w:pos="8306"/>
              </w:tabs>
              <w:autoSpaceDE w:val="0"/>
              <w:autoSpaceDN w:val="0"/>
              <w:adjustRightInd w:val="0"/>
              <w:snapToGrid w:val="0"/>
              <w:spacing w:line="360" w:lineRule="auto"/>
              <w:jc w:val="center"/>
              <w:rPr>
                <w:rFonts w:ascii="宋体" w:hAnsi="宋体" w:cs="宋体"/>
                <w:b/>
                <w:kern w:val="0"/>
                <w:sz w:val="18"/>
                <w:szCs w:val="18"/>
              </w:rPr>
            </w:pPr>
            <w:r>
              <w:rPr>
                <w:rFonts w:hint="eastAsia" w:ascii="宋体" w:hAnsi="宋体" w:cs="宋体"/>
                <w:b/>
                <w:kern w:val="0"/>
                <w:sz w:val="18"/>
                <w:szCs w:val="18"/>
              </w:rPr>
              <w:t>签署声明</w:t>
            </w:r>
          </w:p>
        </w:tc>
        <w:tc>
          <w:tcPr>
            <w:tcW w:w="7849" w:type="dxa"/>
            <w:gridSpan w:val="2"/>
          </w:tcPr>
          <w:p w14:paraId="16C8FF63">
            <w:pPr>
              <w:tabs>
                <w:tab w:val="left" w:pos="0"/>
                <w:tab w:val="left" w:pos="3600"/>
              </w:tabs>
              <w:spacing w:line="360" w:lineRule="auto"/>
              <w:jc w:val="left"/>
              <w:rPr>
                <w:rFonts w:ascii="黑体" w:hAnsi="黑体" w:eastAsia="黑体" w:cs="宋体"/>
                <w:kern w:val="0"/>
                <w:sz w:val="18"/>
                <w:szCs w:val="18"/>
              </w:rPr>
            </w:pPr>
            <w:r>
              <w:rPr>
                <w:rFonts w:ascii="黑体" w:hAnsi="黑体" w:eastAsia="黑体" w:cs="宋体"/>
                <w:kern w:val="0"/>
                <w:sz w:val="18"/>
                <w:szCs w:val="18"/>
              </w:rPr>
              <w:t>1、在签署本《</w:t>
            </w:r>
            <w:r>
              <w:rPr>
                <w:rFonts w:hint="eastAsia" w:ascii="黑体" w:hAnsi="黑体" w:eastAsia="黑体" w:cs="宋体"/>
                <w:kern w:val="0"/>
                <w:sz w:val="18"/>
                <w:szCs w:val="18"/>
              </w:rPr>
              <w:t>（代理）</w:t>
            </w:r>
            <w:r>
              <w:rPr>
                <w:rFonts w:ascii="黑体" w:hAnsi="黑体" w:eastAsia="黑体" w:cs="宋体"/>
                <w:kern w:val="0"/>
                <w:sz w:val="18"/>
                <w:szCs w:val="18"/>
              </w:rPr>
              <w:t>销售协议书》以前，甲方已认真阅读理财产品销售文件（包括但不限于《</w:t>
            </w:r>
            <w:r>
              <w:rPr>
                <w:rFonts w:hint="eastAsia" w:ascii="黑体" w:hAnsi="黑体" w:eastAsia="黑体" w:cs="宋体"/>
                <w:kern w:val="0"/>
                <w:sz w:val="18"/>
                <w:szCs w:val="18"/>
              </w:rPr>
              <w:t>投资</w:t>
            </w:r>
            <w:r>
              <w:rPr>
                <w:rFonts w:ascii="黑体" w:hAnsi="黑体" w:eastAsia="黑体" w:cs="宋体"/>
                <w:kern w:val="0"/>
                <w:sz w:val="18"/>
                <w:szCs w:val="18"/>
              </w:rPr>
              <w:t>协议书》《产品说明书》</w:t>
            </w:r>
            <w:r>
              <w:rPr>
                <w:rFonts w:hint="eastAsia" w:ascii="黑体" w:hAnsi="黑体" w:eastAsia="黑体" w:cs="宋体"/>
                <w:kern w:val="0"/>
                <w:sz w:val="18"/>
                <w:szCs w:val="18"/>
              </w:rPr>
              <w:t>《（代理）销售</w:t>
            </w:r>
            <w:r>
              <w:rPr>
                <w:rFonts w:ascii="黑体" w:hAnsi="黑体" w:eastAsia="黑体" w:cs="宋体"/>
                <w:kern w:val="0"/>
                <w:sz w:val="18"/>
                <w:szCs w:val="18"/>
              </w:rPr>
              <w:t>协议书</w:t>
            </w:r>
            <w:r>
              <w:rPr>
                <w:rFonts w:hint="eastAsia" w:ascii="黑体" w:hAnsi="黑体" w:eastAsia="黑体" w:cs="宋体"/>
                <w:kern w:val="0"/>
                <w:sz w:val="18"/>
                <w:szCs w:val="18"/>
              </w:rPr>
              <w:t>》</w:t>
            </w:r>
            <w:r>
              <w:rPr>
                <w:rFonts w:ascii="黑体" w:hAnsi="黑体" w:eastAsia="黑体" w:cs="宋体"/>
                <w:kern w:val="0"/>
                <w:sz w:val="18"/>
                <w:szCs w:val="18"/>
              </w:rPr>
              <w:t>《风险揭示书》《投资者权益须知》等文件）的全部内容，</w:t>
            </w:r>
            <w:r>
              <w:rPr>
                <w:rFonts w:hint="eastAsia" w:ascii="黑体" w:hAnsi="黑体" w:eastAsia="黑体" w:cs="宋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14:paraId="08DA0711">
            <w:pPr>
              <w:tabs>
                <w:tab w:val="left" w:pos="0"/>
                <w:tab w:val="left" w:pos="3600"/>
              </w:tabs>
              <w:spacing w:line="360" w:lineRule="auto"/>
              <w:jc w:val="left"/>
              <w:rPr>
                <w:rFonts w:ascii="黑体" w:hAnsi="黑体" w:eastAsia="黑体" w:cs="宋体"/>
                <w:kern w:val="0"/>
                <w:sz w:val="18"/>
                <w:szCs w:val="18"/>
              </w:rPr>
            </w:pPr>
            <w:r>
              <w:rPr>
                <w:rFonts w:ascii="黑体" w:hAnsi="黑体" w:eastAsia="黑体" w:cs="宋体"/>
                <w:kern w:val="0"/>
                <w:sz w:val="18"/>
                <w:szCs w:val="18"/>
              </w:rPr>
              <w:t>2</w:t>
            </w:r>
            <w:r>
              <w:rPr>
                <w:rFonts w:hint="eastAsia" w:ascii="黑体" w:hAnsi="黑体" w:eastAsia="黑体" w:cs="宋体"/>
                <w:kern w:val="0"/>
                <w:sz w:val="18"/>
                <w:szCs w:val="18"/>
              </w:rPr>
              <w:t>、甲方</w:t>
            </w:r>
            <w:r>
              <w:rPr>
                <w:rFonts w:ascii="黑体" w:hAnsi="黑体" w:eastAsia="黑体" w:cs="宋体"/>
                <w:kern w:val="0"/>
                <w:sz w:val="18"/>
                <w:szCs w:val="18"/>
              </w:rPr>
              <w:t>已认真阅读并充分理解包括但不限于《</w:t>
            </w:r>
            <w:r>
              <w:rPr>
                <w:rFonts w:hint="eastAsia" w:ascii="黑体" w:hAnsi="黑体" w:eastAsia="黑体" w:cs="宋体"/>
                <w:kern w:val="0"/>
                <w:sz w:val="18"/>
                <w:szCs w:val="18"/>
              </w:rPr>
              <w:t>（代理）</w:t>
            </w:r>
            <w:r>
              <w:rPr>
                <w:rFonts w:ascii="黑体" w:hAnsi="黑体" w:eastAsia="黑体" w:cs="宋体"/>
                <w:kern w:val="0"/>
                <w:sz w:val="18"/>
                <w:szCs w:val="18"/>
              </w:rPr>
              <w:t>销售协议书》</w:t>
            </w:r>
            <w:r>
              <w:rPr>
                <w:rFonts w:hint="eastAsia" w:ascii="黑体" w:hAnsi="黑体" w:eastAsia="黑体" w:cs="宋体"/>
                <w:kern w:val="0"/>
                <w:sz w:val="18"/>
                <w:szCs w:val="18"/>
              </w:rPr>
              <w:t>等全套理财产品销售文件</w:t>
            </w:r>
            <w:r>
              <w:rPr>
                <w:rFonts w:ascii="黑体" w:hAnsi="黑体" w:eastAsia="黑体" w:cs="宋体"/>
                <w:kern w:val="0"/>
                <w:sz w:val="18"/>
                <w:szCs w:val="18"/>
              </w:rPr>
              <w:t>关于投资理财产品及其全部风险的有关内容，同意本次</w:t>
            </w:r>
            <w:r>
              <w:rPr>
                <w:rFonts w:hint="eastAsia" w:ascii="黑体" w:hAnsi="黑体" w:eastAsia="黑体" w:cs="宋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14:paraId="621FACB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73" w:hRule="exact"/>
        </w:trPr>
        <w:tc>
          <w:tcPr>
            <w:tcW w:w="675" w:type="dxa"/>
            <w:vMerge w:val="restart"/>
            <w:vAlign w:val="center"/>
          </w:tcPr>
          <w:p w14:paraId="30865D49">
            <w:pPr>
              <w:spacing w:line="360" w:lineRule="auto"/>
              <w:jc w:val="center"/>
              <w:rPr>
                <w:rFonts w:ascii="Calibri" w:hAnsi="Calibri" w:cs="宋体"/>
                <w:b/>
                <w:kern w:val="0"/>
                <w:sz w:val="18"/>
                <w:szCs w:val="18"/>
              </w:rPr>
            </w:pPr>
            <w:r>
              <w:rPr>
                <w:rFonts w:hint="eastAsia" w:ascii="Calibri" w:hAnsi="Calibri" w:cs="宋体"/>
                <w:b/>
                <w:kern w:val="0"/>
                <w:sz w:val="18"/>
                <w:szCs w:val="18"/>
              </w:rPr>
              <w:t>甲方签署栏</w:t>
            </w:r>
          </w:p>
        </w:tc>
        <w:tc>
          <w:tcPr>
            <w:tcW w:w="851" w:type="dxa"/>
          </w:tcPr>
          <w:p w14:paraId="2F262F38">
            <w:pPr>
              <w:spacing w:line="360" w:lineRule="auto"/>
              <w:rPr>
                <w:rFonts w:ascii="Calibri" w:hAnsi="Calibri" w:cs="宋体"/>
                <w:kern w:val="0"/>
                <w:sz w:val="18"/>
                <w:szCs w:val="18"/>
              </w:rPr>
            </w:pPr>
            <w:r>
              <w:rPr>
                <w:rFonts w:hint="eastAsia" w:ascii="Calibri" w:hAnsi="Calibri" w:cs="宋体"/>
                <w:kern w:val="0"/>
                <w:sz w:val="18"/>
                <w:szCs w:val="18"/>
              </w:rPr>
              <w:t>个人投资者适用</w:t>
            </w:r>
          </w:p>
        </w:tc>
        <w:tc>
          <w:tcPr>
            <w:tcW w:w="6998" w:type="dxa"/>
          </w:tcPr>
          <w:p w14:paraId="1D4B43D5">
            <w:pPr>
              <w:spacing w:line="360" w:lineRule="auto"/>
              <w:rPr>
                <w:rFonts w:ascii="Calibri" w:hAnsi="Calibri" w:cs="宋体"/>
                <w:kern w:val="0"/>
                <w:sz w:val="18"/>
                <w:szCs w:val="18"/>
              </w:rPr>
            </w:pPr>
            <w:r>
              <w:rPr>
                <w:rFonts w:hint="eastAsia" w:ascii="Calibri" w:hAnsi="Calibri" w:cs="宋体"/>
                <w:kern w:val="0"/>
                <w:sz w:val="18"/>
                <w:szCs w:val="18"/>
              </w:rPr>
              <w:t>甲方（签名/线上确认）：</w:t>
            </w:r>
          </w:p>
          <w:p w14:paraId="0D0F63CA">
            <w:pPr>
              <w:spacing w:line="360" w:lineRule="auto"/>
              <w:rPr>
                <w:rFonts w:ascii="Calibri" w:hAnsi="Calibri" w:cs="宋体"/>
                <w:b/>
                <w:kern w:val="0"/>
                <w:sz w:val="18"/>
                <w:szCs w:val="18"/>
              </w:rPr>
            </w:pPr>
          </w:p>
          <w:p w14:paraId="02D62392">
            <w:pPr>
              <w:spacing w:line="360" w:lineRule="auto"/>
              <w:rPr>
                <w:rFonts w:ascii="Calibri" w:hAnsi="Calibri" w:cs="宋体"/>
                <w:b/>
                <w:kern w:val="0"/>
                <w:sz w:val="18"/>
                <w:szCs w:val="18"/>
              </w:rPr>
            </w:pPr>
            <w:r>
              <w:rPr>
                <w:rFonts w:hint="eastAsia" w:ascii="Calibri" w:hAnsi="Calibri" w:cs="宋体"/>
                <w:kern w:val="0"/>
                <w:sz w:val="18"/>
                <w:szCs w:val="18"/>
              </w:rPr>
              <w:t>日期：</w:t>
            </w:r>
          </w:p>
        </w:tc>
      </w:tr>
      <w:tr w14:paraId="1AF470D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14:paraId="3C97FE20">
            <w:pPr>
              <w:spacing w:line="360" w:lineRule="auto"/>
              <w:rPr>
                <w:rFonts w:ascii="Calibri" w:hAnsi="Calibri" w:cs="宋体"/>
                <w:b/>
                <w:kern w:val="0"/>
                <w:sz w:val="18"/>
                <w:szCs w:val="18"/>
              </w:rPr>
            </w:pPr>
          </w:p>
        </w:tc>
        <w:tc>
          <w:tcPr>
            <w:tcW w:w="851" w:type="dxa"/>
          </w:tcPr>
          <w:p w14:paraId="23534058">
            <w:pPr>
              <w:spacing w:line="360" w:lineRule="auto"/>
              <w:rPr>
                <w:rFonts w:ascii="Calibri" w:hAnsi="Calibri" w:cs="宋体"/>
                <w:kern w:val="0"/>
                <w:sz w:val="18"/>
                <w:szCs w:val="18"/>
              </w:rPr>
            </w:pPr>
            <w:r>
              <w:rPr>
                <w:rFonts w:hint="eastAsia" w:ascii="Calibri" w:hAnsi="Calibri" w:cs="宋体"/>
                <w:kern w:val="0"/>
                <w:sz w:val="18"/>
                <w:szCs w:val="18"/>
              </w:rPr>
              <w:t>机构投资者适用</w:t>
            </w:r>
          </w:p>
        </w:tc>
        <w:tc>
          <w:tcPr>
            <w:tcW w:w="6998" w:type="dxa"/>
          </w:tcPr>
          <w:p w14:paraId="661F1E63">
            <w:pPr>
              <w:spacing w:line="360" w:lineRule="auto"/>
              <w:rPr>
                <w:rFonts w:ascii="Calibri" w:hAnsi="Calibri" w:cs="Arial"/>
                <w:kern w:val="0"/>
                <w:sz w:val="18"/>
                <w:szCs w:val="18"/>
              </w:rPr>
            </w:pPr>
            <w:r>
              <w:rPr>
                <w:rFonts w:hint="eastAsia" w:ascii="Calibri" w:hAnsi="Calibri" w:cs="宋体"/>
                <w:kern w:val="0"/>
                <w:sz w:val="18"/>
                <w:szCs w:val="18"/>
              </w:rPr>
              <w:t>甲方</w:t>
            </w:r>
            <w:r>
              <w:rPr>
                <w:rFonts w:hint="eastAsia" w:ascii="Calibri" w:hAnsi="Calibri" w:cs="Arial"/>
                <w:kern w:val="0"/>
                <w:sz w:val="18"/>
                <w:szCs w:val="18"/>
              </w:rPr>
              <w:t>（盖章/线上确认）：</w:t>
            </w:r>
          </w:p>
          <w:p w14:paraId="2F93CD16">
            <w:pPr>
              <w:spacing w:line="360" w:lineRule="auto"/>
              <w:rPr>
                <w:rFonts w:ascii="Calibri" w:hAnsi="Calibri" w:cs="Arial"/>
                <w:kern w:val="0"/>
                <w:sz w:val="18"/>
                <w:szCs w:val="18"/>
              </w:rPr>
            </w:pPr>
          </w:p>
          <w:p w14:paraId="183ABFA3">
            <w:pPr>
              <w:spacing w:line="360" w:lineRule="auto"/>
              <w:rPr>
                <w:rFonts w:ascii="Calibri" w:hAnsi="Calibri" w:cs="宋体"/>
                <w:b/>
                <w:kern w:val="0"/>
                <w:sz w:val="18"/>
                <w:szCs w:val="18"/>
              </w:rPr>
            </w:pPr>
            <w:r>
              <w:rPr>
                <w:rFonts w:hint="eastAsia" w:ascii="Calibri" w:hAnsi="Calibri" w:cs="Arial"/>
                <w:kern w:val="0"/>
                <w:sz w:val="18"/>
                <w:szCs w:val="18"/>
              </w:rPr>
              <w:t>甲方法定代表人或授权代理人（</w:t>
            </w:r>
            <w:r>
              <w:rPr>
                <w:rFonts w:ascii="Calibri" w:hAnsi="Calibri" w:cs="Arial"/>
                <w:kern w:val="0"/>
                <w:sz w:val="18"/>
                <w:szCs w:val="18"/>
              </w:rPr>
              <w:t>签名</w:t>
            </w:r>
            <w:r>
              <w:rPr>
                <w:rFonts w:hint="eastAsia" w:ascii="Calibri" w:hAnsi="Calibri" w:cs="Arial"/>
                <w:kern w:val="0"/>
                <w:sz w:val="18"/>
                <w:szCs w:val="18"/>
              </w:rPr>
              <w:t>/盖章/线上确认）：</w:t>
            </w:r>
          </w:p>
          <w:p w14:paraId="0B4C9661">
            <w:pPr>
              <w:spacing w:line="360" w:lineRule="auto"/>
              <w:rPr>
                <w:rFonts w:ascii="Calibri" w:hAnsi="Calibri" w:cs="宋体"/>
                <w:kern w:val="0"/>
                <w:sz w:val="18"/>
                <w:szCs w:val="18"/>
              </w:rPr>
            </w:pPr>
            <w:r>
              <w:rPr>
                <w:rFonts w:hint="eastAsia" w:ascii="Calibri" w:hAnsi="Calibri" w:cs="宋体"/>
                <w:kern w:val="0"/>
                <w:sz w:val="18"/>
                <w:szCs w:val="18"/>
              </w:rPr>
              <w:t>日期：</w:t>
            </w:r>
          </w:p>
        </w:tc>
      </w:tr>
      <w:tr w14:paraId="1269054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14:paraId="2C993A35">
            <w:pPr>
              <w:spacing w:line="360" w:lineRule="auto"/>
              <w:jc w:val="center"/>
              <w:rPr>
                <w:rFonts w:ascii="Calibri" w:hAnsi="Calibri" w:cs="宋体"/>
                <w:b/>
                <w:kern w:val="0"/>
                <w:sz w:val="18"/>
                <w:szCs w:val="18"/>
              </w:rPr>
            </w:pPr>
            <w:r>
              <w:rPr>
                <w:rFonts w:hint="eastAsia" w:ascii="Calibri" w:hAnsi="Calibri" w:cs="宋体"/>
                <w:b/>
                <w:kern w:val="0"/>
                <w:sz w:val="18"/>
                <w:szCs w:val="18"/>
              </w:rPr>
              <w:t>乙方</w:t>
            </w:r>
            <w:r>
              <w:rPr>
                <w:rFonts w:ascii="Calibri" w:hAnsi="Calibri" w:cs="宋体"/>
                <w:b/>
                <w:kern w:val="0"/>
                <w:sz w:val="18"/>
                <w:szCs w:val="18"/>
              </w:rPr>
              <w:t>签署栏</w:t>
            </w:r>
          </w:p>
        </w:tc>
        <w:tc>
          <w:tcPr>
            <w:tcW w:w="7849" w:type="dxa"/>
            <w:gridSpan w:val="2"/>
          </w:tcPr>
          <w:p w14:paraId="42FDA572">
            <w:pPr>
              <w:spacing w:line="360" w:lineRule="auto"/>
              <w:rPr>
                <w:rFonts w:ascii="Calibri" w:hAnsi="Calibri" w:cs="宋体"/>
                <w:kern w:val="0"/>
                <w:sz w:val="18"/>
                <w:szCs w:val="18"/>
              </w:rPr>
            </w:pPr>
            <w:r>
              <w:rPr>
                <w:rFonts w:hint="eastAsia" w:ascii="Calibri" w:hAnsi="Calibri" w:cs="宋体"/>
                <w:kern w:val="0"/>
                <w:sz w:val="18"/>
                <w:szCs w:val="18"/>
              </w:rPr>
              <w:t>乙方</w:t>
            </w:r>
            <w:r>
              <w:rPr>
                <w:rFonts w:ascii="Calibri" w:hAnsi="Calibri" w:cs="宋体"/>
                <w:kern w:val="0"/>
                <w:sz w:val="18"/>
                <w:szCs w:val="18"/>
              </w:rPr>
              <w:t>（</w:t>
            </w:r>
            <w:r>
              <w:rPr>
                <w:rFonts w:hint="eastAsia" w:ascii="Calibri" w:hAnsi="Calibri" w:cs="宋体"/>
                <w:kern w:val="0"/>
                <w:sz w:val="18"/>
                <w:szCs w:val="18"/>
              </w:rPr>
              <w:t>盖章/线上确认</w:t>
            </w:r>
            <w:r>
              <w:rPr>
                <w:rFonts w:ascii="Calibri" w:hAnsi="Calibri" w:cs="宋体"/>
                <w:kern w:val="0"/>
                <w:sz w:val="18"/>
                <w:szCs w:val="18"/>
              </w:rPr>
              <w:t>）</w:t>
            </w:r>
            <w:r>
              <w:rPr>
                <w:rFonts w:hint="eastAsia" w:ascii="Calibri" w:hAnsi="Calibri" w:cs="宋体"/>
                <w:kern w:val="0"/>
                <w:sz w:val="18"/>
                <w:szCs w:val="18"/>
              </w:rPr>
              <w:t>：</w:t>
            </w:r>
          </w:p>
          <w:p w14:paraId="00E1BFA0">
            <w:pPr>
              <w:spacing w:line="360" w:lineRule="auto"/>
              <w:rPr>
                <w:rFonts w:ascii="Calibri" w:hAnsi="Calibri" w:cs="宋体"/>
                <w:b/>
                <w:kern w:val="0"/>
                <w:sz w:val="18"/>
                <w:szCs w:val="18"/>
              </w:rPr>
            </w:pPr>
          </w:p>
          <w:p w14:paraId="79DE292A">
            <w:pPr>
              <w:spacing w:line="360" w:lineRule="auto"/>
              <w:rPr>
                <w:rFonts w:ascii="Calibri" w:hAnsi="Calibri" w:cs="宋体"/>
                <w:kern w:val="0"/>
                <w:sz w:val="18"/>
                <w:szCs w:val="18"/>
              </w:rPr>
            </w:pPr>
            <w:r>
              <w:rPr>
                <w:rFonts w:hint="eastAsia" w:ascii="Calibri" w:hAnsi="Calibri" w:cs="宋体"/>
                <w:kern w:val="0"/>
                <w:sz w:val="18"/>
                <w:szCs w:val="18"/>
              </w:rPr>
              <w:t>日期：</w:t>
            </w:r>
          </w:p>
        </w:tc>
      </w:tr>
    </w:tbl>
    <w:p w14:paraId="4459E4FB">
      <w:pPr>
        <w:spacing w:line="360" w:lineRule="auto"/>
        <w:jc w:val="left"/>
        <w:rPr>
          <w:rFonts w:ascii="宋体" w:hAnsi="宋体" w:cs="宋体"/>
          <w:b/>
          <w:bCs/>
          <w:sz w:val="18"/>
          <w:szCs w:val="18"/>
        </w:rPr>
      </w:pPr>
      <w:r>
        <w:rPr>
          <w:rFonts w:hint="eastAsia" w:ascii="宋体" w:hAnsi="宋体" w:cs="宋体"/>
          <w:b/>
          <w:bCs/>
          <w:sz w:val="18"/>
          <w:szCs w:val="18"/>
        </w:rPr>
        <w:t>（本《（代理）销售协议书》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cs="宋体"/>
          <w:b/>
          <w:bCs/>
          <w:sz w:val="18"/>
          <w:szCs w:val="18"/>
        </w:rPr>
        <w:t>。）</w:t>
      </w:r>
    </w:p>
    <w:p w14:paraId="347FB53F">
      <w:pPr>
        <w:rPr>
          <w:rFonts w:ascii="Calibri" w:hAnsi="Calibri" w:cs="宋体"/>
          <w:szCs w:val="22"/>
        </w:rPr>
      </w:pPr>
    </w:p>
    <w:p w14:paraId="354C97CB">
      <w:pPr>
        <w:sectPr>
          <w:headerReference r:id="rId7" w:type="default"/>
          <w:footerReference r:id="rId8" w:type="default"/>
          <w:pgSz w:w="11906" w:h="16838"/>
          <w:pgMar w:top="1440" w:right="1800" w:bottom="1440" w:left="1800" w:header="567" w:footer="964" w:gutter="0"/>
          <w:cols w:space="425" w:num="1"/>
          <w:docGrid w:type="lines" w:linePitch="312" w:charSpace="0"/>
        </w:sectPr>
      </w:pPr>
    </w:p>
    <w:p w14:paraId="23934871">
      <w:pPr>
        <w:adjustRightInd w:val="0"/>
        <w:spacing w:line="276" w:lineRule="auto"/>
        <w:ind w:firstLine="422"/>
        <w:jc w:val="center"/>
        <w:rPr>
          <w:rFonts w:ascii="黑体" w:hAnsi="黑体" w:eastAsia="黑体" w:cs="宋体"/>
          <w:b/>
          <w:bCs/>
          <w:sz w:val="28"/>
          <w:szCs w:val="28"/>
        </w:rPr>
      </w:pPr>
      <w:r>
        <w:rPr>
          <w:rFonts w:hint="eastAsia" w:ascii="黑体" w:hAnsi="黑体" w:eastAsia="黑体" w:cs="宋体"/>
          <w:b/>
          <w:bCs/>
          <w:sz w:val="28"/>
          <w:szCs w:val="28"/>
        </w:rPr>
        <w:t>兴银理财【稳添利最短持有期日开固收类】理财产品</w:t>
      </w:r>
    </w:p>
    <w:p w14:paraId="78AE4829">
      <w:pPr>
        <w:adjustRightInd w:val="0"/>
        <w:spacing w:line="276" w:lineRule="auto"/>
        <w:ind w:firstLine="422"/>
        <w:jc w:val="center"/>
        <w:rPr>
          <w:rFonts w:ascii="黑体" w:hAnsi="黑体" w:eastAsia="黑体" w:cs="宋体"/>
          <w:b/>
          <w:bCs/>
          <w:sz w:val="28"/>
          <w:szCs w:val="28"/>
        </w:rPr>
      </w:pPr>
      <w:r>
        <w:rPr>
          <w:rFonts w:ascii="黑体" w:hAnsi="黑体" w:eastAsia="黑体" w:cs="宋体"/>
          <w:b/>
          <w:bCs/>
          <w:sz w:val="28"/>
          <w:szCs w:val="28"/>
        </w:rPr>
        <w:t>风险揭示书</w:t>
      </w:r>
    </w:p>
    <w:p w14:paraId="567E1AE6">
      <w:pPr>
        <w:autoSpaceDE w:val="0"/>
        <w:autoSpaceDN w:val="0"/>
        <w:adjustRightInd w:val="0"/>
        <w:snapToGrid w:val="0"/>
        <w:spacing w:before="156" w:beforeLines="50" w:line="320" w:lineRule="exact"/>
        <w:jc w:val="center"/>
        <w:rPr>
          <w:rFonts w:ascii="宋体" w:hAnsi="宋体" w:cs="宋体"/>
          <w:b/>
          <w:sz w:val="24"/>
          <w:szCs w:val="22"/>
        </w:rPr>
      </w:pPr>
      <w:r>
        <w:rPr>
          <w:rFonts w:hint="eastAsia" w:ascii="宋体" w:hAnsi="宋体" w:cs="宋体"/>
          <w:b/>
          <w:sz w:val="24"/>
          <w:szCs w:val="22"/>
        </w:rPr>
        <w:t>理财非存款、产品有风险、投资须谨慎</w:t>
      </w:r>
    </w:p>
    <w:p w14:paraId="2C01B84F">
      <w:pPr>
        <w:rPr>
          <w:rFonts w:ascii="宋体" w:hAnsi="宋体" w:cs="仿宋_GB2312"/>
          <w:b/>
          <w:kern w:val="0"/>
          <w:sz w:val="18"/>
          <w:szCs w:val="18"/>
        </w:rPr>
      </w:pPr>
      <w:r>
        <w:rPr>
          <w:rFonts w:hint="eastAsia" w:ascii="宋体" w:hAnsi="宋体" w:cs="仿宋_GB2312"/>
          <w:b/>
          <w:kern w:val="0"/>
          <w:sz w:val="18"/>
          <w:szCs w:val="18"/>
        </w:rPr>
        <w:t>尊敬的投资者：</w:t>
      </w:r>
    </w:p>
    <w:p w14:paraId="5E71BFB6">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14:paraId="7A351F8B">
      <w:pPr>
        <w:autoSpaceDE w:val="0"/>
        <w:autoSpaceDN w:val="0"/>
        <w:adjustRightInd w:val="0"/>
        <w:ind w:firstLine="420"/>
        <w:jc w:val="left"/>
        <w:rPr>
          <w:rFonts w:ascii="宋体" w:hAnsi="宋体" w:cs="宋体"/>
          <w:sz w:val="18"/>
          <w:szCs w:val="18"/>
        </w:rPr>
      </w:pPr>
      <w:r>
        <w:rPr>
          <w:rFonts w:hint="eastAsia" w:ascii="宋体" w:hAnsi="宋体" w:cs="宋体"/>
          <w:b/>
          <w:sz w:val="18"/>
          <w:szCs w:val="18"/>
        </w:rPr>
        <w:t>一</w:t>
      </w:r>
      <w:r>
        <w:rPr>
          <w:rFonts w:hint="eastAsia" w:ascii="宋体" w:hAnsi="宋体" w:cs="宋体"/>
          <w:sz w:val="18"/>
          <w:szCs w:val="18"/>
        </w:rPr>
        <w:t>、</w:t>
      </w:r>
      <w:r>
        <w:rPr>
          <w:rFonts w:hint="eastAsia" w:ascii="黑体" w:hAnsi="黑体" w:eastAsia="黑体" w:cs="仿宋_GB2312"/>
          <w:bCs/>
          <w:kern w:val="0"/>
          <w:sz w:val="18"/>
          <w:szCs w:val="18"/>
        </w:rPr>
        <w:t>★</w:t>
      </w:r>
      <w:r>
        <w:rPr>
          <w:rFonts w:hint="eastAsia" w:ascii="黑体" w:hAnsi="黑体" w:eastAsia="黑体" w:cs="宋体"/>
          <w:sz w:val="18"/>
          <w:szCs w:val="18"/>
        </w:rPr>
        <w:t>《投资协议书》《产品说明书》《（代理）销售协议书》</w:t>
      </w:r>
      <w:r>
        <w:rPr>
          <w:rFonts w:hint="eastAsia" w:ascii="黑体" w:hAnsi="黑体" w:eastAsia="黑体" w:cs="宋体"/>
          <w:sz w:val="18"/>
          <w:szCs w:val="22"/>
        </w:rPr>
        <w:t>《风险揭示书》《投资者权益须知》</w:t>
      </w:r>
      <w:r>
        <w:rPr>
          <w:rFonts w:hint="eastAsia" w:ascii="黑体" w:hAnsi="黑体" w:eastAsia="黑体" w:cs="宋体"/>
          <w:sz w:val="18"/>
          <w:szCs w:val="18"/>
        </w:rPr>
        <w:t>等有关文件共同构成一份完整且</w:t>
      </w:r>
      <w:r>
        <w:rPr>
          <w:rFonts w:hint="eastAsia" w:ascii="黑体" w:hAnsi="黑体" w:eastAsia="黑体" w:cs="宋体"/>
          <w:sz w:val="18"/>
          <w:szCs w:val="22"/>
        </w:rPr>
        <w:t>不可分割的</w:t>
      </w:r>
      <w:r>
        <w:rPr>
          <w:rFonts w:hint="eastAsia" w:ascii="黑体" w:hAnsi="黑体" w:eastAsia="黑体" w:cs="宋体"/>
          <w:sz w:val="18"/>
          <w:szCs w:val="18"/>
        </w:rPr>
        <w:t>理财产品销售文件</w:t>
      </w:r>
      <w:r>
        <w:rPr>
          <w:rFonts w:hint="eastAsia" w:ascii="宋体" w:hAnsi="宋体" w:cs="宋体"/>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14:paraId="52890523">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本产品基本信息</w:t>
      </w:r>
    </w:p>
    <w:p w14:paraId="2B7E7477">
      <w:pPr>
        <w:ind w:firstLine="448" w:firstLineChars="249"/>
        <w:rPr>
          <w:rFonts w:ascii="宋体" w:hAnsi="宋体" w:cs="仿宋_GB2312"/>
          <w:kern w:val="0"/>
          <w:sz w:val="18"/>
          <w:szCs w:val="18"/>
        </w:rPr>
      </w:pPr>
      <w:r>
        <w:rPr>
          <w:rFonts w:hint="eastAsia" w:ascii="宋体" w:hAnsi="宋体" w:cs="仿宋_GB2312"/>
          <w:kern w:val="0"/>
          <w:sz w:val="18"/>
          <w:szCs w:val="18"/>
        </w:rPr>
        <w:t>（一）产品名称、</w:t>
      </w:r>
      <w:r>
        <w:rPr>
          <w:rFonts w:ascii="宋体" w:hAnsi="宋体" w:cs="仿宋_GB2312"/>
          <w:kern w:val="0"/>
          <w:sz w:val="18"/>
          <w:szCs w:val="18"/>
        </w:rPr>
        <w:t>销售名称及产品登记编码</w:t>
      </w:r>
    </w:p>
    <w:p w14:paraId="4948A824">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r>
        <w:rPr>
          <w:rFonts w:hint="eastAsia" w:ascii="宋体" w:hAnsi="宋体" w:cs="仿宋_GB2312"/>
          <w:kern w:val="0"/>
          <w:sz w:val="18"/>
          <w:szCs w:val="18"/>
        </w:rPr>
        <w:t>【</w:t>
      </w:r>
      <w:r>
        <w:rPr>
          <w:rFonts w:hint="eastAsia" w:ascii="宋体" w:hAnsi="宋体" w:cs="仿宋_GB2312"/>
          <w:kern w:val="0"/>
          <w:sz w:val="18"/>
          <w:szCs w:val="18"/>
          <w:lang w:eastAsia="zh-CN"/>
        </w:rPr>
        <w:t>兴银理财稳添利周盈81号(7天最短持有期)日开固收类理财产品</w:t>
      </w:r>
      <w:r>
        <w:rPr>
          <w:rFonts w:hint="eastAsia" w:ascii="宋体" w:hAnsi="宋体" w:cs="仿宋_GB2312"/>
          <w:kern w:val="0"/>
          <w:sz w:val="18"/>
          <w:szCs w:val="18"/>
        </w:rPr>
        <w:t>】</w:t>
      </w:r>
    </w:p>
    <w:p w14:paraId="3EA6BF97">
      <w:pPr>
        <w:ind w:firstLine="448" w:firstLineChars="249"/>
        <w:rPr>
          <w:rFonts w:ascii="宋体" w:hAnsi="宋体" w:cs="仿宋_GB2312"/>
          <w:kern w:val="0"/>
          <w:sz w:val="18"/>
          <w:szCs w:val="18"/>
        </w:rPr>
      </w:pPr>
      <w:r>
        <w:rPr>
          <w:rFonts w:hint="eastAsia" w:ascii="宋体" w:hAnsi="宋体" w:cs="仿宋_GB2312"/>
          <w:kern w:val="0"/>
          <w:sz w:val="18"/>
          <w:szCs w:val="18"/>
        </w:rPr>
        <w:t>销售</w:t>
      </w:r>
      <w:r>
        <w:rPr>
          <w:rFonts w:ascii="宋体" w:hAnsi="宋体" w:cs="仿宋_GB2312"/>
          <w:kern w:val="0"/>
          <w:sz w:val="18"/>
          <w:szCs w:val="18"/>
        </w:rPr>
        <w:t>名称：</w:t>
      </w:r>
      <w:r>
        <w:rPr>
          <w:rFonts w:hint="eastAsia" w:ascii="宋体" w:hAnsi="宋体" w:cs="仿宋_GB2312"/>
          <w:kern w:val="0"/>
          <w:sz w:val="18"/>
          <w:szCs w:val="18"/>
          <w:lang w:eastAsia="zh-CN"/>
        </w:rPr>
        <w:t>【稳添利周盈81号B】（适用【</w:t>
      </w:r>
      <w:r>
        <w:rPr>
          <w:rFonts w:hint="eastAsia" w:ascii="宋体" w:hAnsi="宋体" w:cs="仿宋_GB2312"/>
          <w:kern w:val="0"/>
          <w:sz w:val="18"/>
          <w:szCs w:val="18"/>
          <w:lang w:val="en-US" w:eastAsia="zh-CN"/>
        </w:rPr>
        <w:t>B</w:t>
      </w:r>
      <w:r>
        <w:rPr>
          <w:rFonts w:hint="eastAsia" w:ascii="宋体" w:hAnsi="宋体" w:cs="仿宋_GB2312"/>
          <w:kern w:val="0"/>
          <w:sz w:val="18"/>
          <w:szCs w:val="18"/>
          <w:lang w:eastAsia="zh-CN"/>
        </w:rPr>
        <w:t>】类份额）</w:t>
      </w:r>
    </w:p>
    <w:p w14:paraId="1E006B98">
      <w:pPr>
        <w:ind w:firstLine="448" w:firstLineChars="249"/>
        <w:rPr>
          <w:rFonts w:ascii="宋体" w:hAnsi="宋体" w:cs="仿宋_GB2312"/>
          <w:kern w:val="0"/>
          <w:sz w:val="18"/>
          <w:szCs w:val="18"/>
        </w:rPr>
      </w:pPr>
      <w:r>
        <w:rPr>
          <w:rFonts w:ascii="宋体" w:hAnsi="宋体" w:cs="仿宋_GB2312"/>
          <w:kern w:val="0"/>
          <w:sz w:val="18"/>
          <w:szCs w:val="18"/>
        </w:rPr>
        <w:t>产品登记编码</w:t>
      </w:r>
      <w:r>
        <w:rPr>
          <w:rFonts w:hint="eastAsia" w:ascii="宋体" w:hAnsi="宋体" w:cs="仿宋_GB2312"/>
          <w:kern w:val="0"/>
          <w:sz w:val="18"/>
          <w:szCs w:val="18"/>
        </w:rPr>
        <w:t>：【</w:t>
      </w:r>
      <w:r>
        <w:rPr>
          <w:rFonts w:hint="eastAsia" w:ascii="宋体" w:hAnsi="宋体" w:cs="仿宋_GB2312"/>
          <w:kern w:val="0"/>
          <w:sz w:val="18"/>
          <w:szCs w:val="18"/>
          <w:lang w:eastAsia="zh-CN"/>
        </w:rPr>
        <w:t>Z7002025001842</w:t>
      </w:r>
      <w:r>
        <w:rPr>
          <w:rFonts w:hint="eastAsia" w:ascii="宋体" w:hAnsi="宋体" w:cs="仿宋_GB2312"/>
          <w:kern w:val="0"/>
          <w:sz w:val="18"/>
          <w:szCs w:val="18"/>
        </w:rPr>
        <w:t>】</w:t>
      </w:r>
    </w:p>
    <w:p w14:paraId="05FF9440">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14:paraId="1F98CD5D">
      <w:pPr>
        <w:ind w:firstLine="538" w:firstLineChars="299"/>
        <w:rPr>
          <w:rFonts w:ascii="宋体" w:hAnsi="宋体" w:cs="仿宋_GB2312"/>
          <w:kern w:val="0"/>
          <w:sz w:val="18"/>
          <w:szCs w:val="18"/>
        </w:rPr>
      </w:pPr>
      <w:r>
        <w:rPr>
          <w:rFonts w:hint="eastAsia" w:ascii="宋体" w:hAnsi="宋体" w:cs="仿宋_GB2312"/>
          <w:kern w:val="0"/>
          <w:sz w:val="18"/>
          <w:szCs w:val="18"/>
        </w:rPr>
        <w:t>【公募、开放式、固定收益类、非保本浮动</w:t>
      </w:r>
      <w:r>
        <w:rPr>
          <w:rFonts w:ascii="宋体" w:hAnsi="宋体" w:cs="仿宋_GB2312"/>
          <w:kern w:val="0"/>
          <w:sz w:val="18"/>
          <w:szCs w:val="18"/>
        </w:rPr>
        <w:t>收益</w:t>
      </w:r>
      <w:r>
        <w:rPr>
          <w:rFonts w:hint="eastAsia" w:ascii="宋体" w:hAnsi="宋体" w:cs="仿宋_GB2312"/>
          <w:kern w:val="0"/>
          <w:sz w:val="18"/>
          <w:szCs w:val="18"/>
        </w:rPr>
        <w:t>、净值型】理财产品。</w:t>
      </w:r>
    </w:p>
    <w:p w14:paraId="0AF3832D">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14:paraId="655B9CEF">
      <w:pPr>
        <w:ind w:firstLine="448" w:firstLineChars="249"/>
        <w:rPr>
          <w:rFonts w:ascii="宋体" w:hAnsi="宋体" w:cs="仿宋_GB2312"/>
          <w:kern w:val="0"/>
          <w:sz w:val="18"/>
          <w:szCs w:val="18"/>
        </w:rPr>
      </w:pPr>
      <w:r>
        <w:rPr>
          <w:rFonts w:hint="eastAsia" w:ascii="宋体" w:hAnsi="宋体" w:cs="仿宋_GB2312"/>
          <w:kern w:val="0"/>
          <w:sz w:val="18"/>
          <w:szCs w:val="18"/>
        </w:rPr>
        <w:t>【无固定期限】</w:t>
      </w:r>
      <w:r>
        <w:rPr>
          <w:rFonts w:ascii="宋体" w:hAnsi="宋体" w:cs="仿宋_GB2312"/>
          <w:kern w:val="0"/>
          <w:sz w:val="18"/>
          <w:szCs w:val="18"/>
        </w:rPr>
        <w:t>。</w:t>
      </w:r>
    </w:p>
    <w:p w14:paraId="596C4890">
      <w:pPr>
        <w:ind w:firstLine="498" w:firstLineChars="249"/>
        <w:rPr>
          <w:rFonts w:ascii="宋体" w:hAnsi="宋体" w:cs="仿宋_GB2312"/>
          <w:kern w:val="0"/>
          <w:sz w:val="18"/>
          <w:szCs w:val="18"/>
        </w:rPr>
      </w:pPr>
      <w:r>
        <w:rPr>
          <w:rFonts w:hint="eastAsia" w:ascii="宋体" w:cs="宋体" w:hAnsiTheme="minorHAnsi"/>
          <w:color w:val="000000"/>
          <w:kern w:val="0"/>
          <w:sz w:val="20"/>
          <w:szCs w:val="20"/>
        </w:rPr>
        <w:t>本产品其他信息详见《产品说明书》。</w:t>
      </w:r>
    </w:p>
    <w:p w14:paraId="0D68EA49">
      <w:pPr>
        <w:ind w:firstLine="448" w:firstLineChars="249"/>
        <w:rPr>
          <w:rFonts w:ascii="黑体" w:hAnsi="黑体" w:eastAsia="黑体" w:cs="宋体"/>
          <w:sz w:val="18"/>
          <w:szCs w:val="18"/>
        </w:rPr>
      </w:pPr>
      <w:r>
        <w:rPr>
          <w:rFonts w:hint="eastAsia" w:ascii="黑体" w:hAnsi="黑体" w:eastAsia="黑体" w:cs="宋体"/>
          <w:sz w:val="18"/>
          <w:szCs w:val="18"/>
        </w:rPr>
        <w:t>产品管理人对本产品的理财本金和收益不提供保证承诺</w:t>
      </w:r>
      <w:r>
        <w:rPr>
          <w:rFonts w:hint="eastAsia" w:ascii="黑体" w:hAnsi="黑体" w:eastAsia="黑体" w:cs="宋体"/>
          <w:bCs/>
          <w:sz w:val="18"/>
          <w:szCs w:val="18"/>
        </w:rPr>
        <w:t>，</w:t>
      </w:r>
      <w:r>
        <w:rPr>
          <w:rFonts w:hint="eastAsia" w:ascii="黑体" w:hAnsi="黑体" w:eastAsia="黑体" w:cs="宋体"/>
          <w:sz w:val="18"/>
          <w:szCs w:val="18"/>
        </w:rPr>
        <w:t>在发生最不利的情况下（可能但不一定发生），投资者可能无法取得理财收益，并可能面临损失理财本金的风险。</w:t>
      </w:r>
    </w:p>
    <w:p w14:paraId="5B2D379C">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14:paraId="1077CE0D">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14:paraId="7373AAB6">
      <w:pPr>
        <w:ind w:firstLine="448" w:firstLineChars="249"/>
        <w:rPr>
          <w:rFonts w:ascii="宋体" w:hAnsi="宋体" w:cs="仿宋_GB2312"/>
          <w:kern w:val="0"/>
          <w:sz w:val="18"/>
          <w:szCs w:val="18"/>
        </w:rPr>
      </w:pPr>
      <w:r>
        <w:rPr>
          <w:rFonts w:hint="eastAsia" w:ascii="宋体" w:hAnsi="宋体" w:cs="仿宋_GB2312"/>
          <w:kern w:val="0"/>
          <w:sz w:val="18"/>
          <w:szCs w:val="18"/>
        </w:rPr>
        <w:t>本理财产品风险评级最终定义为【</w:t>
      </w:r>
      <w:r>
        <w:rPr>
          <w:rFonts w:hint="eastAsia" w:ascii="宋体" w:hAnsi="宋体" w:cs="仿宋_GB2312"/>
          <w:kern w:val="0"/>
          <w:sz w:val="18"/>
          <w:szCs w:val="18"/>
          <w:lang w:val="en-US" w:eastAsia="zh-CN"/>
        </w:rPr>
        <w:t>R2</w:t>
      </w:r>
      <w:r>
        <w:rPr>
          <w:rFonts w:ascii="宋体" w:hAnsi="宋体" w:cs="仿宋_GB2312"/>
          <w:kern w:val="0"/>
          <w:sz w:val="18"/>
          <w:szCs w:val="18"/>
        </w:rPr>
        <w:t>】</w:t>
      </w:r>
      <w:r>
        <w:rPr>
          <w:rFonts w:hint="eastAsia" w:ascii="宋体" w:hAnsi="宋体" w:cs="仿宋_GB2312"/>
          <w:kern w:val="0"/>
          <w:sz w:val="18"/>
          <w:szCs w:val="18"/>
        </w:rPr>
        <w:t>（产品管理人定义的产品风险评级为【</w:t>
      </w:r>
      <w:r>
        <w:rPr>
          <w:rFonts w:hint="eastAsia" w:ascii="宋体" w:hAnsi="宋体" w:cs="仿宋_GB2312"/>
          <w:kern w:val="0"/>
          <w:sz w:val="18"/>
          <w:szCs w:val="18"/>
          <w:lang w:val="en-US" w:eastAsia="zh-CN"/>
        </w:rPr>
        <w:t>R2</w:t>
      </w:r>
      <w:r>
        <w:rPr>
          <w:rFonts w:ascii="宋体" w:hAnsi="宋体" w:cs="仿宋_GB2312"/>
          <w:kern w:val="0"/>
          <w:sz w:val="18"/>
          <w:szCs w:val="18"/>
        </w:rPr>
        <w:t>】</w:t>
      </w:r>
      <w:r>
        <w:rPr>
          <w:rFonts w:hint="eastAsia" w:ascii="宋体" w:hAnsi="宋体" w:cs="仿宋_GB2312"/>
          <w:kern w:val="0"/>
          <w:sz w:val="18"/>
          <w:szCs w:val="18"/>
        </w:rPr>
        <w:t>；代理销售机构定义的产品风险评级为【</w:t>
      </w:r>
      <w:r>
        <w:rPr>
          <w:rFonts w:hint="eastAsia" w:ascii="宋体" w:hAnsi="宋体" w:cs="仿宋_GB2312"/>
          <w:kern w:val="0"/>
          <w:sz w:val="18"/>
          <w:szCs w:val="18"/>
          <w:lang w:val="en-US" w:eastAsia="zh-CN"/>
        </w:rPr>
        <w:t>R2</w:t>
      </w:r>
      <w:r>
        <w:rPr>
          <w:rFonts w:hint="eastAsia" w:ascii="宋体" w:hAnsi="宋体" w:cs="仿宋_GB2312"/>
          <w:kern w:val="0"/>
          <w:sz w:val="18"/>
          <w:szCs w:val="18"/>
        </w:rPr>
        <w:t>】）。</w:t>
      </w:r>
      <w:r>
        <w:rPr>
          <w:rFonts w:hint="eastAsia" w:cs="宋体" w:asciiTheme="majorEastAsia" w:hAnsiTheme="majorEastAsia" w:eastAsiaTheme="major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14:paraId="377A0DE7">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14:paraId="01559702">
      <w:pPr>
        <w:ind w:firstLine="360" w:firstLineChars="200"/>
        <w:rPr>
          <w:rFonts w:cs="宋体"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cs="仿宋_GB2312"/>
          <w:kern w:val="0"/>
          <w:sz w:val="18"/>
          <w:szCs w:val="18"/>
        </w:rPr>
        <w:t>1.</w:t>
      </w:r>
      <w:r>
        <w:rPr>
          <w:rFonts w:hint="eastAsia" w:cs="宋体" w:asciiTheme="majorEastAsia" w:hAnsiTheme="majorEastAsia" w:eastAsiaTheme="majorEastAsia"/>
          <w:bCs/>
          <w:color w:val="000000" w:themeColor="text1"/>
          <w:sz w:val="18"/>
          <w:szCs w:val="18"/>
          <w14:textFill>
            <w14:solidFill>
              <w14:schemeClr w14:val="tx1"/>
            </w14:solidFill>
          </w14:textFill>
        </w:rPr>
        <w:t>销售机构认为本产品适合以下投资者类型：</w:t>
      </w:r>
    </w:p>
    <w:p w14:paraId="0102EEB7">
      <w:pPr>
        <w:ind w:firstLine="360" w:firstLineChars="200"/>
        <w:rPr>
          <w:rFonts w:hint="eastAsia" w:cs="宋体" w:asciiTheme="majorEastAsia" w:hAnsiTheme="majorEastAsia" w:eastAsiaTheme="majorEastAsia"/>
          <w:bCs/>
          <w:color w:val="000000" w:themeColor="text1"/>
          <w:sz w:val="18"/>
          <w:szCs w:val="18"/>
          <w:lang w:eastAsia="zh-CN"/>
          <w14:textFill>
            <w14:solidFill>
              <w14:schemeClr w14:val="tx1"/>
            </w14:solidFill>
          </w14:textFill>
        </w:rPr>
      </w:pPr>
      <w:bookmarkStart w:id="284" w:name="per_risk"/>
      <w:bookmarkEnd w:id="284"/>
      <w:r>
        <w:rPr>
          <w:rFonts w:hint="eastAsia" w:cs="宋体" w:asciiTheme="majorEastAsia" w:hAnsiTheme="majorEastAsia" w:eastAsiaTheme="majorEastAsia"/>
          <w:bCs/>
          <w:color w:val="000000" w:themeColor="text1"/>
          <w:sz w:val="18"/>
          <w:szCs w:val="18"/>
          <w:lang w:eastAsia="zh-CN"/>
          <w14:textFill>
            <w14:solidFill>
              <w14:schemeClr w14:val="tx1"/>
            </w14:solidFill>
          </w14:textFill>
        </w:rPr>
        <w:t>■个人投资者：【□ C1、■ C2、■ C3、■ C4、■ C5】。</w:t>
      </w:r>
    </w:p>
    <w:p w14:paraId="41BD5456">
      <w:pPr>
        <w:ind w:firstLine="360" w:firstLineChars="200"/>
        <w:rPr>
          <w:rFonts w:hint="eastAsia" w:cs="宋体" w:asciiTheme="majorEastAsia" w:hAnsiTheme="majorEastAsia" w:eastAsiaTheme="majorEastAsia"/>
          <w:bCs/>
          <w:color w:val="000000" w:themeColor="text1"/>
          <w:sz w:val="18"/>
          <w:szCs w:val="18"/>
          <w:lang w:eastAsia="zh-CN"/>
          <w14:textFill>
            <w14:solidFill>
              <w14:schemeClr w14:val="tx1"/>
            </w14:solidFill>
          </w14:textFill>
        </w:rPr>
      </w:pPr>
      <w:bookmarkStart w:id="285" w:name="ins_risk"/>
      <w:bookmarkEnd w:id="285"/>
      <w:r>
        <w:rPr>
          <w:rFonts w:hint="eastAsia" w:cs="宋体" w:asciiTheme="majorEastAsia" w:hAnsiTheme="majorEastAsia" w:eastAsiaTheme="majorEastAsia"/>
          <w:bCs/>
          <w:color w:val="000000" w:themeColor="text1"/>
          <w:sz w:val="18"/>
          <w:szCs w:val="18"/>
          <w:lang w:eastAsia="zh-CN"/>
          <w14:textFill>
            <w14:solidFill>
              <w14:schemeClr w14:val="tx1"/>
            </w14:solidFill>
          </w14:textFill>
        </w:rPr>
        <w:t>■机构投资者：【□ C1、■ C2、■ C3、■ C4、■ C5】。</w:t>
      </w:r>
    </w:p>
    <w:p w14:paraId="3D901FE3">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14:paraId="78338F54">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14:paraId="3F32D515">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14:paraId="2636EAF9">
      <w:pPr>
        <w:ind w:firstLine="361" w:firstLineChars="200"/>
        <w:rPr>
          <w:rFonts w:ascii="宋体" w:hAnsi="宋体" w:cs="宋体"/>
          <w:b/>
          <w:sz w:val="18"/>
          <w:szCs w:val="18"/>
        </w:rPr>
      </w:pPr>
      <w:r>
        <w:rPr>
          <w:rFonts w:hint="eastAsia" w:ascii="宋体" w:hAnsi="宋体" w:cs="宋体"/>
          <w:b/>
          <w:sz w:val="18"/>
          <w:szCs w:val="18"/>
        </w:rPr>
        <w:t>（一）投资者投资本产品可能面临的特定风险主要包括（但不限于）：</w:t>
      </w:r>
    </w:p>
    <w:p w14:paraId="6C5C13E9">
      <w:pPr>
        <w:spacing w:line="360" w:lineRule="auto"/>
        <w:ind w:firstLine="360" w:firstLineChars="200"/>
        <w:rPr>
          <w:rFonts w:ascii="宋体" w:hAnsi="宋体" w:cs="宋体"/>
          <w:sz w:val="18"/>
          <w:szCs w:val="18"/>
        </w:rPr>
      </w:pPr>
      <w:r>
        <w:rPr>
          <w:rFonts w:hint="eastAsia" w:ascii="宋体" w:hAnsi="宋体" w:cs="宋体"/>
          <w:sz w:val="18"/>
          <w:szCs w:val="18"/>
        </w:rPr>
        <w:t>【1.拟投资市场和资产的风险：</w:t>
      </w:r>
    </w:p>
    <w:p w14:paraId="2AFFCF82">
      <w:pPr>
        <w:spacing w:line="360" w:lineRule="auto"/>
        <w:ind w:firstLine="360" w:firstLineChars="200"/>
        <w:rPr>
          <w:rFonts w:ascii="宋体" w:hAnsi="宋体" w:cs="宋体"/>
          <w:sz w:val="18"/>
          <w:szCs w:val="18"/>
        </w:rPr>
      </w:pPr>
      <w:r>
        <w:rPr>
          <w:rFonts w:hint="eastAsia" w:ascii="宋体" w:hAnsi="宋体" w:cs="宋体"/>
          <w:sz w:val="18"/>
          <w:szCs w:val="18"/>
        </w:rPr>
        <w:t>（1）投资债权类资产的风险</w:t>
      </w:r>
    </w:p>
    <w:p w14:paraId="13F837A3">
      <w:pPr>
        <w:spacing w:line="360" w:lineRule="auto"/>
        <w:ind w:firstLine="360" w:firstLineChars="200"/>
        <w:rPr>
          <w:rFonts w:ascii="宋体" w:hAnsi="宋体" w:cs="宋体"/>
          <w:sz w:val="18"/>
          <w:szCs w:val="18"/>
        </w:rPr>
      </w:pPr>
      <w:r>
        <w:rPr>
          <w:rFonts w:hint="eastAsia" w:ascii="宋体" w:hAnsi="宋体" w:cs="宋体"/>
          <w:sz w:val="18"/>
          <w:szCs w:val="18"/>
          <w:lang w:val="en-US" w:eastAsia="zh-CN"/>
        </w:rPr>
        <w:t>1）</w:t>
      </w:r>
      <w:r>
        <w:rPr>
          <w:rFonts w:hint="eastAsia" w:ascii="宋体" w:hAnsi="宋体" w:cs="宋体"/>
          <w:sz w:val="18"/>
          <w:szCs w:val="18"/>
        </w:rPr>
        <w:t>投资标准化债权类资产的风险</w:t>
      </w:r>
    </w:p>
    <w:p w14:paraId="2CD76676">
      <w:pPr>
        <w:spacing w:line="360" w:lineRule="auto"/>
        <w:ind w:firstLine="360" w:firstLineChars="200"/>
        <w:rPr>
          <w:rFonts w:ascii="宋体" w:hAnsi="宋体" w:cs="宋体"/>
          <w:sz w:val="18"/>
          <w:szCs w:val="18"/>
        </w:rPr>
      </w:pPr>
      <w:r>
        <w:rPr>
          <w:rFonts w:hint="eastAsia" w:ascii="宋体" w:hAnsi="宋体" w:cs="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14:paraId="0F538745">
      <w:pPr>
        <w:spacing w:line="360" w:lineRule="auto"/>
        <w:ind w:firstLine="360" w:firstLineChars="200"/>
        <w:rPr>
          <w:rFonts w:ascii="宋体" w:hAnsi="宋体" w:cs="宋体"/>
          <w:sz w:val="18"/>
          <w:szCs w:val="18"/>
        </w:rPr>
      </w:pPr>
      <w:r>
        <w:rPr>
          <w:rFonts w:hint="eastAsia" w:ascii="宋体" w:hAnsi="宋体" w:cs="宋体"/>
          <w:sz w:val="18"/>
          <w:szCs w:val="18"/>
        </w:rPr>
        <w:t xml:space="preserve">（2）投资商品和金融衍生品类资产的风险 </w:t>
      </w:r>
    </w:p>
    <w:p w14:paraId="7AE94FDF">
      <w:pPr>
        <w:spacing w:line="360" w:lineRule="auto"/>
        <w:ind w:firstLine="360" w:firstLineChars="200"/>
        <w:rPr>
          <w:rFonts w:hint="eastAsia" w:ascii="宋体" w:hAnsi="宋体" w:cs="宋体"/>
          <w:sz w:val="18"/>
          <w:szCs w:val="18"/>
        </w:rPr>
      </w:pPr>
      <w:r>
        <w:rPr>
          <w:rFonts w:hint="eastAsia" w:ascii="宋体" w:hAnsi="宋体" w:cs="宋体"/>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14:paraId="1BA8CF8D">
      <w:pPr>
        <w:ind w:firstLine="360" w:firstLineChars="200"/>
        <w:rPr>
          <w:rFonts w:ascii="宋体" w:hAnsi="宋体" w:cs="宋体"/>
          <w:sz w:val="18"/>
          <w:szCs w:val="18"/>
        </w:rPr>
      </w:pPr>
      <w:r>
        <w:rPr>
          <w:rFonts w:hint="eastAsia" w:ascii="宋体" w:hAnsi="宋体" w:cs="宋体"/>
          <w:sz w:val="18"/>
          <w:szCs w:val="18"/>
        </w:rPr>
        <w:t>】</w:t>
      </w:r>
    </w:p>
    <w:p w14:paraId="2A7921A0">
      <w:pPr>
        <w:widowControl w:val="0"/>
        <w:ind w:firstLine="361" w:firstLineChars="200"/>
        <w:jc w:val="both"/>
        <w:rPr>
          <w:rFonts w:ascii="宋体" w:hAnsi="宋体" w:eastAsia="宋体" w:cs="宋体"/>
          <w:kern w:val="2"/>
          <w:sz w:val="18"/>
          <w:szCs w:val="18"/>
          <w:lang w:val="en-US" w:eastAsia="zh-CN" w:bidi="ar-SA"/>
        </w:rPr>
      </w:pPr>
      <w:r>
        <w:rPr>
          <w:rFonts w:hint="eastAsia" w:ascii="黑体" w:hAnsi="黑体" w:eastAsia="黑体" w:cs="仿宋_GB2312"/>
          <w:b/>
          <w:kern w:val="0"/>
          <w:sz w:val="18"/>
          <w:szCs w:val="18"/>
          <w:lang w:val="en-US" w:eastAsia="zh-CN" w:bidi="ar-SA"/>
        </w:rPr>
        <w:t>★</w:t>
      </w:r>
      <w:r>
        <w:rPr>
          <w:rFonts w:hint="eastAsia" w:ascii="黑体" w:hAnsi="黑体" w:eastAsia="黑体" w:cs="宋体"/>
          <w:kern w:val="2"/>
          <w:sz w:val="18"/>
          <w:szCs w:val="18"/>
          <w:lang w:val="en-US" w:eastAsia="zh-CN" w:bidi="ar-SA"/>
        </w:rPr>
        <w:t>注：以上特定风险仅为列举性质，未能详尽列明投资本产品可能面临的全部风险和可能导致投资者投资本金及收益损失的所有因素。</w:t>
      </w:r>
    </w:p>
    <w:p w14:paraId="2AA7A665">
      <w:pPr>
        <w:widowControl w:val="0"/>
        <w:ind w:firstLine="426" w:firstLineChars="0"/>
        <w:jc w:val="both"/>
        <w:rPr>
          <w:rFonts w:ascii="宋体" w:hAnsi="宋体" w:eastAsia="宋体" w:cs="宋体"/>
          <w:b/>
          <w:kern w:val="2"/>
          <w:sz w:val="18"/>
          <w:szCs w:val="18"/>
          <w:lang w:val="en-US" w:eastAsia="zh-CN" w:bidi="ar-SA"/>
        </w:rPr>
      </w:pPr>
      <w:r>
        <w:rPr>
          <w:rFonts w:hint="eastAsia" w:ascii="宋体" w:hAnsi="宋体" w:eastAsia="宋体" w:cs="宋体"/>
          <w:b/>
          <w:kern w:val="2"/>
          <w:sz w:val="18"/>
          <w:szCs w:val="18"/>
          <w:lang w:val="en-US" w:eastAsia="zh-CN" w:bidi="ar-SA"/>
        </w:rPr>
        <w:t xml:space="preserve">（二）投资者投资本产品可能面临的一般风险主要包括（但不限于）： </w:t>
      </w:r>
    </w:p>
    <w:p w14:paraId="7056A5DB">
      <w:pPr>
        <w:widowControl w:val="0"/>
        <w:ind w:firstLine="426" w:firstLineChars="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w:t>
      </w:r>
      <w:r>
        <w:rPr>
          <w:rFonts w:ascii="宋体" w:hAnsi="宋体" w:eastAsia="宋体" w:cs="宋体"/>
          <w:b/>
          <w:bCs/>
          <w:kern w:val="2"/>
          <w:sz w:val="18"/>
          <w:szCs w:val="18"/>
          <w:lang w:val="en-US" w:eastAsia="zh-CN" w:bidi="ar-SA"/>
        </w:rPr>
        <w:t>信用风险</w:t>
      </w:r>
    </w:p>
    <w:p w14:paraId="6CCC68B3">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理财产品投资运作过程中，理财产品管理人将根据《产品说明书》的约定投资于相关金融工具或资产，如果相关投资的债务人、交易对手等发生违约，信用状况恶化等，投资者将面临投资损失的风险。</w:t>
      </w:r>
    </w:p>
    <w:p w14:paraId="612994A6">
      <w:pPr>
        <w:widowControl w:val="0"/>
        <w:ind w:firstLine="426" w:firstLineChars="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2</w:t>
      </w:r>
      <w:r>
        <w:rPr>
          <w:rFonts w:hint="eastAsia" w:ascii="宋体" w:hAnsi="宋体" w:eastAsia="宋体" w:cs="宋体"/>
          <w:b/>
          <w:bCs/>
          <w:kern w:val="2"/>
          <w:sz w:val="18"/>
          <w:szCs w:val="18"/>
          <w:lang w:val="en-US" w:eastAsia="zh-CN" w:bidi="ar-SA"/>
        </w:rPr>
        <w:t>.</w:t>
      </w:r>
      <w:r>
        <w:rPr>
          <w:rFonts w:ascii="宋体" w:hAnsi="宋体" w:eastAsia="宋体" w:cs="宋体"/>
          <w:b/>
          <w:bCs/>
          <w:kern w:val="2"/>
          <w:sz w:val="18"/>
          <w:szCs w:val="18"/>
          <w:lang w:val="en-US" w:eastAsia="zh-CN" w:bidi="ar-SA"/>
        </w:rPr>
        <w:t>利率风险</w:t>
      </w:r>
    </w:p>
    <w:p w14:paraId="45C23282">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14:paraId="30EA6E38">
      <w:pPr>
        <w:widowControl w:val="0"/>
        <w:ind w:firstLine="426"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3.市场</w:t>
      </w:r>
      <w:r>
        <w:rPr>
          <w:rFonts w:ascii="宋体" w:hAnsi="宋体" w:eastAsia="宋体" w:cs="宋体"/>
          <w:b/>
          <w:bCs/>
          <w:kern w:val="2"/>
          <w:sz w:val="18"/>
          <w:szCs w:val="18"/>
          <w:lang w:val="en-US" w:eastAsia="zh-CN" w:bidi="ar-SA"/>
        </w:rPr>
        <w:t>风险</w:t>
      </w:r>
    </w:p>
    <w:p w14:paraId="717E777B">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证券市场价格因受宏观政策面、利率、汇率变动等各种因素的影响而引起的波动，将使本产品资产面临潜在的风险。市场风险包括但不限于股票投资风险、债券投资风险、商品投资风险以及衍生品投资风险等。</w:t>
      </w:r>
    </w:p>
    <w:p w14:paraId="56C9F37C">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4.流动性风险</w:t>
      </w:r>
    </w:p>
    <w:p w14:paraId="56074A94">
      <w:pPr>
        <w:widowControl w:val="0"/>
        <w:ind w:firstLine="426" w:firstLineChars="0"/>
        <w:jc w:val="both"/>
        <w:rPr>
          <w:rFonts w:ascii="宋体" w:hAnsi="宋体" w:eastAsia="宋体" w:cs="仿宋_GB2312"/>
          <w:bCs/>
          <w:kern w:val="0"/>
          <w:sz w:val="18"/>
          <w:szCs w:val="18"/>
          <w:lang w:val="en-US" w:eastAsia="zh-CN" w:bidi="ar-SA"/>
        </w:rPr>
      </w:pPr>
      <w:r>
        <w:rPr>
          <w:rFonts w:hint="eastAsia" w:ascii="宋体" w:hAnsi="宋体" w:eastAsia="宋体" w:cs="仿宋_GB2312"/>
          <w:bCs/>
          <w:kern w:val="0"/>
          <w:sz w:val="18"/>
          <w:szCs w:val="18"/>
          <w:lang w:val="en-US" w:eastAsia="zh-CN" w:bidi="ar-SA"/>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14:paraId="61965E11">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5.</w:t>
      </w:r>
      <w:r>
        <w:rPr>
          <w:rFonts w:ascii="宋体" w:hAnsi="宋体" w:eastAsia="宋体" w:cs="仿宋_GB2312"/>
          <w:b/>
          <w:kern w:val="0"/>
          <w:sz w:val="18"/>
          <w:szCs w:val="18"/>
          <w:lang w:val="en-US" w:eastAsia="zh-CN" w:bidi="ar-SA"/>
        </w:rPr>
        <w:t>法律与政策风险</w:t>
      </w:r>
    </w:p>
    <w:p w14:paraId="75B3939D">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国家监管政策、货币政策、财政税收政策、产业政策、宏观政策及相关法律、法规的调整与变化将会影响本产品的设立、投资及管理等的正常运行，甚至导致本产品发生损失。</w:t>
      </w:r>
    </w:p>
    <w:p w14:paraId="38B53259">
      <w:pPr>
        <w:widowControl w:val="0"/>
        <w:ind w:firstLine="426"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6.</w:t>
      </w:r>
      <w:r>
        <w:rPr>
          <w:rFonts w:ascii="宋体" w:hAnsi="宋体" w:eastAsia="宋体" w:cs="宋体"/>
          <w:b/>
          <w:bCs/>
          <w:kern w:val="2"/>
          <w:sz w:val="18"/>
          <w:szCs w:val="18"/>
          <w:lang w:val="en-US" w:eastAsia="zh-CN" w:bidi="ar-SA"/>
        </w:rPr>
        <w:t>延期</w:t>
      </w:r>
      <w:r>
        <w:rPr>
          <w:rFonts w:hint="eastAsia" w:ascii="宋体" w:hAnsi="宋体" w:eastAsia="宋体" w:cs="宋体"/>
          <w:b/>
          <w:bCs/>
          <w:kern w:val="2"/>
          <w:sz w:val="18"/>
          <w:szCs w:val="18"/>
          <w:lang w:val="en-US" w:eastAsia="zh-CN" w:bidi="ar-SA"/>
        </w:rPr>
        <w:t>终止</w:t>
      </w:r>
      <w:r>
        <w:rPr>
          <w:rFonts w:ascii="宋体" w:hAnsi="宋体" w:eastAsia="宋体" w:cs="宋体"/>
          <w:b/>
          <w:bCs/>
          <w:kern w:val="2"/>
          <w:sz w:val="18"/>
          <w:szCs w:val="18"/>
          <w:lang w:val="en-US" w:eastAsia="zh-CN" w:bidi="ar-SA"/>
        </w:rPr>
        <w:t>风险</w:t>
      </w:r>
    </w:p>
    <w:p w14:paraId="4ED98B92">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指因市场内部和外部的原因导致理财基础资产不能及时变现而造成理财产品不能按时分配，理财期限将相应延长，从而导致本产品部分资金的延期分配。</w:t>
      </w:r>
    </w:p>
    <w:p w14:paraId="0BDCE5B4">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7.</w:t>
      </w:r>
      <w:r>
        <w:rPr>
          <w:rFonts w:ascii="宋体" w:hAnsi="宋体" w:eastAsia="宋体" w:cs="仿宋_GB2312"/>
          <w:b/>
          <w:kern w:val="0"/>
          <w:sz w:val="18"/>
          <w:szCs w:val="18"/>
          <w:lang w:val="en-US" w:eastAsia="zh-CN" w:bidi="ar-SA"/>
        </w:rPr>
        <w:t>提前终止风险</w:t>
      </w:r>
    </w:p>
    <w:p w14:paraId="74B66DC9">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14:paraId="590025D5">
      <w:pPr>
        <w:widowControl w:val="0"/>
        <w:ind w:firstLine="426" w:firstLineChars="0"/>
        <w:jc w:val="both"/>
        <w:rPr>
          <w:rFonts w:ascii="黑体" w:hAnsi="黑体" w:eastAsia="黑体" w:cs="黑体"/>
          <w:b/>
          <w:bCs/>
          <w:kern w:val="2"/>
          <w:sz w:val="18"/>
          <w:szCs w:val="18"/>
          <w:lang w:val="en-US" w:eastAsia="zh-CN" w:bidi="ar-SA"/>
        </w:rPr>
      </w:pPr>
      <w:r>
        <w:rPr>
          <w:rFonts w:hint="eastAsia" w:ascii="黑体" w:hAnsi="黑体" w:eastAsia="黑体" w:cs="黑体"/>
          <w:b/>
          <w:bCs/>
          <w:kern w:val="2"/>
          <w:sz w:val="18"/>
          <w:szCs w:val="18"/>
          <w:lang w:val="en-US" w:eastAsia="zh-CN" w:bidi="ar-SA"/>
        </w:rPr>
        <w:t>8.</w:t>
      </w:r>
      <w:r>
        <w:rPr>
          <w:rFonts w:hint="eastAsia" w:ascii="黑体" w:hAnsi="黑体" w:eastAsia="黑体" w:cs="黑体"/>
          <w:kern w:val="2"/>
          <w:sz w:val="18"/>
          <w:szCs w:val="18"/>
          <w:lang w:val="en-US" w:eastAsia="zh-CN" w:bidi="ar-SA"/>
        </w:rPr>
        <w:t>★</w:t>
      </w:r>
      <w:r>
        <w:rPr>
          <w:rFonts w:hint="eastAsia" w:ascii="黑体" w:hAnsi="黑体" w:eastAsia="黑体" w:cs="黑体"/>
          <w:b/>
          <w:bCs/>
          <w:kern w:val="2"/>
          <w:sz w:val="18"/>
          <w:szCs w:val="18"/>
          <w:lang w:val="en-US" w:eastAsia="zh-CN" w:bidi="ar-SA"/>
        </w:rPr>
        <w:t>信息传递风险</w:t>
      </w:r>
    </w:p>
    <w:p w14:paraId="6F761F39">
      <w:pPr>
        <w:widowControl w:val="0"/>
        <w:ind w:firstLine="426" w:firstLineChars="0"/>
        <w:jc w:val="both"/>
        <w:rPr>
          <w:rFonts w:ascii="黑体" w:hAnsi="黑体" w:eastAsia="黑体" w:cs="黑体"/>
          <w:kern w:val="0"/>
          <w:sz w:val="18"/>
          <w:szCs w:val="18"/>
          <w:lang w:val="en-US" w:eastAsia="zh-CN" w:bidi="ar-SA"/>
        </w:rPr>
      </w:pPr>
      <w:r>
        <w:rPr>
          <w:rFonts w:hint="eastAsia" w:ascii="黑体" w:hAnsi="黑体" w:eastAsia="黑体" w:cs="黑体"/>
          <w:kern w:val="0"/>
          <w:sz w:val="18"/>
          <w:szCs w:val="18"/>
          <w:lang w:val="en-US" w:eastAsia="zh-CN" w:bidi="ar-SA"/>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通讯故障、系统故障以及其他不可抗力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14:paraId="60A3DF59">
      <w:pPr>
        <w:ind w:firstLine="361" w:firstLineChars="200"/>
        <w:rPr>
          <w:rFonts w:ascii="宋体" w:hAnsi="宋体" w:cs="宋体"/>
          <w:b/>
          <w:bCs/>
          <w:sz w:val="18"/>
          <w:szCs w:val="18"/>
        </w:rPr>
      </w:pPr>
      <w:r>
        <w:rPr>
          <w:rFonts w:hint="eastAsia" w:ascii="宋体" w:hAnsi="宋体" w:cs="宋体"/>
          <w:b/>
          <w:bCs/>
          <w:sz w:val="18"/>
          <w:szCs w:val="18"/>
        </w:rPr>
        <w:t>9.</w:t>
      </w:r>
      <w:r>
        <w:rPr>
          <w:rFonts w:ascii="宋体" w:hAnsi="宋体" w:cs="宋体"/>
          <w:b/>
          <w:bCs/>
          <w:sz w:val="18"/>
          <w:szCs w:val="18"/>
        </w:rPr>
        <w:t>不可抗力及意外事件风险</w:t>
      </w:r>
    </w:p>
    <w:p w14:paraId="1DCD88C3">
      <w:pPr>
        <w:ind w:firstLine="360" w:firstLineChars="200"/>
        <w:rPr>
          <w:rFonts w:ascii="宋体" w:hAnsi="宋体" w:cs="宋体"/>
          <w:bCs/>
          <w:sz w:val="18"/>
          <w:szCs w:val="18"/>
        </w:rPr>
      </w:pPr>
      <w:r>
        <w:rPr>
          <w:rFonts w:hint="eastAsia" w:ascii="宋体" w:hAnsi="宋体" w:cs="宋体"/>
          <w:bCs/>
          <w:sz w:val="18"/>
          <w:szCs w:val="18"/>
        </w:rPr>
        <w:t>因战争、自然灾害、重大政治事件等不可抗力以及其他不可预见的意外事件可能致使理财产品面临损失的风险。</w:t>
      </w:r>
    </w:p>
    <w:p w14:paraId="1E940E60">
      <w:pPr>
        <w:widowControl w:val="0"/>
        <w:ind w:firstLine="361" w:firstLineChars="20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10.</w:t>
      </w:r>
      <w:r>
        <w:rPr>
          <w:rFonts w:ascii="宋体" w:hAnsi="宋体" w:eastAsia="宋体" w:cs="宋体"/>
          <w:b/>
          <w:bCs/>
          <w:kern w:val="2"/>
          <w:sz w:val="18"/>
          <w:szCs w:val="18"/>
          <w:lang w:val="en-US" w:eastAsia="zh-CN" w:bidi="ar-SA"/>
        </w:rPr>
        <w:t>管理人风险</w:t>
      </w:r>
    </w:p>
    <w:p w14:paraId="6876620F">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理财产品管理人或理财投资资产相关服务机构受经验、技能等因素的限制，或者上述主体处理事务不当等，可能导致投资者遭受损失。</w:t>
      </w:r>
    </w:p>
    <w:p w14:paraId="396C83ED">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1.理财产品不成立风险</w:t>
      </w:r>
    </w:p>
    <w:p w14:paraId="31F698B8">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如自本产品开始募集至认购期结束认购总金额未达到产品最小成立规模（如有约定），或</w:t>
      </w:r>
      <w:r>
        <w:rPr>
          <w:rFonts w:ascii="宋体" w:hAnsi="宋体" w:eastAsia="宋体" w:cs="宋体"/>
          <w:bCs/>
          <w:kern w:val="2"/>
          <w:sz w:val="18"/>
          <w:szCs w:val="18"/>
          <w:lang w:val="en-US" w:eastAsia="zh-CN" w:bidi="ar-SA"/>
        </w:rPr>
        <w:t>融资人取消融资计划，</w:t>
      </w:r>
      <w:r>
        <w:rPr>
          <w:rFonts w:hint="eastAsia" w:ascii="宋体" w:hAnsi="宋体" w:eastAsia="宋体" w:cs="宋体"/>
          <w:bCs/>
          <w:kern w:val="2"/>
          <w:sz w:val="18"/>
          <w:szCs w:val="18"/>
          <w:lang w:val="en-US" w:eastAsia="zh-CN" w:bidi="ar-SA"/>
        </w:rPr>
        <w:t>或市场发生剧烈波动，或不可抗力，或相关法律法规以及监管部门规定等原因，经</w:t>
      </w:r>
      <w:r>
        <w:rPr>
          <w:rFonts w:hint="eastAsia" w:ascii="宋体" w:hAnsi="宋体" w:eastAsia="宋体" w:cs="仿宋_GB2312"/>
          <w:kern w:val="0"/>
          <w:sz w:val="18"/>
          <w:szCs w:val="18"/>
          <w:lang w:val="en-US" w:eastAsia="zh-CN" w:bidi="ar-SA"/>
        </w:rPr>
        <w:t>产品管理人</w:t>
      </w:r>
      <w:r>
        <w:rPr>
          <w:rFonts w:hint="eastAsia" w:ascii="宋体" w:hAnsi="宋体" w:eastAsia="宋体" w:cs="宋体"/>
          <w:bCs/>
          <w:kern w:val="2"/>
          <w:sz w:val="18"/>
          <w:szCs w:val="18"/>
          <w:lang w:val="en-US" w:eastAsia="zh-CN" w:bidi="ar-SA"/>
        </w:rPr>
        <w:t>谨慎合理判断难以按照理财产品销售文件有关规定向投资者提供本产品，</w:t>
      </w:r>
      <w:r>
        <w:rPr>
          <w:rFonts w:hint="eastAsia" w:ascii="宋体" w:hAnsi="宋体" w:eastAsia="宋体" w:cs="仿宋_GB2312"/>
          <w:kern w:val="0"/>
          <w:sz w:val="18"/>
          <w:szCs w:val="18"/>
          <w:lang w:val="en-US" w:eastAsia="zh-CN" w:bidi="ar-SA"/>
        </w:rPr>
        <w:t>产品管理人</w:t>
      </w:r>
      <w:r>
        <w:rPr>
          <w:rFonts w:hint="eastAsia" w:ascii="宋体" w:hAnsi="宋体" w:eastAsia="宋体" w:cs="宋体"/>
          <w:bCs/>
          <w:kern w:val="2"/>
          <w:sz w:val="18"/>
          <w:szCs w:val="18"/>
          <w:lang w:val="en-US" w:eastAsia="zh-CN" w:bidi="ar-SA"/>
        </w:rPr>
        <w:t>有权宣布本产品不成立并</w:t>
      </w:r>
      <w:r>
        <w:rPr>
          <w:rFonts w:ascii="宋体" w:hAnsi="宋体" w:eastAsia="宋体" w:cs="宋体"/>
          <w:bCs/>
          <w:kern w:val="2"/>
          <w:sz w:val="18"/>
          <w:szCs w:val="18"/>
          <w:lang w:val="en-US" w:eastAsia="zh-CN" w:bidi="ar-SA"/>
        </w:rPr>
        <w:t>及时返还投资者资金</w:t>
      </w:r>
      <w:r>
        <w:rPr>
          <w:rFonts w:hint="eastAsia" w:ascii="宋体" w:hAnsi="宋体" w:eastAsia="宋体" w:cs="宋体"/>
          <w:bCs/>
          <w:kern w:val="2"/>
          <w:sz w:val="18"/>
          <w:szCs w:val="18"/>
          <w:lang w:val="en-US" w:eastAsia="zh-CN" w:bidi="ar-SA"/>
        </w:rPr>
        <w:t>，投资者将承担投资本产品不成立的风险。</w:t>
      </w:r>
    </w:p>
    <w:p w14:paraId="625BD7F6">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2.</w:t>
      </w:r>
      <w:r>
        <w:rPr>
          <w:rFonts w:ascii="宋体" w:hAnsi="宋体" w:eastAsia="宋体" w:cs="宋体"/>
          <w:b/>
          <w:bCs/>
          <w:kern w:val="2"/>
          <w:sz w:val="18"/>
          <w:szCs w:val="18"/>
          <w:lang w:val="en-US" w:eastAsia="zh-CN" w:bidi="ar-SA"/>
        </w:rPr>
        <w:t>操作风险</w:t>
      </w:r>
    </w:p>
    <w:p w14:paraId="116C9D89">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由于产品管理人的</w:t>
      </w:r>
      <w:r>
        <w:rPr>
          <w:rFonts w:ascii="宋体" w:hAnsi="宋体" w:eastAsia="宋体" w:cs="宋体"/>
          <w:bCs/>
          <w:kern w:val="2"/>
          <w:sz w:val="18"/>
          <w:szCs w:val="18"/>
          <w:lang w:val="en-US" w:eastAsia="zh-CN" w:bidi="ar-SA"/>
        </w:rPr>
        <w:t>不完善或有问题的内部程序、员工和信息科技系统，以及外部事件所造成损失的风险。</w:t>
      </w:r>
    </w:p>
    <w:p w14:paraId="781466DE">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3</w:t>
      </w:r>
      <w:r>
        <w:rPr>
          <w:rFonts w:ascii="宋体" w:hAnsi="宋体" w:eastAsia="宋体" w:cs="宋体"/>
          <w:b/>
          <w:bCs/>
          <w:kern w:val="2"/>
          <w:sz w:val="18"/>
          <w:szCs w:val="18"/>
          <w:lang w:val="en-US" w:eastAsia="zh-CN" w:bidi="ar-SA"/>
        </w:rPr>
        <w:t>.估值</w:t>
      </w:r>
      <w:r>
        <w:rPr>
          <w:rFonts w:hint="eastAsia" w:ascii="宋体" w:hAnsi="宋体" w:eastAsia="宋体" w:cs="宋体"/>
          <w:b/>
          <w:bCs/>
          <w:kern w:val="2"/>
          <w:sz w:val="18"/>
          <w:szCs w:val="18"/>
          <w:lang w:val="en-US" w:eastAsia="zh-CN" w:bidi="ar-SA"/>
        </w:rPr>
        <w:t>波动</w:t>
      </w:r>
      <w:r>
        <w:rPr>
          <w:rFonts w:ascii="宋体" w:hAnsi="宋体" w:eastAsia="宋体" w:cs="宋体"/>
          <w:b/>
          <w:bCs/>
          <w:kern w:val="2"/>
          <w:sz w:val="18"/>
          <w:szCs w:val="18"/>
          <w:lang w:val="en-US" w:eastAsia="zh-CN" w:bidi="ar-SA"/>
        </w:rPr>
        <w:t>风险</w:t>
      </w:r>
    </w:p>
    <w:p w14:paraId="3952F590">
      <w:pPr>
        <w:widowControl w:val="0"/>
        <w:ind w:firstLine="360" w:firstLineChars="200"/>
        <w:jc w:val="both"/>
        <w:rPr>
          <w:rFonts w:ascii="宋体" w:hAnsi="宋体" w:eastAsia="宋体" w:cs="宋体"/>
          <w:bCs/>
          <w:kern w:val="2"/>
          <w:sz w:val="18"/>
          <w:szCs w:val="18"/>
          <w:lang w:val="en-US" w:eastAsia="zh-CN" w:bidi="ar-SA"/>
        </w:rPr>
      </w:pP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本理财产品可能</w:t>
      </w:r>
      <w:r>
        <w:rPr>
          <w:rFonts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投资符合监管</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要求的资产管理产品（包括但不限于信托计划、</w:t>
      </w:r>
      <w:r>
        <w:rPr>
          <w:rFonts w:hint="eastAsia" w:cs="宋体" w:asciiTheme="majorEastAsia" w:hAnsiTheme="majorEastAsia" w:eastAsiaTheme="majorEastAsia"/>
          <w:bCs/>
          <w:color w:val="000000" w:themeColor="text1"/>
          <w:kern w:val="0"/>
          <w:sz w:val="18"/>
          <w:szCs w:val="18"/>
          <w:lang w:val="en-US" w:eastAsia="zh-CN" w:bidi="ar-SA"/>
          <w14:textFill>
            <w14:solidFill>
              <w14:schemeClr w14:val="tx1"/>
            </w14:solidFill>
          </w14:textFill>
        </w:rPr>
        <w:t>公募基金、基金公司或子公司资产管理计划、证券公司资产管理计划、</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期货资产管理计划、</w:t>
      </w:r>
      <w:r>
        <w:rPr>
          <w:rFonts w:hint="eastAsia" w:cs="宋体" w:asciiTheme="majorEastAsia" w:hAnsiTheme="majorEastAsia" w:eastAsiaTheme="majorEastAsia"/>
          <w:bCs/>
          <w:color w:val="000000" w:themeColor="text1"/>
          <w:kern w:val="0"/>
          <w:sz w:val="18"/>
          <w:szCs w:val="18"/>
          <w:lang w:val="en-US" w:eastAsia="zh-CN" w:bidi="ar-SA"/>
          <w14:textFill>
            <w14:solidFill>
              <w14:schemeClr w14:val="tx1"/>
            </w14:solidFill>
          </w14:textFill>
        </w:rPr>
        <w:t>保险资产管理计划</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等），前述资产管理产品的管理人可能收取</w:t>
      </w:r>
      <w:r>
        <w:rPr>
          <w:rFonts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业绩报酬，</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当前述资产管理产品计提业绩报酬时，本理财产品的产品份额净值存在下跌的风险。</w:t>
      </w:r>
    </w:p>
    <w:p w14:paraId="23A47641">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4.</w:t>
      </w:r>
      <w:r>
        <w:rPr>
          <w:rFonts w:ascii="宋体" w:hAnsi="宋体" w:eastAsia="宋体" w:cs="宋体"/>
          <w:b/>
          <w:bCs/>
          <w:kern w:val="2"/>
          <w:sz w:val="18"/>
          <w:szCs w:val="18"/>
          <w:lang w:val="en-US" w:eastAsia="zh-CN" w:bidi="ar-SA"/>
        </w:rPr>
        <w:t>估值差错风险</w:t>
      </w:r>
    </w:p>
    <w:p w14:paraId="4A9FC7DD">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理财投资基础资产时涉及对资产估值不准确、及时的，理财产品管理人及产品托管人对理财产品费用计提出现错误，将导致本产品估值差错，可能影响理财产品份额净值。</w:t>
      </w:r>
    </w:p>
    <w:p w14:paraId="2BAC22DD">
      <w:pPr>
        <w:widowControl w:val="0"/>
        <w:ind w:firstLine="361" w:firstLineChars="200"/>
        <w:jc w:val="both"/>
        <w:rPr>
          <w:rFonts w:ascii="黑体" w:hAnsi="黑体" w:eastAsia="黑体" w:cs="黑体"/>
          <w:b/>
          <w:bCs/>
          <w:kern w:val="2"/>
          <w:sz w:val="18"/>
          <w:szCs w:val="18"/>
          <w:lang w:val="en-US" w:eastAsia="zh-CN" w:bidi="ar-SA"/>
        </w:rPr>
      </w:pPr>
      <w:r>
        <w:rPr>
          <w:rFonts w:hint="eastAsia" w:ascii="黑体" w:hAnsi="黑体" w:eastAsia="黑体" w:cs="黑体"/>
          <w:b/>
          <w:bCs/>
          <w:kern w:val="2"/>
          <w:sz w:val="18"/>
          <w:szCs w:val="18"/>
          <w:lang w:val="en-US" w:eastAsia="zh-CN" w:bidi="ar-SA"/>
        </w:rPr>
        <w:t>15.</w:t>
      </w:r>
      <w:r>
        <w:rPr>
          <w:rFonts w:hint="eastAsia" w:ascii="黑体" w:hAnsi="黑体" w:eastAsia="黑体" w:cs="黑体"/>
          <w:kern w:val="2"/>
          <w:sz w:val="18"/>
          <w:szCs w:val="18"/>
          <w:lang w:val="en-US" w:eastAsia="zh-CN" w:bidi="ar-SA"/>
        </w:rPr>
        <w:t>★</w:t>
      </w:r>
      <w:r>
        <w:rPr>
          <w:rFonts w:hint="eastAsia" w:ascii="黑体" w:hAnsi="黑体" w:eastAsia="黑体" w:cs="黑体"/>
          <w:b/>
          <w:bCs/>
          <w:kern w:val="2"/>
          <w:sz w:val="18"/>
          <w:szCs w:val="18"/>
          <w:lang w:val="en-US" w:eastAsia="zh-CN" w:bidi="ar-SA"/>
        </w:rPr>
        <w:t>代销风险</w:t>
      </w:r>
    </w:p>
    <w:p w14:paraId="3DB75477">
      <w:pPr>
        <w:widowControl w:val="0"/>
        <w:ind w:firstLine="360" w:firstLineChars="200"/>
        <w:jc w:val="both"/>
        <w:rPr>
          <w:rFonts w:ascii="黑体" w:hAnsi="黑体" w:eastAsia="黑体" w:cs="黑体"/>
          <w:bCs/>
          <w:kern w:val="2"/>
          <w:sz w:val="18"/>
          <w:szCs w:val="18"/>
          <w:lang w:val="en-US" w:eastAsia="zh-CN" w:bidi="ar-SA"/>
        </w:rPr>
      </w:pPr>
      <w:r>
        <w:rPr>
          <w:rFonts w:hint="eastAsia" w:ascii="黑体" w:hAnsi="黑体" w:eastAsia="黑体" w:cs="黑体"/>
          <w:bCs/>
          <w:kern w:val="2"/>
          <w:sz w:val="18"/>
          <w:szCs w:val="18"/>
          <w:lang w:val="en-US" w:eastAsia="zh-CN" w:bidi="ar-SA"/>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14:paraId="6824C174">
      <w:pPr>
        <w:spacing w:line="276" w:lineRule="auto"/>
        <w:ind w:firstLine="361" w:firstLineChars="200"/>
        <w:rPr>
          <w:rFonts w:ascii="黑体" w:hAnsi="黑体" w:eastAsia="黑体" w:cs="仿宋_GB2312"/>
          <w:b/>
          <w:bCs/>
          <w:kern w:val="0"/>
          <w:sz w:val="18"/>
          <w:szCs w:val="18"/>
        </w:rPr>
      </w:pPr>
      <w:r>
        <w:rPr>
          <w:rFonts w:ascii="黑体" w:hAnsi="黑体" w:eastAsia="黑体" w:cs="宋体"/>
          <w:b/>
          <w:bCs/>
          <w:sz w:val="18"/>
          <w:szCs w:val="18"/>
        </w:rPr>
        <w:t>1</w:t>
      </w:r>
      <w:r>
        <w:rPr>
          <w:rFonts w:hint="eastAsia" w:ascii="黑体" w:hAnsi="黑体" w:eastAsia="黑体" w:cs="宋体"/>
          <w:b/>
          <w:bCs/>
          <w:sz w:val="18"/>
          <w:szCs w:val="18"/>
        </w:rPr>
        <w:t>6</w:t>
      </w:r>
      <w:r>
        <w:rPr>
          <w:rFonts w:ascii="黑体" w:hAnsi="黑体" w:eastAsia="黑体" w:cs="宋体"/>
          <w:b/>
          <w:bCs/>
          <w:sz w:val="18"/>
          <w:szCs w:val="18"/>
        </w:rPr>
        <w:t>.</w:t>
      </w:r>
      <w:r>
        <w:rPr>
          <w:rFonts w:hint="eastAsia" w:ascii="黑体" w:hAnsi="黑体" w:eastAsia="黑体" w:cs="仿宋_GB2312"/>
          <w:b/>
          <w:bCs/>
          <w:kern w:val="0"/>
          <w:sz w:val="18"/>
          <w:szCs w:val="18"/>
        </w:rPr>
        <w:t>★不同理财产品份额类别存在差异的风险</w:t>
      </w:r>
    </w:p>
    <w:p w14:paraId="19CB35A7">
      <w:pPr>
        <w:spacing w:line="276" w:lineRule="auto"/>
        <w:ind w:firstLine="360" w:firstLineChars="200"/>
        <w:rPr>
          <w:rFonts w:ascii="黑体" w:hAnsi="黑体" w:eastAsia="黑体" w:cs="宋体"/>
          <w:sz w:val="18"/>
          <w:szCs w:val="18"/>
        </w:rPr>
      </w:pP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等因素，对理财投资者所持有的理财产品设置不同理财产品份额类别。不同类别的理财产品份额可能在销售名称、收费方式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w:t>
      </w:r>
      <w:r>
        <w:rPr>
          <w:rFonts w:hint="eastAsia" w:ascii="黑体" w:hAnsi="黑体" w:eastAsia="黑体" w:cs="宋体"/>
          <w:sz w:val="18"/>
          <w:szCs w:val="18"/>
        </w:rPr>
        <w:t>投资者认购申购和赎回的数量限制、投资者持有本产品的最高限额最低限额、计算和公告产品份额净值方面存在差异。</w:t>
      </w:r>
    </w:p>
    <w:p w14:paraId="7F415564">
      <w:pPr>
        <w:widowControl w:val="0"/>
        <w:ind w:firstLine="420"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17.关联交易风险</w:t>
      </w:r>
    </w:p>
    <w:p w14:paraId="74E1A73A">
      <w:pPr>
        <w:widowControl w:val="0"/>
        <w:ind w:firstLine="420" w:firstLineChars="0"/>
        <w:jc w:val="both"/>
        <w:rPr>
          <w:rFonts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若本产品的销售机构为兴业银行股份有限公司（以下简称“兴业银行”），鉴于兴业银行是产品管理人的关联方，尽管兴业银行已建立健全关联方产品销售管理制度，但上述关联关系仍可能产生不利影响和投资风险，进而可能影响投资者的利益。</w:t>
      </w:r>
    </w:p>
    <w:p w14:paraId="012E6BD0">
      <w:pPr>
        <w:autoSpaceDE w:val="0"/>
        <w:autoSpaceDN w:val="0"/>
        <w:adjustRightInd w:val="0"/>
        <w:ind w:firstLine="420"/>
        <w:jc w:val="left"/>
        <w:rPr>
          <w:rFonts w:ascii="黑体" w:hAnsi="黑体" w:eastAsia="黑体" w:cs="宋体"/>
          <w:sz w:val="18"/>
          <w:szCs w:val="18"/>
        </w:rPr>
      </w:pPr>
      <w:r>
        <w:rPr>
          <w:rFonts w:hint="eastAsia" w:ascii="黑体" w:hAnsi="黑体" w:eastAsia="黑体" w:cs="仿宋_GB2312"/>
          <w:kern w:val="0"/>
          <w:sz w:val="18"/>
          <w:szCs w:val="18"/>
        </w:rPr>
        <w:t>（三）</w:t>
      </w:r>
      <w:r>
        <w:rPr>
          <w:rFonts w:hint="eastAsia" w:ascii="Calibri" w:hAnsi="宋体" w:cs="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cs="宋体"/>
          <w:bCs/>
          <w:sz w:val="18"/>
          <w:szCs w:val="18"/>
        </w:rPr>
        <w:t>产品管理人对本产品的理财本金和收益不提供保证承诺，</w:t>
      </w:r>
      <w:r>
        <w:rPr>
          <w:rFonts w:hint="eastAsia" w:ascii="黑体" w:hAnsi="黑体" w:eastAsia="黑体" w:cs="宋体"/>
          <w:sz w:val="18"/>
          <w:szCs w:val="18"/>
        </w:rPr>
        <w:t>若理财产品运作期间，该理财产品投资标的出现风险，则投资者可能无法获得理财收益</w:t>
      </w:r>
      <w:r>
        <w:rPr>
          <w:rFonts w:ascii="黑体" w:hAnsi="黑体" w:eastAsia="黑体" w:cs="宋体"/>
          <w:sz w:val="18"/>
          <w:szCs w:val="18"/>
        </w:rPr>
        <w:t>，甚至投资者的投资本金将遭受损失，在最不利的极端情况下，投资者可能损失全部本金。</w:t>
      </w:r>
    </w:p>
    <w:p w14:paraId="1B7C76C8">
      <w:pPr>
        <w:autoSpaceDE w:val="0"/>
        <w:autoSpaceDN w:val="0"/>
        <w:adjustRightInd w:val="0"/>
        <w:ind w:firstLine="420"/>
        <w:jc w:val="left"/>
        <w:rPr>
          <w:rFonts w:ascii="黑体" w:hAnsi="黑体" w:eastAsia="黑体" w:cs="黑体"/>
          <w:kern w:val="0"/>
          <w:sz w:val="18"/>
          <w:szCs w:val="18"/>
        </w:rPr>
      </w:pPr>
      <w:r>
        <w:rPr>
          <w:rFonts w:hint="eastAsia" w:ascii="黑体" w:hAnsi="黑体" w:eastAsia="黑体" w:cs="黑体"/>
          <w:color w:val="000000"/>
          <w:kern w:val="0"/>
          <w:sz w:val="18"/>
          <w:szCs w:val="18"/>
        </w:rPr>
        <w:t>五、【非机构投资者适用】</w:t>
      </w:r>
      <w:r>
        <w:rPr>
          <w:rFonts w:hint="eastAsia" w:ascii="黑体" w:hAnsi="黑体" w:eastAsia="黑体" w:cs="黑体"/>
          <w:kern w:val="0"/>
          <w:sz w:val="18"/>
          <w:szCs w:val="18"/>
        </w:rPr>
        <w:t>《投资者风险承受能力评估问卷》用于评估非机构投资者对金融工具及投资目标的相关风险的态度。非机构投资者可根据评估结果确定所属投资者类型，购买适合的理财产品。如影响您风险承受能力的因素发生变化，请您及时重新完成风险承受能力评估。其他类型投资者的风险承受能力评估按照《（代理）销售协议书》约定或销售机构的销售政策执行。</w:t>
      </w:r>
    </w:p>
    <w:p w14:paraId="2AD95DE2">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cs="宋体"/>
          <w:bCs/>
          <w:sz w:val="18"/>
          <w:szCs w:val="18"/>
        </w:rPr>
        <w:t>六、</w:t>
      </w:r>
      <w:r>
        <w:rPr>
          <w:rFonts w:hint="eastAsia" w:ascii="黑体" w:hAnsi="黑体" w:eastAsia="黑体" w:cs="黑体"/>
          <w:color w:val="000000"/>
          <w:kern w:val="0"/>
          <w:sz w:val="18"/>
          <w:szCs w:val="18"/>
        </w:rPr>
        <w:t>【非机构投资者适用】</w:t>
      </w:r>
      <w:r>
        <w:rPr>
          <w:rFonts w:hint="eastAsia" w:ascii="黑体" w:hAnsi="黑体" w:eastAsia="黑体" w:cs="宋体"/>
          <w:bCs/>
          <w:sz w:val="18"/>
          <w:szCs w:val="18"/>
        </w:rPr>
        <w:t>当销售机构销售产品风险评级为</w:t>
      </w:r>
      <w:r>
        <w:rPr>
          <w:rFonts w:ascii="黑体" w:hAnsi="黑体" w:eastAsia="黑体" w:cs="宋体"/>
          <w:bCs/>
          <w:sz w:val="18"/>
          <w:szCs w:val="18"/>
        </w:rPr>
        <w:t>R4</w:t>
      </w:r>
      <w:r>
        <w:rPr>
          <w:rFonts w:hint="eastAsia" w:ascii="黑体" w:hAnsi="黑体" w:eastAsia="黑体" w:cs="宋体"/>
          <w:bCs/>
          <w:sz w:val="18"/>
          <w:szCs w:val="18"/>
        </w:rPr>
        <w:t>及</w:t>
      </w:r>
      <w:r>
        <w:rPr>
          <w:rFonts w:ascii="黑体" w:hAnsi="黑体" w:eastAsia="黑体" w:cs="宋体"/>
          <w:bCs/>
          <w:sz w:val="18"/>
          <w:szCs w:val="18"/>
        </w:rPr>
        <w:t>以上</w:t>
      </w:r>
      <w:r>
        <w:rPr>
          <w:rFonts w:hint="eastAsia" w:ascii="黑体" w:hAnsi="黑体" w:eastAsia="黑体" w:cs="宋体"/>
          <w:bCs/>
          <w:sz w:val="18"/>
          <w:szCs w:val="18"/>
        </w:rPr>
        <w:t>的理财产品时，</w:t>
      </w:r>
      <w:r>
        <w:rPr>
          <w:rFonts w:hint="eastAsia" w:ascii="黑体" w:hAnsi="黑体" w:eastAsia="黑体" w:cs="仿宋_GB2312"/>
          <w:kern w:val="0"/>
          <w:sz w:val="18"/>
          <w:szCs w:val="18"/>
        </w:rPr>
        <w:t>您签署本销售文件即视为您同意销售机构可以通过线上渠道向您销售产品风险评级为R4及以上的理财产品。</w:t>
      </w:r>
    </w:p>
    <w:p w14:paraId="394BC296">
      <w:pPr>
        <w:ind w:left="540"/>
        <w:jc w:val="right"/>
        <w:rPr>
          <w:rFonts w:ascii="宋体" w:hAnsi="宋体" w:cs="宋体"/>
          <w:sz w:val="18"/>
          <w:szCs w:val="18"/>
        </w:rPr>
      </w:pPr>
    </w:p>
    <w:p w14:paraId="05870378">
      <w:pPr>
        <w:wordWrap w:val="0"/>
        <w:ind w:left="540"/>
        <w:jc w:val="right"/>
        <w:rPr>
          <w:rFonts w:ascii="宋体" w:hAnsi="宋体" w:cs="宋体"/>
          <w:sz w:val="18"/>
          <w:szCs w:val="18"/>
        </w:rPr>
      </w:pPr>
      <w:r>
        <w:rPr>
          <w:rFonts w:hint="eastAsia" w:ascii="宋体" w:hAnsi="宋体" w:cs="宋体"/>
          <w:sz w:val="18"/>
          <w:szCs w:val="18"/>
        </w:rPr>
        <w:t>风险揭示方：产品管理人</w:t>
      </w:r>
      <w:r>
        <w:rPr>
          <w:rFonts w:ascii="宋体" w:hAnsi="宋体" w:cs="宋体"/>
          <w:sz w:val="18"/>
          <w:szCs w:val="18"/>
        </w:rPr>
        <w:t xml:space="preserve"> (</w:t>
      </w:r>
      <w:r>
        <w:rPr>
          <w:rFonts w:hint="eastAsia" w:ascii="宋体" w:hAnsi="宋体" w:cs="宋体"/>
          <w:sz w:val="18"/>
          <w:szCs w:val="18"/>
        </w:rPr>
        <w:t>兴银理财有限责任公司</w:t>
      </w:r>
      <w:r>
        <w:rPr>
          <w:rFonts w:ascii="宋体" w:hAnsi="宋体" w:cs="宋体"/>
          <w:sz w:val="18"/>
          <w:szCs w:val="18"/>
        </w:rPr>
        <w:t>)</w:t>
      </w:r>
    </w:p>
    <w:p w14:paraId="35CB1E9F">
      <w:pPr>
        <w:wordWrap w:val="0"/>
        <w:ind w:left="540"/>
        <w:jc w:val="right"/>
        <w:rPr>
          <w:rFonts w:ascii="宋体" w:hAnsi="宋体" w:cs="宋体"/>
          <w:sz w:val="18"/>
          <w:szCs w:val="18"/>
        </w:rPr>
      </w:pPr>
      <w:r>
        <w:rPr>
          <w:rFonts w:hint="eastAsia" w:ascii="宋体" w:hAnsi="宋体" w:cs="宋体"/>
          <w:sz w:val="18"/>
          <w:szCs w:val="18"/>
        </w:rPr>
        <w:t>销售机构（【</w:t>
      </w:r>
      <w:r>
        <w:rPr>
          <w:rFonts w:hint="eastAsia" w:ascii="宋体" w:hAnsi="宋体" w:cs="宋体"/>
          <w:sz w:val="18"/>
          <w:szCs w:val="18"/>
          <w:lang w:val="en-US" w:eastAsia="zh-CN"/>
        </w:rPr>
        <w:t xml:space="preserve">                   </w:t>
      </w:r>
      <w:r>
        <w:rPr>
          <w:rFonts w:hint="eastAsia" w:ascii="宋体" w:hAnsi="宋体" w:cs="宋体"/>
          <w:sz w:val="18"/>
          <w:szCs w:val="18"/>
        </w:rPr>
        <w:t>】）</w:t>
      </w:r>
    </w:p>
    <w:p w14:paraId="176ABAAF">
      <w:pPr>
        <w:widowControl/>
        <w:jc w:val="left"/>
        <w:rPr>
          <w:rFonts w:ascii="宋体" w:hAnsi="宋体" w:cs="宋体"/>
          <w:sz w:val="18"/>
          <w:szCs w:val="18"/>
        </w:rPr>
      </w:pPr>
      <w:r>
        <w:rPr>
          <w:rFonts w:ascii="宋体" w:hAnsi="宋体" w:cs="宋体"/>
          <w:sz w:val="18"/>
          <w:szCs w:val="18"/>
        </w:rPr>
        <w:br w:type="page"/>
      </w:r>
    </w:p>
    <w:p w14:paraId="292FEAAF">
      <w:pPr>
        <w:ind w:left="540"/>
        <w:jc w:val="right"/>
        <w:rPr>
          <w:rFonts w:ascii="宋体" w:hAnsi="宋体" w:cs="宋体"/>
          <w:sz w:val="18"/>
          <w:szCs w:val="18"/>
        </w:rPr>
      </w:pPr>
    </w:p>
    <w:p w14:paraId="40F66B5C">
      <w:pPr>
        <w:ind w:left="540"/>
        <w:jc w:val="right"/>
        <w:rPr>
          <w:rFonts w:ascii="宋体" w:hAnsi="宋体" w:cs="宋体"/>
          <w:sz w:val="18"/>
          <w:szCs w:val="18"/>
        </w:rPr>
      </w:pPr>
    </w:p>
    <w:tbl>
      <w:tblPr>
        <w:tblStyle w:val="8"/>
        <w:tblW w:w="83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371"/>
      </w:tblGrid>
      <w:tr w14:paraId="72ECC1E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atLeast"/>
        </w:trPr>
        <w:tc>
          <w:tcPr>
            <w:tcW w:w="8371" w:type="dxa"/>
          </w:tcPr>
          <w:p w14:paraId="05359582">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14:paraId="243288CA">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14:paraId="6E813D5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3" w:hRule="atLeast"/>
        </w:trPr>
        <w:tc>
          <w:tcPr>
            <w:tcW w:w="8371" w:type="dxa"/>
          </w:tcPr>
          <w:p w14:paraId="6C8D48D3">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14:paraId="19B1EA48">
            <w:pPr>
              <w:spacing w:line="280" w:lineRule="atLeast"/>
              <w:jc w:val="left"/>
              <w:rPr>
                <w:rFonts w:ascii="宋体" w:hAnsi="宋体" w:cs="Arial"/>
                <w:sz w:val="18"/>
                <w:szCs w:val="18"/>
              </w:rPr>
            </w:pPr>
          </w:p>
          <w:p w14:paraId="0F77CCBF">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14:paraId="28F20269">
            <w:pPr>
              <w:spacing w:line="280" w:lineRule="atLeast"/>
              <w:jc w:val="left"/>
              <w:rPr>
                <w:rFonts w:ascii="宋体" w:hAnsi="宋体" w:cs="Arial"/>
                <w:kern w:val="0"/>
                <w:sz w:val="18"/>
                <w:szCs w:val="18"/>
              </w:rPr>
            </w:pPr>
          </w:p>
          <w:p w14:paraId="449046FC">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14:paraId="02232D3F">
            <w:pPr>
              <w:spacing w:line="280" w:lineRule="atLeast"/>
              <w:jc w:val="left"/>
              <w:rPr>
                <w:rFonts w:ascii="宋体" w:hAnsi="宋体" w:cs="Arial"/>
                <w:kern w:val="0"/>
                <w:sz w:val="18"/>
                <w:szCs w:val="18"/>
              </w:rPr>
            </w:pPr>
          </w:p>
          <w:p w14:paraId="6445E536">
            <w:pPr>
              <w:spacing w:line="280" w:lineRule="atLeast"/>
              <w:jc w:val="left"/>
              <w:rPr>
                <w:rFonts w:ascii="Calibri" w:hAnsi="Calibri" w:cs="宋体"/>
                <w:kern w:val="0"/>
                <w:sz w:val="18"/>
                <w:szCs w:val="18"/>
                <w:u w:val="single"/>
              </w:rPr>
            </w:pPr>
            <w:r>
              <w:rPr>
                <w:rFonts w:hint="eastAsia" w:ascii="宋体" w:hAnsi="宋体" w:cs="Arial"/>
                <w:kern w:val="0"/>
                <w:sz w:val="18"/>
                <w:szCs w:val="18"/>
              </w:rPr>
              <w:t>请投资者在此抄录：</w:t>
            </w:r>
          </w:p>
          <w:p w14:paraId="00D0BB06">
            <w:pPr>
              <w:spacing w:line="280" w:lineRule="atLeast"/>
              <w:jc w:val="left"/>
              <w:rPr>
                <w:rFonts w:ascii="Calibri" w:hAnsi="Calibri" w:cs="宋体"/>
                <w:kern w:val="0"/>
                <w:sz w:val="18"/>
                <w:szCs w:val="18"/>
                <w:u w:val="single"/>
              </w:rPr>
            </w:pPr>
          </w:p>
          <w:p w14:paraId="7E925332">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投资者签名/线上确认：</w:t>
            </w:r>
          </w:p>
          <w:p w14:paraId="468B8204">
            <w:pPr>
              <w:spacing w:line="280" w:lineRule="atLeast"/>
              <w:ind w:left="4200" w:firstLine="1080" w:firstLineChars="600"/>
              <w:jc w:val="left"/>
              <w:rPr>
                <w:rFonts w:ascii="宋体" w:hAnsi="宋体" w:cs="Arial"/>
                <w:kern w:val="0"/>
                <w:sz w:val="18"/>
                <w:szCs w:val="18"/>
              </w:rPr>
            </w:pPr>
          </w:p>
          <w:p w14:paraId="1A3BC94F">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14:paraId="29272983">
            <w:pPr>
              <w:spacing w:line="280" w:lineRule="atLeast"/>
              <w:ind w:left="4200" w:firstLine="1080" w:firstLineChars="600"/>
              <w:jc w:val="left"/>
              <w:rPr>
                <w:rFonts w:ascii="宋体" w:hAnsi="宋体" w:cs="Arial"/>
                <w:kern w:val="0"/>
                <w:sz w:val="18"/>
                <w:szCs w:val="18"/>
              </w:rPr>
            </w:pPr>
          </w:p>
          <w:p w14:paraId="5637DC31">
            <w:pPr>
              <w:spacing w:line="280" w:lineRule="atLeast"/>
              <w:jc w:val="left"/>
              <w:rPr>
                <w:rFonts w:ascii="宋体" w:hAnsi="宋体" w:cs="Arial"/>
                <w:b/>
                <w:bCs/>
                <w:kern w:val="0"/>
                <w:sz w:val="18"/>
                <w:szCs w:val="18"/>
              </w:rPr>
            </w:pPr>
            <w:r>
              <w:rPr>
                <w:rFonts w:hint="eastAsia" w:ascii="Calibri" w:hAnsi="Calibri" w:cs="宋体"/>
                <w:b/>
                <w:bCs/>
                <w:kern w:val="0"/>
                <w:sz w:val="20"/>
                <w:szCs w:val="20"/>
              </w:rPr>
              <w:t>（本风险揭示书共有三份签署文本，第一联销售机构留存，第二联投资者留存，第三联产品管理人留存。）</w:t>
            </w:r>
          </w:p>
          <w:p w14:paraId="2095DA10">
            <w:pPr>
              <w:spacing w:line="280" w:lineRule="atLeast"/>
              <w:jc w:val="right"/>
              <w:rPr>
                <w:rFonts w:ascii="宋体" w:hAnsi="宋体" w:cs="宋体"/>
                <w:kern w:val="0"/>
                <w:sz w:val="18"/>
                <w:szCs w:val="18"/>
              </w:rPr>
            </w:pPr>
          </w:p>
        </w:tc>
      </w:tr>
    </w:tbl>
    <w:p w14:paraId="5F8C133B">
      <w:pPr>
        <w:autoSpaceDE w:val="0"/>
        <w:autoSpaceDN w:val="0"/>
        <w:adjustRightInd w:val="0"/>
        <w:spacing w:line="360" w:lineRule="auto"/>
        <w:ind w:firstLine="420"/>
        <w:jc w:val="left"/>
        <w:rPr>
          <w:rFonts w:ascii="宋体" w:hAnsi="宋体" w:cs="宋体"/>
          <w:sz w:val="24"/>
          <w:szCs w:val="22"/>
        </w:rPr>
      </w:pPr>
    </w:p>
    <w:p w14:paraId="7C0BEFC8">
      <w:pPr>
        <w:rPr>
          <w:rFonts w:ascii="宋体" w:hAnsi="宋体" w:cs="Arial"/>
          <w:sz w:val="24"/>
          <w:szCs w:val="22"/>
        </w:rPr>
      </w:pPr>
    </w:p>
    <w:p w14:paraId="4D98FD98">
      <w:pPr>
        <w:widowControl/>
        <w:jc w:val="left"/>
        <w:rPr>
          <w:rFonts w:ascii="宋体" w:hAnsi="宋体" w:cs="Arial"/>
          <w:sz w:val="24"/>
          <w:szCs w:val="22"/>
        </w:rPr>
      </w:pPr>
      <w:r>
        <w:rPr>
          <w:rFonts w:ascii="宋体" w:hAnsi="宋体" w:cs="Arial"/>
          <w:sz w:val="24"/>
          <w:szCs w:val="22"/>
        </w:rPr>
        <w:br w:type="page"/>
      </w:r>
    </w:p>
    <w:tbl>
      <w:tblPr>
        <w:tblStyle w:val="8"/>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413"/>
      </w:tblGrid>
      <w:tr w14:paraId="78060EE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8413" w:type="dxa"/>
          </w:tcPr>
          <w:p w14:paraId="7420C4B9">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14:paraId="3620E769">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p>
        </w:tc>
      </w:tr>
      <w:tr w14:paraId="5E1077A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55" w:hRule="atLeast"/>
        </w:trPr>
        <w:tc>
          <w:tcPr>
            <w:tcW w:w="8413" w:type="dxa"/>
          </w:tcPr>
          <w:p w14:paraId="6C9422A9">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14:paraId="6A41643D">
            <w:pPr>
              <w:spacing w:line="280" w:lineRule="atLeast"/>
              <w:ind w:firstLine="360" w:firstLineChars="200"/>
              <w:jc w:val="left"/>
              <w:rPr>
                <w:rFonts w:ascii="宋体" w:hAnsi="宋体" w:cs="Arial"/>
                <w:kern w:val="0"/>
                <w:sz w:val="18"/>
                <w:szCs w:val="18"/>
              </w:rPr>
            </w:pPr>
          </w:p>
          <w:p w14:paraId="7DF8083A">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14:paraId="0717F920">
            <w:pPr>
              <w:spacing w:line="280" w:lineRule="atLeast"/>
              <w:ind w:firstLine="360" w:firstLineChars="200"/>
              <w:jc w:val="left"/>
              <w:rPr>
                <w:rFonts w:ascii="宋体" w:hAnsi="宋体" w:cs="Arial"/>
                <w:kern w:val="0"/>
                <w:sz w:val="18"/>
                <w:szCs w:val="18"/>
              </w:rPr>
            </w:pPr>
          </w:p>
          <w:p w14:paraId="76DAE902">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14:paraId="3AD661E5">
            <w:pPr>
              <w:spacing w:line="280" w:lineRule="atLeast"/>
              <w:jc w:val="left"/>
              <w:rPr>
                <w:rFonts w:ascii="宋体" w:hAnsi="宋体" w:cs="Arial"/>
                <w:kern w:val="0"/>
                <w:sz w:val="18"/>
                <w:szCs w:val="18"/>
              </w:rPr>
            </w:pPr>
          </w:p>
          <w:p w14:paraId="0D19743C">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14:paraId="3E62B785">
            <w:pPr>
              <w:spacing w:line="280" w:lineRule="atLeast"/>
              <w:jc w:val="left"/>
              <w:rPr>
                <w:rFonts w:ascii="宋体" w:hAnsi="宋体" w:cs="Arial"/>
                <w:kern w:val="0"/>
                <w:sz w:val="18"/>
                <w:szCs w:val="18"/>
              </w:rPr>
            </w:pPr>
          </w:p>
          <w:p w14:paraId="5D92D77B">
            <w:pPr>
              <w:spacing w:line="280" w:lineRule="atLeast"/>
              <w:jc w:val="left"/>
              <w:rPr>
                <w:rFonts w:ascii="宋体" w:hAnsi="宋体" w:cs="Arial"/>
                <w:kern w:val="0"/>
                <w:sz w:val="18"/>
                <w:szCs w:val="18"/>
              </w:rPr>
            </w:pPr>
            <w:r>
              <w:rPr>
                <w:rFonts w:hint="eastAsia" w:ascii="宋体" w:hAnsi="宋体" w:cs="Arial"/>
                <w:kern w:val="0"/>
                <w:sz w:val="18"/>
                <w:szCs w:val="18"/>
              </w:rPr>
              <w:t>机构投资者（盖章/线上确认）：</w:t>
            </w:r>
          </w:p>
          <w:p w14:paraId="2FAF8A41">
            <w:pPr>
              <w:spacing w:line="280" w:lineRule="atLeast"/>
              <w:jc w:val="left"/>
              <w:rPr>
                <w:rFonts w:ascii="宋体" w:hAnsi="宋体" w:cs="Arial"/>
                <w:kern w:val="0"/>
                <w:sz w:val="18"/>
                <w:szCs w:val="18"/>
              </w:rPr>
            </w:pPr>
          </w:p>
          <w:p w14:paraId="3819741D">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w:t>
            </w:r>
            <w:r>
              <w:rPr>
                <w:rFonts w:ascii="宋体" w:hAnsi="宋体" w:cs="Arial"/>
                <w:kern w:val="0"/>
                <w:sz w:val="18"/>
                <w:szCs w:val="18"/>
              </w:rPr>
              <w:t>签名</w:t>
            </w:r>
            <w:r>
              <w:rPr>
                <w:rFonts w:hint="eastAsia" w:ascii="宋体" w:hAnsi="宋体" w:cs="Arial"/>
                <w:kern w:val="0"/>
                <w:sz w:val="18"/>
                <w:szCs w:val="18"/>
              </w:rPr>
              <w:t>/盖章/线上确认）：</w:t>
            </w:r>
          </w:p>
          <w:p w14:paraId="11CFB4A7">
            <w:pPr>
              <w:spacing w:line="280" w:lineRule="atLeast"/>
              <w:ind w:left="4200" w:firstLine="1080" w:firstLineChars="600"/>
              <w:jc w:val="left"/>
              <w:rPr>
                <w:rFonts w:ascii="宋体" w:hAnsi="宋体" w:cs="Arial"/>
                <w:kern w:val="0"/>
                <w:sz w:val="18"/>
                <w:szCs w:val="18"/>
              </w:rPr>
            </w:pPr>
          </w:p>
          <w:p w14:paraId="5C647FF5">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14:paraId="20AFDA25">
            <w:pPr>
              <w:spacing w:line="280" w:lineRule="atLeast"/>
              <w:rPr>
                <w:rFonts w:ascii="Calibri" w:hAnsi="Calibri" w:cs="宋体"/>
                <w:kern w:val="0"/>
                <w:sz w:val="20"/>
                <w:szCs w:val="20"/>
              </w:rPr>
            </w:pPr>
          </w:p>
          <w:p w14:paraId="7F152487">
            <w:pPr>
              <w:spacing w:line="280" w:lineRule="atLeast"/>
              <w:rPr>
                <w:rFonts w:ascii="Calibri" w:hAnsi="Calibri" w:cs="宋体"/>
                <w:b/>
                <w:kern w:val="0"/>
                <w:sz w:val="20"/>
                <w:szCs w:val="20"/>
              </w:rPr>
            </w:pPr>
            <w:r>
              <w:rPr>
                <w:rFonts w:hint="eastAsia" w:ascii="Calibri" w:hAnsi="Calibri" w:cs="宋体"/>
                <w:b/>
                <w:kern w:val="0"/>
                <w:sz w:val="20"/>
                <w:szCs w:val="20"/>
              </w:rPr>
              <w:t>（本风险揭示书共有三份签署文本，第一联销售机构留存，第二联投资者留存，第三联产品管理人留存。）</w:t>
            </w:r>
          </w:p>
        </w:tc>
      </w:tr>
    </w:tbl>
    <w:p w14:paraId="66C6D0EB">
      <w:pPr>
        <w:widowControl/>
        <w:jc w:val="left"/>
        <w:rPr>
          <w:rFonts w:hint="eastAsia" w:ascii="宋体" w:hAnsi="宋体" w:cs="宋体"/>
          <w:b/>
          <w:sz w:val="28"/>
          <w:szCs w:val="28"/>
        </w:rPr>
      </w:pPr>
    </w:p>
    <w:p w14:paraId="4994BDAB">
      <w:pPr>
        <w:autoSpaceDE w:val="0"/>
        <w:autoSpaceDN w:val="0"/>
        <w:adjustRightInd w:val="0"/>
        <w:spacing w:line="360" w:lineRule="auto"/>
        <w:ind w:firstLine="420"/>
        <w:jc w:val="left"/>
        <w:rPr>
          <w:rFonts w:ascii="宋体" w:hAnsi="宋体"/>
          <w:sz w:val="24"/>
        </w:rPr>
      </w:pPr>
    </w:p>
    <w:p w14:paraId="0A3971A2">
      <w:pPr>
        <w:rPr>
          <w:rFonts w:ascii="宋体" w:hAnsi="宋体" w:cs="Arial"/>
          <w:sz w:val="24"/>
        </w:rPr>
      </w:pPr>
    </w:p>
    <w:p w14:paraId="08856199">
      <w:pPr>
        <w:widowControl/>
        <w:jc w:val="left"/>
        <w:rPr>
          <w:rFonts w:ascii="宋体" w:hAnsi="宋体"/>
          <w:b/>
          <w:sz w:val="28"/>
          <w:szCs w:val="28"/>
        </w:rPr>
      </w:pPr>
    </w:p>
    <w:p w14:paraId="6EB98148">
      <w:pPr>
        <w:sectPr>
          <w:headerReference r:id="rId9" w:type="default"/>
          <w:footerReference r:id="rId10" w:type="default"/>
          <w:pgSz w:w="11906" w:h="16838"/>
          <w:pgMar w:top="1440" w:right="1800" w:bottom="1440" w:left="1800" w:header="567" w:footer="964" w:gutter="0"/>
          <w:cols w:space="425" w:num="1"/>
          <w:docGrid w:type="lines" w:linePitch="312" w:charSpace="0"/>
        </w:sectPr>
      </w:pPr>
    </w:p>
    <w:p w14:paraId="5E35142A">
      <w:pPr>
        <w:adjustRightInd w:val="0"/>
        <w:spacing w:line="276" w:lineRule="auto"/>
        <w:jc w:val="center"/>
        <w:outlineLvl w:val="0"/>
        <w:rPr>
          <w:rStyle w:val="10"/>
          <w:rFonts w:ascii="黑体" w:hAnsi="黑体" w:eastAsia="黑体"/>
          <w:sz w:val="28"/>
          <w:szCs w:val="28"/>
        </w:rPr>
      </w:pPr>
      <w:r>
        <w:rPr>
          <w:rStyle w:val="10"/>
          <w:rFonts w:hint="eastAsia" w:ascii="黑体" w:hAnsi="黑体" w:eastAsia="黑体" w:cstheme="minorBidi"/>
          <w:sz w:val="28"/>
          <w:szCs w:val="28"/>
        </w:rPr>
        <w:t>兴银理财【</w:t>
      </w:r>
      <w:r>
        <w:rPr>
          <w:rFonts w:hint="eastAsia" w:ascii="黑体" w:hAnsi="黑体" w:eastAsia="黑体"/>
          <w:b/>
          <w:sz w:val="28"/>
          <w:szCs w:val="28"/>
        </w:rPr>
        <w:t>稳添利最短持有期日开固收类</w:t>
      </w:r>
      <w:r>
        <w:rPr>
          <w:rStyle w:val="10"/>
          <w:rFonts w:hint="eastAsia" w:ascii="黑体" w:hAnsi="黑体" w:eastAsia="黑体" w:cstheme="minorBidi"/>
          <w:sz w:val="28"/>
          <w:szCs w:val="28"/>
        </w:rPr>
        <w:t>】理财产品</w:t>
      </w:r>
    </w:p>
    <w:p w14:paraId="7EFA2F1C">
      <w:pPr>
        <w:adjustRightInd w:val="0"/>
        <w:spacing w:line="276" w:lineRule="auto"/>
        <w:jc w:val="center"/>
        <w:outlineLvl w:val="0"/>
        <w:rPr>
          <w:rStyle w:val="10"/>
          <w:rFonts w:ascii="黑体" w:hAnsi="黑体" w:eastAsia="黑体"/>
          <w:sz w:val="28"/>
          <w:szCs w:val="28"/>
        </w:rPr>
      </w:pPr>
      <w:r>
        <w:rPr>
          <w:rStyle w:val="10"/>
          <w:rFonts w:hint="eastAsia" w:ascii="黑体" w:hAnsi="黑体" w:eastAsia="黑体" w:cstheme="minorBidi"/>
          <w:sz w:val="28"/>
          <w:szCs w:val="28"/>
        </w:rPr>
        <w:t>投资者权益须知</w:t>
      </w:r>
    </w:p>
    <w:p w14:paraId="41BBB78C">
      <w:pPr>
        <w:pStyle w:val="14"/>
        <w:jc w:val="center"/>
        <w:outlineLvl w:val="0"/>
        <w:rPr>
          <w:rFonts w:hAnsi="宋体"/>
          <w:b/>
          <w:color w:val="auto"/>
          <w:sz w:val="28"/>
          <w:szCs w:val="28"/>
        </w:rPr>
      </w:pPr>
      <w:r>
        <w:rPr>
          <w:rFonts w:hint="eastAsia" w:hAnsi="宋体"/>
          <w:b/>
          <w:color w:val="auto"/>
          <w:sz w:val="28"/>
          <w:szCs w:val="28"/>
        </w:rPr>
        <w:t>（适用于个人投资者）</w:t>
      </w:r>
    </w:p>
    <w:p w14:paraId="134BA23C">
      <w:pPr>
        <w:outlineLvl w:val="1"/>
        <w:rPr>
          <w:rFonts w:ascii="宋体" w:hAnsi="宋体"/>
          <w:b/>
          <w:sz w:val="18"/>
          <w:szCs w:val="18"/>
        </w:rPr>
      </w:pPr>
      <w:r>
        <w:rPr>
          <w:rFonts w:hint="eastAsia" w:ascii="宋体" w:hAnsi="宋体"/>
          <w:b/>
          <w:sz w:val="18"/>
          <w:szCs w:val="18"/>
        </w:rPr>
        <w:t>尊敬的投资者：</w:t>
      </w:r>
    </w:p>
    <w:p w14:paraId="178DAADE">
      <w:pPr>
        <w:spacing w:line="320" w:lineRule="exact"/>
        <w:ind w:firstLine="360" w:firstLineChars="200"/>
        <w:jc w:val="left"/>
        <w:rPr>
          <w:rFonts w:ascii="宋体" w:hAnsi="宋体"/>
          <w:sz w:val="18"/>
          <w:szCs w:val="18"/>
        </w:rPr>
      </w:pPr>
      <w:r>
        <w:rPr>
          <w:rFonts w:hint="eastAsia" w:ascii="宋体" w:hAnsi="宋体"/>
          <w:sz w:val="18"/>
          <w:szCs w:val="18"/>
        </w:rPr>
        <w:t>感谢您通过销售机构【】以(□ 直销：产品管理人销售/</w:t>
      </w:r>
      <w:r>
        <w:rPr>
          <w:rFonts w:hint="eastAsia" w:ascii="宋体" w:hAnsi="宋体"/>
          <w:sz w:val="18"/>
          <w:szCs w:val="18"/>
        </w:rPr>
        <w:sym w:font="Wingdings 2" w:char="0052"/>
      </w:r>
      <w:r>
        <w:rPr>
          <w:rFonts w:hint="eastAsia" w:ascii="宋体" w:hAnsi="宋体"/>
          <w:sz w:val="18"/>
          <w:szCs w:val="18"/>
        </w:rPr>
        <w:t xml:space="preserve"> 代销：代理销售机构销售)的形式购买兴银理财有限责任公司（以下简称“兴银理财”）作为产品管理人管理的理财产品。</w:t>
      </w:r>
    </w:p>
    <w:p w14:paraId="3E397E82">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14:paraId="1DBCEDB4">
      <w:pPr>
        <w:ind w:firstLine="360" w:firstLineChars="200"/>
        <w:rPr>
          <w:rFonts w:ascii="宋体" w:hAnsi="宋体"/>
          <w:sz w:val="18"/>
          <w:szCs w:val="18"/>
        </w:rPr>
      </w:pPr>
    </w:p>
    <w:p w14:paraId="52994BD8">
      <w:pPr>
        <w:ind w:firstLine="361" w:firstLineChars="200"/>
        <w:outlineLvl w:val="1"/>
        <w:rPr>
          <w:rFonts w:ascii="宋体" w:hAnsi="宋体"/>
          <w:b/>
          <w:sz w:val="18"/>
          <w:szCs w:val="18"/>
        </w:rPr>
      </w:pPr>
      <w:r>
        <w:rPr>
          <w:rFonts w:hint="eastAsia" w:ascii="宋体" w:hAnsi="宋体"/>
          <w:b/>
          <w:sz w:val="18"/>
          <w:szCs w:val="18"/>
        </w:rPr>
        <w:t>一、理财产品购买流程</w:t>
      </w:r>
    </w:p>
    <w:p w14:paraId="4A7EC2ED">
      <w:pPr>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14:paraId="25934716">
      <w:pPr>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14:paraId="6982E444">
      <w:pPr>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14:paraId="1DB63066">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14:paraId="4228ACC0">
      <w:pPr>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14:paraId="2B991507">
      <w:pPr>
        <w:ind w:firstLine="361" w:firstLineChars="200"/>
        <w:rPr>
          <w:rFonts w:ascii="宋体" w:hAnsi="宋体"/>
          <w:b/>
          <w:sz w:val="18"/>
          <w:szCs w:val="18"/>
        </w:rPr>
      </w:pPr>
      <w:r>
        <w:rPr>
          <w:rFonts w:hint="eastAsia" w:ascii="宋体" w:hAnsi="宋体"/>
          <w:b/>
          <w:sz w:val="18"/>
          <w:szCs w:val="18"/>
        </w:rPr>
        <w:t>（一）投资者风险承受能力评估说明</w:t>
      </w:r>
    </w:p>
    <w:p w14:paraId="63FE4B98">
      <w:pPr>
        <w:ind w:firstLine="360" w:firstLineChars="200"/>
        <w:rPr>
          <w:rFonts w:ascii="宋体" w:hAnsi="宋体"/>
          <w:sz w:val="18"/>
          <w:szCs w:val="18"/>
        </w:rPr>
      </w:pPr>
      <w:r>
        <w:rPr>
          <w:rFonts w:ascii="宋体" w:hAnsi="宋体"/>
          <w:sz w:val="18"/>
          <w:szCs w:val="18"/>
        </w:rPr>
        <w:t>1</w:t>
      </w:r>
      <w:r>
        <w:rPr>
          <w:rFonts w:hint="eastAsia" w:ascii="宋体" w:hAnsi="宋体"/>
          <w:sz w:val="18"/>
          <w:szCs w:val="18"/>
        </w:rPr>
        <w:t>.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bCs/>
          <w:sz w:val="18"/>
          <w:szCs w:val="18"/>
        </w:rPr>
        <w:t>如影响您风险承受能力的因素发生变化，请您及时重新完成风险承受能力评估。</w:t>
      </w:r>
    </w:p>
    <w:p w14:paraId="453DBBC7">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14:paraId="3266D5C8">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投资者风险承受能力，个人投资者由低至高分为【C1至C</w:t>
      </w:r>
      <w:r>
        <w:rPr>
          <w:rFonts w:hint="eastAsia" w:ascii="宋体" w:hAnsi="宋体"/>
          <w:sz w:val="18"/>
          <w:szCs w:val="18"/>
          <w:lang w:val="en-US" w:eastAsia="zh-CN"/>
        </w:rPr>
        <w:t>5</w:t>
      </w:r>
      <w:r>
        <w:rPr>
          <w:rFonts w:hint="eastAsia" w:ascii="宋体" w:hAnsi="宋体"/>
          <w:sz w:val="18"/>
          <w:szCs w:val="18"/>
          <w:lang w:val="en-US" w:eastAsia="zh"/>
          <w:woUserID w:val="1"/>
        </w:rPr>
        <w:t>五</w:t>
      </w:r>
      <w:bookmarkStart w:id="286" w:name="_GoBack"/>
      <w:bookmarkEnd w:id="286"/>
      <w:r>
        <w:rPr>
          <w:rFonts w:hint="eastAsia" w:ascii="宋体" w:hAnsi="宋体"/>
          <w:sz w:val="18"/>
          <w:szCs w:val="18"/>
        </w:rPr>
        <w:t>个等级】</w:t>
      </w:r>
      <w:r>
        <w:rPr>
          <w:rFonts w:ascii="宋体" w:hAnsi="宋体"/>
          <w:sz w:val="18"/>
          <w:szCs w:val="18"/>
        </w:rPr>
        <w:t>。其中，</w:t>
      </w:r>
      <w:r>
        <w:rPr>
          <w:rFonts w:hint="eastAsia" w:ascii="宋体" w:hAnsi="宋体"/>
          <w:sz w:val="18"/>
          <w:szCs w:val="18"/>
        </w:rPr>
        <w:t>【</w:t>
      </w:r>
      <w:r>
        <w:rPr>
          <w:rFonts w:hint="eastAsia" w:ascii="宋体" w:hAnsi="宋体"/>
          <w:sz w:val="18"/>
          <w:szCs w:val="18"/>
          <w:lang w:val="en-US" w:eastAsia="zh-CN"/>
        </w:rPr>
        <w:t>C1</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hint="eastAsia" w:ascii="宋体" w:hAnsi="宋体"/>
          <w:sz w:val="18"/>
          <w:szCs w:val="18"/>
          <w:lang w:val="en-US" w:eastAsia="zh-CN"/>
        </w:rPr>
        <w:t>C5</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7"/>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57"/>
        <w:gridCol w:w="4860"/>
        <w:gridCol w:w="2865"/>
      </w:tblGrid>
      <w:tr w14:paraId="3EDA017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14:paraId="1BCAFADA">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14:paraId="5B9A495D">
            <w:pPr>
              <w:jc w:val="center"/>
              <w:rPr>
                <w:rFonts w:ascii="宋体" w:hAnsi="宋体"/>
                <w:sz w:val="18"/>
                <w:szCs w:val="18"/>
              </w:rPr>
            </w:pPr>
            <w:r>
              <w:rPr>
                <w:rFonts w:hint="eastAsia" w:ascii="宋体" w:hAnsi="宋体"/>
                <w:sz w:val="18"/>
                <w:szCs w:val="18"/>
              </w:rPr>
              <w:t>对应的投资者风险承受能力评级</w:t>
            </w:r>
          </w:p>
        </w:tc>
      </w:tr>
      <w:tr w14:paraId="7F4C8A2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5" w:hRule="atLeast"/>
          <w:jc w:val="center"/>
        </w:trPr>
        <w:tc>
          <w:tcPr>
            <w:tcW w:w="757" w:type="dxa"/>
            <w:tcBorders>
              <w:top w:val="single" w:color="auto" w:sz="12" w:space="0"/>
              <w:left w:val="single" w:color="auto" w:sz="12" w:space="0"/>
              <w:right w:val="single" w:color="auto" w:sz="4" w:space="0"/>
            </w:tcBorders>
            <w:vAlign w:val="center"/>
          </w:tcPr>
          <w:p w14:paraId="156F409E">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安逸型（R1）</w:t>
            </w:r>
          </w:p>
        </w:tc>
        <w:tc>
          <w:tcPr>
            <w:tcW w:w="4860" w:type="dxa"/>
            <w:tcBorders>
              <w:top w:val="single" w:color="auto" w:sz="12" w:space="0"/>
              <w:left w:val="single" w:color="auto" w:sz="4" w:space="0"/>
              <w:right w:val="single" w:color="auto" w:sz="12" w:space="0"/>
            </w:tcBorders>
            <w:vAlign w:val="center"/>
          </w:tcPr>
          <w:p w14:paraId="2DA10A28">
            <w:pPr>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本金风险低，产品投资目标不能实现的概率较低；或投资范围仅限于货币市场工具等风险极低的短期金融资产。</w:t>
            </w:r>
          </w:p>
        </w:tc>
        <w:tc>
          <w:tcPr>
            <w:tcW w:w="2865" w:type="dxa"/>
            <w:tcBorders>
              <w:top w:val="single" w:color="auto" w:sz="12" w:space="0"/>
              <w:left w:val="single" w:color="auto" w:sz="12" w:space="0"/>
              <w:right w:val="single" w:color="auto" w:sz="12" w:space="0"/>
            </w:tcBorders>
            <w:vAlign w:val="center"/>
          </w:tcPr>
          <w:p w14:paraId="3028D89C">
            <w:pPr>
              <w:rPr>
                <w:rFonts w:ascii="宋体" w:hAnsi="宋体"/>
                <w:sz w:val="18"/>
                <w:szCs w:val="18"/>
              </w:rPr>
            </w:pPr>
            <w:r>
              <w:rPr>
                <w:rFonts w:hint="eastAsia" w:ascii="宋体" w:hAnsi="宋体"/>
                <w:color w:val="000000" w:themeColor="text1"/>
                <w:sz w:val="18"/>
                <w:szCs w:val="18"/>
                <w14:textFill>
                  <w14:solidFill>
                    <w14:schemeClr w14:val="tx1"/>
                  </w14:solidFill>
                </w14:textFill>
              </w:rPr>
              <w:t>安逸型（C1）及以上</w:t>
            </w:r>
          </w:p>
        </w:tc>
      </w:tr>
      <w:tr w14:paraId="18A2295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14:paraId="471FAD1C">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谨慎型（R2）</w:t>
            </w:r>
          </w:p>
        </w:tc>
        <w:tc>
          <w:tcPr>
            <w:tcW w:w="4860" w:type="dxa"/>
            <w:tcBorders>
              <w:top w:val="single" w:color="auto" w:sz="12" w:space="0"/>
              <w:left w:val="single" w:color="auto" w:sz="12" w:space="0"/>
              <w:bottom w:val="single" w:color="auto" w:sz="12" w:space="0"/>
              <w:right w:val="single" w:color="auto" w:sz="12" w:space="0"/>
            </w:tcBorders>
            <w:vAlign w:val="center"/>
          </w:tcPr>
          <w:p w14:paraId="4B18962C">
            <w:pPr>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本金风险相对较小，收益浮动但相对较小。产品结构简单，过往业绩及净值的历史波动率低；投资标的流动性很好或为较高等级的信用主体；或者衍生品及杠杆交易对净值波动极小；估值政策清晰。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14:paraId="3DA50142">
            <w:pPr>
              <w:rPr>
                <w:rFonts w:ascii="宋体" w:hAnsi="宋体"/>
                <w:sz w:val="18"/>
                <w:szCs w:val="18"/>
              </w:rPr>
            </w:pPr>
            <w:r>
              <w:rPr>
                <w:rFonts w:hint="eastAsia" w:ascii="宋体" w:hAnsi="宋体"/>
                <w:color w:val="000000" w:themeColor="text1"/>
                <w:sz w:val="18"/>
                <w:szCs w:val="18"/>
                <w14:textFill>
                  <w14:solidFill>
                    <w14:schemeClr w14:val="tx1"/>
                  </w14:solidFill>
                </w14:textFill>
              </w:rPr>
              <w:t>谨慎型（C2）及以上</w:t>
            </w:r>
          </w:p>
        </w:tc>
      </w:tr>
      <w:tr w14:paraId="48F5B0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14:paraId="2ADBB3A0">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稳健型（R3）</w:t>
            </w:r>
          </w:p>
        </w:tc>
        <w:tc>
          <w:tcPr>
            <w:tcW w:w="4860" w:type="dxa"/>
            <w:tcBorders>
              <w:top w:val="single" w:color="auto" w:sz="12" w:space="0"/>
              <w:left w:val="single" w:color="auto" w:sz="12" w:space="0"/>
              <w:bottom w:val="single" w:color="auto" w:sz="12" w:space="0"/>
              <w:right w:val="single" w:color="auto" w:sz="12" w:space="0"/>
            </w:tcBorders>
            <w:vAlign w:val="center"/>
          </w:tcPr>
          <w:p w14:paraId="497646EC">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有一定的本金风险，收益浮动且有一定波动。产品结构简单，过往业绩及净值的历史波动率较低；投资标的流动性好或为中等及以上的信用主体；或者投资衍生品以套期保值为目的，衍生品及杠杆交易对净值波动较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14:paraId="6604F662">
            <w:pPr>
              <w:rPr>
                <w:rFonts w:ascii="宋体" w:hAnsi="宋体"/>
                <w:sz w:val="18"/>
                <w:szCs w:val="18"/>
              </w:rPr>
            </w:pPr>
            <w:r>
              <w:rPr>
                <w:rFonts w:hint="eastAsia" w:ascii="宋体" w:hAnsi="宋体"/>
                <w:color w:val="000000" w:themeColor="text1"/>
                <w:sz w:val="18"/>
                <w:szCs w:val="18"/>
                <w14:textFill>
                  <w14:solidFill>
                    <w14:schemeClr w14:val="tx1"/>
                  </w14:solidFill>
                </w14:textFill>
              </w:rPr>
              <w:t>稳健型（C3）及以上</w:t>
            </w:r>
          </w:p>
        </w:tc>
      </w:tr>
      <w:tr w14:paraId="20F3110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14:paraId="36CB1807">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增长型（R4）</w:t>
            </w:r>
          </w:p>
        </w:tc>
        <w:tc>
          <w:tcPr>
            <w:tcW w:w="4860" w:type="dxa"/>
            <w:tcBorders>
              <w:top w:val="single" w:color="auto" w:sz="12" w:space="0"/>
              <w:left w:val="single" w:color="auto" w:sz="12" w:space="0"/>
              <w:bottom w:val="single" w:color="auto" w:sz="12" w:space="0"/>
              <w:right w:val="single" w:color="auto" w:sz="12" w:space="0"/>
            </w:tcBorders>
            <w:vAlign w:val="center"/>
          </w:tcPr>
          <w:p w14:paraId="0587D118">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较大。产品主要投资于流动性较好的投资标的，产品结构简单，但收益浮动且波动很大，过往业绩及净值的历史波动率较高；或者投资标的流动性较差或为中等以下的信用主体，但产品结构简单，且不投资于衍生品及杠杆交易；估值政策简单；或者投资衍生品以套期保值为目的，衍生品及杠杆交易对净值波动较大，估值政策较清晰。</w:t>
            </w:r>
          </w:p>
        </w:tc>
        <w:tc>
          <w:tcPr>
            <w:tcW w:w="2865" w:type="dxa"/>
            <w:tcBorders>
              <w:top w:val="single" w:color="auto" w:sz="12" w:space="0"/>
              <w:left w:val="single" w:color="auto" w:sz="12" w:space="0"/>
              <w:bottom w:val="single" w:color="auto" w:sz="12" w:space="0"/>
              <w:right w:val="single" w:color="auto" w:sz="12" w:space="0"/>
            </w:tcBorders>
            <w:vAlign w:val="center"/>
          </w:tcPr>
          <w:p w14:paraId="2C4C9A3A">
            <w:pPr>
              <w:rPr>
                <w:rFonts w:ascii="宋体" w:hAnsi="宋体"/>
                <w:sz w:val="18"/>
                <w:szCs w:val="18"/>
              </w:rPr>
            </w:pPr>
            <w:r>
              <w:rPr>
                <w:rFonts w:hint="eastAsia" w:ascii="宋体" w:hAnsi="宋体"/>
                <w:color w:val="000000" w:themeColor="text1"/>
                <w:sz w:val="18"/>
                <w:szCs w:val="18"/>
                <w14:textFill>
                  <w14:solidFill>
                    <w14:schemeClr w14:val="tx1"/>
                  </w14:solidFill>
                </w14:textFill>
              </w:rPr>
              <w:t>增长型（C4）及以上</w:t>
            </w:r>
          </w:p>
        </w:tc>
      </w:tr>
      <w:tr w14:paraId="08E3FC5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14:paraId="7A1DA5F3">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进取型（R5）</w:t>
            </w:r>
          </w:p>
        </w:tc>
        <w:tc>
          <w:tcPr>
            <w:tcW w:w="4860" w:type="dxa"/>
            <w:tcBorders>
              <w:top w:val="single" w:color="auto" w:sz="12" w:space="0"/>
              <w:left w:val="single" w:color="auto" w:sz="12" w:space="0"/>
              <w:bottom w:val="single" w:color="auto" w:sz="12" w:space="0"/>
              <w:right w:val="single" w:color="auto" w:sz="12" w:space="0"/>
            </w:tcBorders>
            <w:vAlign w:val="center"/>
          </w:tcPr>
          <w:p w14:paraId="5FD04F22">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很大，收益浮动且波动很大。产品结构较复杂，过往业绩及净值的历史波动率高；或者投资标的流动性较差或为低等级的信用主体，期限较长；或者投资衍生品以追求收益为目的，衍生品及杠杆交易对净值波动很大；估值政策较复杂。投资者要作出谨慎的产品选择，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14:paraId="790E704B">
            <w:pPr>
              <w:rPr>
                <w:rFonts w:ascii="宋体" w:hAnsi="宋体"/>
                <w:sz w:val="18"/>
                <w:szCs w:val="18"/>
              </w:rPr>
            </w:pPr>
            <w:r>
              <w:rPr>
                <w:rFonts w:hint="eastAsia" w:ascii="宋体" w:hAnsi="宋体"/>
                <w:color w:val="000000" w:themeColor="text1"/>
                <w:sz w:val="18"/>
                <w:szCs w:val="18"/>
                <w14:textFill>
                  <w14:solidFill>
                    <w14:schemeClr w14:val="tx1"/>
                  </w14:solidFill>
                </w14:textFill>
              </w:rPr>
              <w:t>进取型（C5）及以上</w:t>
            </w:r>
          </w:p>
        </w:tc>
      </w:tr>
    </w:tbl>
    <w:p w14:paraId="6ACE472C">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14:paraId="47F85B70">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14:paraId="475E7308">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14:paraId="2B6479BD">
      <w:pPr>
        <w:ind w:firstLine="361" w:firstLineChars="200"/>
        <w:outlineLvl w:val="1"/>
        <w:rPr>
          <w:rFonts w:ascii="宋体" w:hAnsi="宋体"/>
          <w:b/>
          <w:sz w:val="18"/>
          <w:szCs w:val="18"/>
        </w:rPr>
      </w:pPr>
      <w:r>
        <w:rPr>
          <w:rFonts w:hint="eastAsia" w:ascii="宋体" w:hAnsi="宋体"/>
          <w:b/>
          <w:sz w:val="18"/>
          <w:szCs w:val="18"/>
        </w:rPr>
        <w:t>三、关于理财产品的信息披露</w:t>
      </w:r>
    </w:p>
    <w:p w14:paraId="02E4AF74">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14:paraId="5E41C6EA">
      <w:pPr>
        <w:ind w:firstLine="361" w:firstLineChars="200"/>
        <w:outlineLvl w:val="1"/>
        <w:rPr>
          <w:rFonts w:asciiTheme="minorEastAsia" w:hAnsiTheme="minorEastAsia"/>
          <w:b/>
          <w:sz w:val="18"/>
          <w:szCs w:val="18"/>
        </w:rPr>
      </w:pPr>
      <w:r>
        <w:rPr>
          <w:rFonts w:hint="eastAsia" w:ascii="宋体" w:hAnsi="宋体"/>
          <w:b/>
          <w:sz w:val="18"/>
          <w:szCs w:val="18"/>
        </w:rPr>
        <w:t>四、关于投诉与建议</w:t>
      </w:r>
    </w:p>
    <w:p w14:paraId="0B2761E3">
      <w:pPr>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14:paraId="20FEC312">
      <w:pPr>
        <w:ind w:firstLine="360" w:firstLineChars="200"/>
        <w:rPr>
          <w:rFonts w:ascii="宋体" w:hAnsi="宋体"/>
          <w:sz w:val="18"/>
          <w:szCs w:val="18"/>
        </w:rPr>
      </w:pPr>
      <w:r>
        <w:rPr>
          <w:rFonts w:hint="eastAsia" w:ascii="宋体" w:hAnsi="宋体"/>
          <w:sz w:val="18"/>
          <w:szCs w:val="18"/>
        </w:rPr>
        <w:t>（二）联络方式</w:t>
      </w:r>
      <w:r>
        <w:rPr>
          <w:rFonts w:ascii="宋体" w:hAnsi="宋体"/>
          <w:sz w:val="18"/>
          <w:szCs w:val="18"/>
        </w:rPr>
        <w:t xml:space="preserve"> </w:t>
      </w:r>
    </w:p>
    <w:p w14:paraId="3BC92C38">
      <w:pPr>
        <w:ind w:firstLine="360" w:firstLineChars="200"/>
        <w:outlineLvl w:val="2"/>
        <w:rPr>
          <w:rFonts w:ascii="宋体" w:hAnsi="宋体"/>
          <w:sz w:val="18"/>
          <w:szCs w:val="18"/>
        </w:rPr>
      </w:pPr>
      <w:r>
        <w:rPr>
          <w:rFonts w:hint="eastAsia" w:ascii="宋体" w:hAnsi="宋体"/>
          <w:sz w:val="18"/>
          <w:szCs w:val="18"/>
        </w:rPr>
        <w:t>1.产品管理人：兴银理财有限责任公司</w:t>
      </w:r>
    </w:p>
    <w:p w14:paraId="198450AC">
      <w:pPr>
        <w:ind w:firstLine="360" w:firstLineChars="200"/>
        <w:rPr>
          <w:rFonts w:ascii="宋体" w:hAnsi="宋体"/>
          <w:sz w:val="18"/>
          <w:szCs w:val="18"/>
        </w:rPr>
      </w:pPr>
      <w:r>
        <w:rPr>
          <w:rFonts w:hint="eastAsia" w:ascii="宋体" w:hAnsi="宋体"/>
          <w:sz w:val="18"/>
          <w:szCs w:val="18"/>
        </w:rPr>
        <w:t>客户服务热线：40015-95561。</w:t>
      </w:r>
    </w:p>
    <w:p w14:paraId="4273D089">
      <w:pPr>
        <w:ind w:firstLine="360" w:firstLineChars="200"/>
        <w:outlineLvl w:val="2"/>
        <w:rPr>
          <w:rFonts w:ascii="宋体" w:hAnsi="宋体"/>
          <w:sz w:val="18"/>
          <w:szCs w:val="18"/>
        </w:rPr>
      </w:pPr>
      <w:r>
        <w:rPr>
          <w:rFonts w:hint="eastAsia" w:ascii="宋体" w:hAnsi="宋体"/>
          <w:sz w:val="18"/>
          <w:szCs w:val="18"/>
          <w:lang w:val="en-US" w:eastAsia="zh-CN"/>
        </w:rPr>
        <w:t>2</w:t>
      </w:r>
      <w:r>
        <w:rPr>
          <w:rFonts w:hint="eastAsia" w:ascii="宋体" w:hAnsi="宋体"/>
          <w:sz w:val="18"/>
          <w:szCs w:val="18"/>
        </w:rPr>
        <w:t>.销售机构：【】</w:t>
      </w:r>
    </w:p>
    <w:p w14:paraId="5B2FC7EC">
      <w:pPr>
        <w:ind w:firstLine="360" w:firstLineChars="200"/>
        <w:rPr>
          <w:rFonts w:ascii="宋体" w:hAnsi="宋体"/>
          <w:sz w:val="18"/>
          <w:szCs w:val="18"/>
        </w:rPr>
      </w:pPr>
      <w:r>
        <w:rPr>
          <w:rFonts w:hint="eastAsia" w:ascii="宋体" w:hAnsi="宋体"/>
          <w:sz w:val="18"/>
          <w:szCs w:val="18"/>
        </w:rPr>
        <w:t>【】</w:t>
      </w:r>
    </w:p>
    <w:p w14:paraId="210154D8">
      <w:pPr>
        <w:autoSpaceDE w:val="0"/>
        <w:autoSpaceDN w:val="0"/>
        <w:adjustRightInd w:val="0"/>
        <w:jc w:val="left"/>
        <w:rPr>
          <w:rFonts w:ascii="仿宋_GB2312" w:eastAsia="仿宋_GB2312" w:cs="仿宋_GB2312"/>
          <w:color w:val="000000"/>
          <w:kern w:val="0"/>
          <w:sz w:val="24"/>
          <w:szCs w:val="24"/>
        </w:rPr>
      </w:pPr>
    </w:p>
    <w:p w14:paraId="6D9CB608">
      <w:pPr>
        <w:widowControl/>
        <w:jc w:val="left"/>
        <w:rPr>
          <w:rFonts w:ascii="宋体" w:hAnsi="宋体"/>
          <w:b/>
          <w:sz w:val="28"/>
          <w:szCs w:val="28"/>
        </w:rPr>
      </w:pPr>
      <w:r>
        <w:rPr>
          <w:rFonts w:ascii="宋体" w:hAnsi="宋体"/>
          <w:b/>
          <w:sz w:val="28"/>
          <w:szCs w:val="28"/>
        </w:rPr>
        <w:br w:type="page"/>
      </w:r>
    </w:p>
    <w:p w14:paraId="72ABBF8A">
      <w:pPr>
        <w:adjustRightInd w:val="0"/>
        <w:spacing w:line="280" w:lineRule="atLeast"/>
        <w:jc w:val="center"/>
        <w:outlineLvl w:val="0"/>
        <w:rPr>
          <w:rStyle w:val="10"/>
          <w:rFonts w:ascii="黑体" w:hAnsi="黑体" w:eastAsia="黑体"/>
          <w:sz w:val="28"/>
          <w:szCs w:val="28"/>
        </w:rPr>
      </w:pPr>
      <w:r>
        <w:rPr>
          <w:rStyle w:val="10"/>
          <w:rFonts w:hint="eastAsia" w:ascii="黑体" w:hAnsi="黑体" w:eastAsia="黑体" w:cstheme="minorBidi"/>
          <w:sz w:val="28"/>
          <w:szCs w:val="28"/>
        </w:rPr>
        <w:t>兴银理财【</w:t>
      </w:r>
      <w:r>
        <w:rPr>
          <w:rFonts w:hint="eastAsia" w:ascii="黑体" w:hAnsi="黑体" w:eastAsia="黑体"/>
          <w:b/>
          <w:sz w:val="28"/>
          <w:szCs w:val="28"/>
        </w:rPr>
        <w:t>稳添利最短持有期日开固收类</w:t>
      </w:r>
      <w:r>
        <w:rPr>
          <w:rStyle w:val="10"/>
          <w:rFonts w:hint="eastAsia" w:ascii="黑体" w:hAnsi="黑体" w:eastAsia="黑体" w:cstheme="minorBidi"/>
          <w:sz w:val="28"/>
          <w:szCs w:val="28"/>
        </w:rPr>
        <w:t>】理财产品</w:t>
      </w:r>
    </w:p>
    <w:p w14:paraId="20F51AEA">
      <w:pPr>
        <w:adjustRightInd w:val="0"/>
        <w:spacing w:line="280" w:lineRule="atLeast"/>
        <w:jc w:val="center"/>
        <w:outlineLvl w:val="0"/>
        <w:rPr>
          <w:rStyle w:val="10"/>
          <w:rFonts w:ascii="黑体" w:hAnsi="黑体" w:eastAsia="黑体"/>
          <w:sz w:val="28"/>
          <w:szCs w:val="28"/>
        </w:rPr>
      </w:pPr>
      <w:r>
        <w:rPr>
          <w:rStyle w:val="10"/>
          <w:rFonts w:hint="eastAsia" w:ascii="黑体" w:hAnsi="黑体" w:eastAsia="黑体" w:cstheme="minorBidi"/>
          <w:sz w:val="28"/>
          <w:szCs w:val="28"/>
        </w:rPr>
        <w:t>投资者权益须知</w:t>
      </w:r>
    </w:p>
    <w:p w14:paraId="55D9C53C">
      <w:pPr>
        <w:pStyle w:val="14"/>
        <w:spacing w:line="280" w:lineRule="atLeast"/>
        <w:jc w:val="center"/>
        <w:outlineLvl w:val="0"/>
        <w:rPr>
          <w:rFonts w:hAnsi="宋体"/>
          <w:b/>
          <w:color w:val="auto"/>
          <w:sz w:val="28"/>
          <w:szCs w:val="28"/>
        </w:rPr>
      </w:pPr>
      <w:r>
        <w:rPr>
          <w:rFonts w:hint="eastAsia" w:hAnsi="宋体"/>
          <w:b/>
          <w:color w:val="auto"/>
          <w:sz w:val="28"/>
          <w:szCs w:val="28"/>
        </w:rPr>
        <w:t>（适用于机构投资者）</w:t>
      </w:r>
    </w:p>
    <w:p w14:paraId="09452821">
      <w:pPr>
        <w:spacing w:line="280" w:lineRule="atLeast"/>
        <w:outlineLvl w:val="1"/>
        <w:rPr>
          <w:rFonts w:ascii="宋体" w:hAnsi="宋体"/>
          <w:b/>
          <w:sz w:val="18"/>
          <w:szCs w:val="18"/>
        </w:rPr>
      </w:pPr>
      <w:r>
        <w:rPr>
          <w:rFonts w:hint="eastAsia" w:ascii="宋体" w:hAnsi="宋体"/>
          <w:b/>
          <w:sz w:val="18"/>
          <w:szCs w:val="18"/>
        </w:rPr>
        <w:t>尊敬的投资者：</w:t>
      </w:r>
    </w:p>
    <w:p w14:paraId="3F5C0B19">
      <w:pPr>
        <w:spacing w:line="320" w:lineRule="exact"/>
        <w:ind w:firstLine="360" w:firstLineChars="200"/>
        <w:jc w:val="left"/>
        <w:rPr>
          <w:rFonts w:ascii="宋体" w:hAnsi="宋体"/>
          <w:sz w:val="18"/>
          <w:szCs w:val="18"/>
        </w:rPr>
      </w:pPr>
      <w:r>
        <w:rPr>
          <w:rFonts w:hint="eastAsia" w:ascii="宋体" w:hAnsi="宋体"/>
          <w:sz w:val="18"/>
          <w:szCs w:val="18"/>
        </w:rPr>
        <w:t>感谢您通过销售机构【】以(□ 直销：产品管理人销售/</w:t>
      </w:r>
      <w:r>
        <w:rPr>
          <w:rFonts w:hint="eastAsia" w:ascii="宋体" w:hAnsi="宋体"/>
          <w:sz w:val="18"/>
          <w:szCs w:val="18"/>
        </w:rPr>
        <w:sym w:font="Wingdings 2" w:char="0052"/>
      </w:r>
      <w:r>
        <w:rPr>
          <w:rFonts w:hint="eastAsia" w:ascii="宋体" w:hAnsi="宋体"/>
          <w:sz w:val="18"/>
          <w:szCs w:val="18"/>
        </w:rPr>
        <w:t xml:space="preserve"> 代销：代理销售机构销售)的形式购买兴银理财有限责任公司（以下简称“兴银理财”）作为产品管理人管理的理财产品。</w:t>
      </w:r>
    </w:p>
    <w:p w14:paraId="5E90A946">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14:paraId="1B42844F">
      <w:pPr>
        <w:spacing w:line="280" w:lineRule="atLeast"/>
        <w:ind w:firstLine="360" w:firstLineChars="200"/>
        <w:rPr>
          <w:rFonts w:ascii="宋体" w:hAnsi="宋体"/>
          <w:sz w:val="18"/>
          <w:szCs w:val="18"/>
        </w:rPr>
      </w:pPr>
    </w:p>
    <w:p w14:paraId="2B85B965">
      <w:pPr>
        <w:spacing w:line="280" w:lineRule="atLeast"/>
        <w:ind w:firstLine="361" w:firstLineChars="200"/>
        <w:outlineLvl w:val="1"/>
        <w:rPr>
          <w:rFonts w:ascii="宋体" w:hAnsi="宋体"/>
          <w:b/>
          <w:sz w:val="18"/>
          <w:szCs w:val="18"/>
        </w:rPr>
      </w:pPr>
      <w:r>
        <w:rPr>
          <w:rFonts w:hint="eastAsia" w:ascii="宋体" w:hAnsi="宋体"/>
          <w:b/>
          <w:sz w:val="18"/>
          <w:szCs w:val="18"/>
        </w:rPr>
        <w:t>一、理财产品购买流程</w:t>
      </w:r>
    </w:p>
    <w:p w14:paraId="5D629192">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14:paraId="52B3A408">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14:paraId="788DBA16">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14:paraId="7E8D0B84">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14:paraId="30FB0BED">
      <w:pPr>
        <w:spacing w:line="280" w:lineRule="atLeast"/>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14:paraId="0655D5CC">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14:paraId="57B4FC83">
      <w:pPr>
        <w:spacing w:line="280" w:lineRule="atLeast"/>
        <w:ind w:firstLine="360" w:firstLineChars="200"/>
        <w:rPr>
          <w:rFonts w:ascii="宋体" w:hAnsi="宋体"/>
          <w:bCs/>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bCs/>
          <w:sz w:val="18"/>
          <w:szCs w:val="18"/>
        </w:rPr>
        <w:t>如影响您风险承受能力的因素发生变化，请您及时重新完成风险承受能力评估。</w:t>
      </w:r>
    </w:p>
    <w:p w14:paraId="511562FC">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14:paraId="707BBA40">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投资者风险承受能力，机构投资者由低至高分为【C1至C</w:t>
      </w:r>
      <w:r>
        <w:rPr>
          <w:rFonts w:hint="eastAsia" w:ascii="宋体" w:hAnsi="宋体"/>
          <w:sz w:val="18"/>
          <w:szCs w:val="18"/>
          <w:lang w:val="en-US" w:eastAsia="zh-CN"/>
        </w:rPr>
        <w:t>5五</w:t>
      </w:r>
      <w:r>
        <w:rPr>
          <w:rFonts w:hint="eastAsia" w:ascii="宋体" w:hAnsi="宋体"/>
          <w:sz w:val="18"/>
          <w:szCs w:val="18"/>
        </w:rPr>
        <w:t>个等级】</w:t>
      </w:r>
      <w:r>
        <w:rPr>
          <w:rFonts w:ascii="宋体" w:hAnsi="宋体"/>
          <w:sz w:val="18"/>
          <w:szCs w:val="18"/>
        </w:rPr>
        <w:t>。其中，</w:t>
      </w:r>
      <w:r>
        <w:rPr>
          <w:rFonts w:hint="eastAsia" w:ascii="宋体" w:hAnsi="宋体"/>
          <w:sz w:val="18"/>
          <w:szCs w:val="18"/>
        </w:rPr>
        <w:t>【</w:t>
      </w:r>
      <w:r>
        <w:rPr>
          <w:rFonts w:hint="eastAsia" w:ascii="宋体" w:hAnsi="宋体"/>
          <w:sz w:val="18"/>
          <w:szCs w:val="18"/>
          <w:lang w:val="en-US" w:eastAsia="zh-CN"/>
        </w:rPr>
        <w:t>C1</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hint="eastAsia" w:ascii="宋体" w:hAnsi="宋体"/>
          <w:sz w:val="18"/>
          <w:szCs w:val="18"/>
          <w:lang w:val="en-US" w:eastAsia="zh-CN"/>
        </w:rPr>
        <w:t>C5</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7"/>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14:paraId="5CB954C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14:paraId="3EA2C9AC">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14:paraId="1CA4B12C">
            <w:pPr>
              <w:jc w:val="center"/>
              <w:rPr>
                <w:rFonts w:ascii="宋体" w:hAnsi="宋体"/>
                <w:sz w:val="18"/>
                <w:szCs w:val="18"/>
              </w:rPr>
            </w:pPr>
            <w:r>
              <w:rPr>
                <w:rFonts w:hint="eastAsia" w:ascii="宋体" w:hAnsi="宋体"/>
                <w:sz w:val="18"/>
                <w:szCs w:val="18"/>
              </w:rPr>
              <w:t>对应的投资者风险承受能力评级</w:t>
            </w:r>
          </w:p>
        </w:tc>
      </w:tr>
      <w:tr w14:paraId="0FF41C7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14:paraId="4CFEA0C6">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安逸型（R1）</w:t>
            </w:r>
          </w:p>
        </w:tc>
        <w:tc>
          <w:tcPr>
            <w:tcW w:w="4840" w:type="dxa"/>
            <w:tcBorders>
              <w:top w:val="single" w:color="auto" w:sz="12" w:space="0"/>
              <w:left w:val="single" w:color="auto" w:sz="12" w:space="0"/>
              <w:bottom w:val="single" w:color="auto" w:sz="12" w:space="0"/>
              <w:right w:val="single" w:color="auto" w:sz="12" w:space="0"/>
            </w:tcBorders>
            <w:vAlign w:val="center"/>
          </w:tcPr>
          <w:p w14:paraId="32995E8B">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本金风险低，产品投资目标不能实现的概率较低；或投资范围仅限于货币市场工具等风险极低的短期金融资产。</w:t>
            </w:r>
          </w:p>
        </w:tc>
        <w:tc>
          <w:tcPr>
            <w:tcW w:w="2865" w:type="dxa"/>
            <w:tcBorders>
              <w:top w:val="single" w:color="auto" w:sz="12" w:space="0"/>
              <w:left w:val="single" w:color="auto" w:sz="12" w:space="0"/>
              <w:bottom w:val="single" w:color="auto" w:sz="12" w:space="0"/>
              <w:right w:val="single" w:color="auto" w:sz="12" w:space="0"/>
            </w:tcBorders>
            <w:vAlign w:val="center"/>
          </w:tcPr>
          <w:p w14:paraId="692D44DB">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安逸型（C1）及以上</w:t>
            </w:r>
          </w:p>
        </w:tc>
      </w:tr>
      <w:tr w14:paraId="73F2B52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14:paraId="47DD5215">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谨慎型（R2）</w:t>
            </w:r>
          </w:p>
        </w:tc>
        <w:tc>
          <w:tcPr>
            <w:tcW w:w="4840" w:type="dxa"/>
            <w:tcBorders>
              <w:top w:val="single" w:color="auto" w:sz="12" w:space="0"/>
              <w:left w:val="single" w:color="auto" w:sz="12" w:space="0"/>
              <w:bottom w:val="single" w:color="auto" w:sz="12" w:space="0"/>
              <w:right w:val="single" w:color="auto" w:sz="12" w:space="0"/>
            </w:tcBorders>
            <w:vAlign w:val="center"/>
          </w:tcPr>
          <w:p w14:paraId="7ABCFB70">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本金风险相对较小，收益浮动但相对较小。产品结构简单，过往业绩及净值的历史波动率低；投资标的流动性很好或为较高等级的信用主体；或者衍生品及杠杆交易对净值波动极小；估值政策清晰。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14:paraId="1CB63A71">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谨慎型（C2）及以上</w:t>
            </w:r>
          </w:p>
        </w:tc>
      </w:tr>
      <w:tr w14:paraId="7C63585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14:paraId="3433006F">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稳健型（R3）</w:t>
            </w:r>
          </w:p>
        </w:tc>
        <w:tc>
          <w:tcPr>
            <w:tcW w:w="4840" w:type="dxa"/>
            <w:tcBorders>
              <w:top w:val="single" w:color="auto" w:sz="12" w:space="0"/>
              <w:left w:val="single" w:color="auto" w:sz="12" w:space="0"/>
              <w:bottom w:val="single" w:color="auto" w:sz="12" w:space="0"/>
              <w:right w:val="single" w:color="auto" w:sz="12" w:space="0"/>
            </w:tcBorders>
            <w:vAlign w:val="center"/>
          </w:tcPr>
          <w:p w14:paraId="6DEFBBF3">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产品有一定的本金风险，收益浮动且有一定波动。产品结构简单，过往业绩及净值的历史波动率较低；投资标的流动性好或为中等及以上的信用主体；或者投资衍生品以套期保值为目的，衍生品及杠杆交易对净值波动较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14:paraId="0A1098B4">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稳健型（C3）及以上</w:t>
            </w:r>
          </w:p>
        </w:tc>
      </w:tr>
      <w:tr w14:paraId="7CCD652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14:paraId="5253B429">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增长型（R4）</w:t>
            </w:r>
          </w:p>
        </w:tc>
        <w:tc>
          <w:tcPr>
            <w:tcW w:w="4840" w:type="dxa"/>
            <w:tcBorders>
              <w:top w:val="single" w:color="auto" w:sz="12" w:space="0"/>
              <w:left w:val="single" w:color="auto" w:sz="12" w:space="0"/>
              <w:bottom w:val="single" w:color="auto" w:sz="12" w:space="0"/>
              <w:right w:val="single" w:color="auto" w:sz="12" w:space="0"/>
            </w:tcBorders>
            <w:vAlign w:val="center"/>
          </w:tcPr>
          <w:p w14:paraId="555D60D0">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产品本金风险较大。产品主要投资于流动性较好的投资标的，产品结构简单，但收益浮动且波动很大，过往业绩及净值的历史波动率较高；或者投资标的流动性较差或为中等以下的信用主体，但产品结构简单，且不投资于衍生品及杠杆交易；估值政策简单；或者投资衍生品以套期保值为目的，衍生品及杠杆交易对净值波动较大，估值政策较清晰。</w:t>
            </w:r>
          </w:p>
        </w:tc>
        <w:tc>
          <w:tcPr>
            <w:tcW w:w="2865" w:type="dxa"/>
            <w:tcBorders>
              <w:top w:val="single" w:color="auto" w:sz="12" w:space="0"/>
              <w:left w:val="single" w:color="auto" w:sz="12" w:space="0"/>
              <w:bottom w:val="single" w:color="auto" w:sz="12" w:space="0"/>
              <w:right w:val="single" w:color="auto" w:sz="12" w:space="0"/>
            </w:tcBorders>
            <w:vAlign w:val="center"/>
          </w:tcPr>
          <w:p w14:paraId="5578B2B7">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增长型（C4）及以上</w:t>
            </w:r>
          </w:p>
        </w:tc>
      </w:tr>
      <w:tr w14:paraId="5FCE28C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14:paraId="303B7A3A">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进取型（R5）</w:t>
            </w:r>
          </w:p>
        </w:tc>
        <w:tc>
          <w:tcPr>
            <w:tcW w:w="4840" w:type="dxa"/>
            <w:tcBorders>
              <w:top w:val="single" w:color="auto" w:sz="12" w:space="0"/>
              <w:left w:val="single" w:color="auto" w:sz="12" w:space="0"/>
              <w:bottom w:val="single" w:color="auto" w:sz="12" w:space="0"/>
              <w:right w:val="single" w:color="auto" w:sz="12" w:space="0"/>
            </w:tcBorders>
            <w:vAlign w:val="center"/>
          </w:tcPr>
          <w:p w14:paraId="24F82EC1">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产品本金风险很大，收益浮动且波动很大。产品结构较复杂，过往业绩及净值的历史波动率高；或者投资标的流动性较差或为低等级的信用主体，期限较长；或者投资衍生品以追求收益为目的，衍生品及杠杆交易对净值波动很大；估值政策较复杂。投资者要作出谨慎的产品选择，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14:paraId="6B8D02A2">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进取型（C5）及以上</w:t>
            </w:r>
          </w:p>
        </w:tc>
      </w:tr>
    </w:tbl>
    <w:p w14:paraId="5A7ECBF3">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14:paraId="60A79657">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14:paraId="177398CF">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14:paraId="58A6AB56">
      <w:pPr>
        <w:spacing w:line="280" w:lineRule="atLeast"/>
        <w:ind w:firstLine="361" w:firstLineChars="200"/>
        <w:outlineLvl w:val="1"/>
        <w:rPr>
          <w:rFonts w:ascii="宋体" w:hAnsi="宋体"/>
          <w:b/>
          <w:sz w:val="18"/>
          <w:szCs w:val="18"/>
        </w:rPr>
      </w:pPr>
      <w:r>
        <w:rPr>
          <w:rFonts w:hint="eastAsia" w:ascii="宋体" w:hAnsi="宋体"/>
          <w:b/>
          <w:sz w:val="18"/>
          <w:szCs w:val="18"/>
        </w:rPr>
        <w:t>三、关于理财产品的信息披露</w:t>
      </w:r>
    </w:p>
    <w:p w14:paraId="4C3627F1">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14:paraId="188CA5CE">
      <w:pPr>
        <w:spacing w:line="280" w:lineRule="atLeast"/>
        <w:ind w:firstLine="361" w:firstLineChars="200"/>
        <w:outlineLvl w:val="1"/>
        <w:rPr>
          <w:rFonts w:asciiTheme="minorEastAsia" w:hAnsiTheme="minorEastAsia"/>
          <w:sz w:val="18"/>
          <w:szCs w:val="18"/>
        </w:rPr>
      </w:pPr>
      <w:r>
        <w:rPr>
          <w:rFonts w:hint="eastAsia" w:ascii="宋体" w:hAnsi="宋体"/>
          <w:b/>
          <w:sz w:val="18"/>
          <w:szCs w:val="18"/>
        </w:rPr>
        <w:t>四、关于投诉与建议</w:t>
      </w:r>
    </w:p>
    <w:p w14:paraId="08C69A0C">
      <w:pPr>
        <w:spacing w:line="280" w:lineRule="atLeast"/>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14:paraId="5986FB67">
      <w:pPr>
        <w:spacing w:line="280" w:lineRule="atLeast"/>
        <w:ind w:firstLine="360" w:firstLineChars="200"/>
        <w:rPr>
          <w:rFonts w:ascii="宋体" w:hAnsi="宋体"/>
          <w:sz w:val="18"/>
          <w:szCs w:val="18"/>
        </w:rPr>
      </w:pPr>
      <w:r>
        <w:rPr>
          <w:rFonts w:hint="eastAsia" w:ascii="宋体" w:hAnsi="宋体"/>
          <w:sz w:val="18"/>
          <w:szCs w:val="18"/>
        </w:rPr>
        <w:t>（二）联络方式：</w:t>
      </w:r>
    </w:p>
    <w:p w14:paraId="07272AF1">
      <w:pPr>
        <w:ind w:firstLine="360" w:firstLineChars="200"/>
        <w:outlineLvl w:val="2"/>
        <w:rPr>
          <w:rFonts w:ascii="宋体" w:hAnsi="宋体"/>
          <w:sz w:val="18"/>
          <w:szCs w:val="18"/>
        </w:rPr>
      </w:pPr>
      <w:r>
        <w:rPr>
          <w:rFonts w:hint="eastAsia" w:ascii="宋体" w:hAnsi="宋体"/>
          <w:sz w:val="18"/>
          <w:szCs w:val="18"/>
        </w:rPr>
        <w:t>1.产品管理人：兴银理财有限责任公司</w:t>
      </w:r>
    </w:p>
    <w:p w14:paraId="3699AFBC">
      <w:pPr>
        <w:ind w:firstLine="360" w:firstLineChars="200"/>
        <w:rPr>
          <w:rFonts w:ascii="宋体" w:hAnsi="宋体"/>
          <w:sz w:val="18"/>
          <w:szCs w:val="18"/>
        </w:rPr>
      </w:pPr>
      <w:r>
        <w:rPr>
          <w:rFonts w:hint="eastAsia" w:ascii="宋体" w:hAnsi="宋体"/>
          <w:sz w:val="18"/>
          <w:szCs w:val="18"/>
        </w:rPr>
        <w:t>客户服务热线：40015-95561。</w:t>
      </w:r>
    </w:p>
    <w:p w14:paraId="2A2E9BC0">
      <w:pPr>
        <w:ind w:firstLine="360" w:firstLineChars="200"/>
        <w:outlineLvl w:val="2"/>
        <w:rPr>
          <w:rFonts w:ascii="宋体" w:hAnsi="宋体"/>
          <w:sz w:val="18"/>
          <w:szCs w:val="18"/>
        </w:rPr>
      </w:pPr>
      <w:r>
        <w:rPr>
          <w:rFonts w:hint="eastAsia" w:ascii="宋体" w:hAnsi="宋体"/>
          <w:sz w:val="18"/>
          <w:szCs w:val="18"/>
          <w:lang w:val="en-US" w:eastAsia="zh-CN"/>
        </w:rPr>
        <w:t>2</w:t>
      </w:r>
      <w:r>
        <w:rPr>
          <w:rFonts w:hint="eastAsia" w:ascii="宋体" w:hAnsi="宋体"/>
          <w:sz w:val="18"/>
          <w:szCs w:val="18"/>
        </w:rPr>
        <w:t>.销售机构：【】</w:t>
      </w:r>
    </w:p>
    <w:p w14:paraId="4239AA99">
      <w:pPr>
        <w:ind w:firstLine="360" w:firstLineChars="200"/>
        <w:rPr>
          <w:rFonts w:ascii="宋体" w:hAnsi="宋体"/>
          <w:sz w:val="18"/>
          <w:szCs w:val="18"/>
        </w:rPr>
      </w:pPr>
      <w:r>
        <w:rPr>
          <w:rFonts w:hint="eastAsia" w:ascii="宋体" w:hAnsi="宋体"/>
          <w:sz w:val="18"/>
          <w:szCs w:val="18"/>
        </w:rPr>
        <w:t>【】</w:t>
      </w:r>
    </w:p>
    <w:p w14:paraId="3C7E9BD1">
      <w:pPr>
        <w:autoSpaceDE w:val="0"/>
        <w:autoSpaceDN w:val="0"/>
        <w:adjustRightInd w:val="0"/>
        <w:spacing w:line="280" w:lineRule="atLeast"/>
        <w:jc w:val="left"/>
        <w:rPr>
          <w:rFonts w:ascii="仿宋_GB2312" w:eastAsia="仿宋_GB2312" w:cs="仿宋_GB2312"/>
          <w:color w:val="000000"/>
          <w:kern w:val="0"/>
          <w:sz w:val="24"/>
          <w:szCs w:val="24"/>
        </w:rPr>
      </w:pPr>
    </w:p>
    <w:p w14:paraId="1338854C">
      <w:pPr>
        <w:widowControl/>
        <w:spacing w:line="280" w:lineRule="atLeast"/>
        <w:jc w:val="left"/>
      </w:pPr>
    </w:p>
    <w:p w14:paraId="58F1E4BC">
      <w:pPr>
        <w:ind w:firstLine="360" w:firstLineChars="200"/>
        <w:rPr>
          <w:rFonts w:ascii="宋体" w:hAnsi="宋体"/>
          <w:sz w:val="18"/>
          <w:szCs w:val="18"/>
        </w:rPr>
      </w:pPr>
    </w:p>
    <w:p w14:paraId="3A6C044B">
      <w:pPr>
        <w:autoSpaceDE w:val="0"/>
        <w:autoSpaceDN w:val="0"/>
        <w:adjustRightInd w:val="0"/>
        <w:spacing w:line="280" w:lineRule="atLeast"/>
        <w:jc w:val="left"/>
        <w:rPr>
          <w:rFonts w:ascii="仿宋_GB2312" w:eastAsia="仿宋_GB2312" w:cs="仿宋_GB2312"/>
          <w:color w:val="000000"/>
          <w:kern w:val="0"/>
          <w:sz w:val="24"/>
          <w:szCs w:val="24"/>
        </w:rPr>
      </w:pPr>
    </w:p>
    <w:p w14:paraId="2FE32220">
      <w:pPr>
        <w:widowControl/>
        <w:spacing w:line="280" w:lineRule="atLeast"/>
        <w:jc w:val="left"/>
      </w:pPr>
    </w:p>
    <w:p w14:paraId="48BD3904"/>
    <w:sectPr>
      <w:headerReference r:id="rId11" w:type="default"/>
      <w:pgSz w:w="11906" w:h="16838"/>
      <w:pgMar w:top="1440" w:right="1800" w:bottom="1440" w:left="1800" w:header="567"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Calibri Light">
    <w:altName w:val="Arial"/>
    <w:panose1 w:val="020F0302020204030204"/>
    <w:charset w:val="00"/>
    <w:family w:val="swiss"/>
    <w:pitch w:val="default"/>
    <w:sig w:usb0="00000000" w:usb1="00000000" w:usb2="00000009" w:usb3="00000000" w:csb0="200001FF" w:csb1="00000000"/>
  </w:font>
  <w:font w:name="仿宋_GB2312">
    <w:altName w:val="汉仪仿宋KW"/>
    <w:panose1 w:val="00000000000000000000"/>
    <w:charset w:val="86"/>
    <w:family w:val="modern"/>
    <w:pitch w:val="default"/>
    <w:sig w:usb0="00000000" w:usb1="00000000" w:usb2="00000010" w:usb3="00000000" w:csb0="00040000" w:csb1="00000000"/>
  </w:font>
  <w:font w:name="汉仪仿宋KW">
    <w:panose1 w:val="00020600040101010101"/>
    <w:charset w:val="86"/>
    <w:family w:val="auto"/>
    <w:pitch w:val="default"/>
    <w:sig w:usb0="A00002BF" w:usb1="18EF7CFA" w:usb2="00000016" w:usb3="00000000" w:csb0="00040000" w:csb1="00000000"/>
  </w:font>
  <w:font w:name="Cambria">
    <w:altName w:val="Georgia"/>
    <w:panose1 w:val="02040503050406030204"/>
    <w:charset w:val="00"/>
    <w:family w:val="roman"/>
    <w:pitch w:val="default"/>
    <w:sig w:usb0="00000000" w:usb1="00000000" w:usb2="02000000" w:usb3="00000000" w:csb0="2000019F" w:csb1="00000000"/>
  </w:font>
  <w:font w:name="Georgia">
    <w:panose1 w:val="02040502050405020303"/>
    <w:charset w:val="00"/>
    <w:family w:val="auto"/>
    <w:pitch w:val="default"/>
    <w:sig w:usb0="00000287" w:usb1="00000000" w:usb2="00000000" w:usb3="00000000" w:csb0="200000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2818713"/>
    </w:sdtPr>
    <w:sdtContent>
      <w:p w14:paraId="31117C08">
        <w:pPr>
          <w:pStyle w:val="3"/>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16</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1CB36">
    <w:pPr>
      <w:pStyle w:val="3"/>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36</w:t>
    </w:r>
    <w:r>
      <w:rPr>
        <w:kern w:val="0"/>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52708"/>
    </w:sdtPr>
    <w:sdtContent>
      <w:p w14:paraId="7DD19D9D">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61253"/>
    </w:sdtPr>
    <w:sdtContent>
      <w:p w14:paraId="673EE9F9">
        <w:pPr>
          <w:pStyle w:val="3"/>
          <w:jc w:val="center"/>
        </w:pPr>
        <w:r>
          <w:fldChar w:fldCharType="begin"/>
        </w:r>
        <w:r>
          <w:instrText xml:space="preserve">PAGE   \* MERGEFORMAT</w:instrText>
        </w:r>
        <w:r>
          <w:fldChar w:fldCharType="separate"/>
        </w:r>
        <w:r>
          <w:rPr>
            <w:lang w:val="zh-CN"/>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2AECF">
    <w:pPr>
      <w:pStyle w:val="4"/>
      <w:jc w:val="right"/>
      <w:rPr>
        <w:b/>
      </w:rPr>
    </w:pPr>
    <w:r>
      <w:rPr>
        <w:rFonts w:hint="eastAsia"/>
        <w:b/>
      </w:rPr>
      <w:t>投资协议书</w:t>
    </w:r>
  </w:p>
  <w:p w14:paraId="6663AFF4">
    <w:pPr>
      <w:pStyle w:val="4"/>
      <w:jc w:val="right"/>
      <w:rPr>
        <w:b/>
      </w:rPr>
    </w:pPr>
    <w:r>
      <w:rPr>
        <w:rFonts w:hint="eastAsia"/>
        <w:b/>
      </w:rPr>
      <w:t>注：本文件由兴银理财有限责任公司统一编制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194A5">
    <w:pPr>
      <w:pStyle w:val="4"/>
      <w:jc w:val="right"/>
      <w:rPr>
        <w:rFonts w:ascii="Times New Roman" w:hAnsi="Times New Roman"/>
        <w:b/>
      </w:rPr>
    </w:pPr>
    <w:r>
      <w:rPr>
        <w:rFonts w:hint="eastAsia" w:ascii="Times New Roman" w:hAnsi="Times New Roman" w:cs="Times New Roman"/>
        <w:b/>
        <w:szCs w:val="20"/>
      </w:rPr>
      <w:t xml:space="preserve"> </w:t>
    </w:r>
    <w:r>
      <w:rPr>
        <w:rFonts w:hint="eastAsia" w:ascii="Times New Roman" w:hAnsi="Times New Roman"/>
        <w:b/>
      </w:rPr>
      <w:t>产品说明书</w:t>
    </w:r>
  </w:p>
  <w:p w14:paraId="7F2EE403">
    <w:pPr>
      <w:pStyle w:val="4"/>
      <w:jc w:val="right"/>
      <w:rPr>
        <w:rFonts w:ascii="Times New Roman" w:hAnsi="Times New Roman"/>
        <w:b/>
      </w:rPr>
    </w:pPr>
    <w:r>
      <w:rPr>
        <w:rFonts w:hint="eastAsia" w:ascii="Times New Roman" w:hAnsi="Times New Roman"/>
        <w:b/>
      </w:rPr>
      <w:t>注：本文件由兴银理财有限责任公司统一编制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8A6A6">
    <w:pPr>
      <w:pStyle w:val="4"/>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14:paraId="1E5739D7">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D7A0F">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风险揭示书</w:t>
    </w:r>
  </w:p>
  <w:p w14:paraId="7ED2CD3C">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9FF59">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投资者权益须知</w:t>
    </w:r>
  </w:p>
  <w:p w14:paraId="5CB9B163">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816E43"/>
    <w:rsid w:val="2BBE5BA7"/>
    <w:rsid w:val="637F58C5"/>
    <w:rsid w:val="6EBE1015"/>
    <w:rsid w:val="724A382D"/>
    <w:rsid w:val="7C32569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paragraph" w:styleId="5">
    <w:name w:val="toc 1"/>
    <w:basedOn w:val="1"/>
    <w:next w:val="1"/>
    <w:qFormat/>
    <w:uiPriority w:val="39"/>
    <w:pPr>
      <w:tabs>
        <w:tab w:val="right" w:leader="dot" w:pos="8296"/>
      </w:tabs>
      <w:spacing w:line="360" w:lineRule="auto"/>
    </w:p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paragraph" w:styleId="12">
    <w:name w:val="List Paragraph"/>
    <w:basedOn w:val="1"/>
    <w:qFormat/>
    <w:uiPriority w:val="0"/>
    <w:pPr>
      <w:ind w:firstLine="420" w:firstLineChars="200"/>
    </w:pPr>
  </w:style>
  <w:style w:type="paragraph" w:customStyle="1" w:styleId="1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sz w:val="32"/>
      <w:szCs w:val="32"/>
    </w:rPr>
  </w:style>
  <w:style w:type="paragraph" w:customStyle="1" w:styleId="1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71</Pages>
  <Words>49633</Words>
  <Characters>50424</Characters>
  <Lines>0</Lines>
  <Paragraphs>0</Paragraphs>
  <TotalTime>2</TotalTime>
  <ScaleCrop>false</ScaleCrop>
  <LinksUpToDate>false</LinksUpToDate>
  <CharactersWithSpaces>51115</CharactersWithSpaces>
  <Application>WPS Office WWO_wpscloud_20251023144652-8bd2c77bef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2025-06-06T11:06:00Z</dcterms:created>
  <dc:creator>cib</dc:creator>
  <cp:lastModifiedBy>cib</cp:lastModifiedBy>
  <dcterms:modified xsi:type="dcterms:W3CDTF">2026-04-28T15:15:21Z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2052-12.9.0.23279</vt:lpwstr>
  </property>
  <property fmtid="{D5CDD505-2E9C-101B-9397-08002B2CF9AE}" pid="3" name="ICV">
    <vt:lpwstr>56EFE362A98F4FD1895EF069E8037A4A_43</vt:lpwstr>
  </property>
</Properties>
</file>