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幸福99丰裕固收387天26074期理财</w:t>
      </w:r>
      <w:r>
        <w:rPr>
          <w:rFonts w:hint="eastAsia" w:ascii="宋体" w:hAnsi="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w:t>
      </w:r>
      <w:r>
        <w:rPr>
          <w:rFonts w:hint="eastAsia" w:ascii="宋体" w:hAnsi="宋体" w:eastAsia="宋体" w:cs="宋体"/>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9"/>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幸福99丰裕固收387天26074期理财</w:t>
      </w:r>
      <w:r>
        <w:rPr>
          <w:rFonts w:hint="eastAsia" w:ascii="宋体" w:hAnsi="宋体" w:cs="宋体"/>
          <w:b/>
          <w:bCs/>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幸福99丰裕固收387天26074期理财</w:t>
            </w:r>
            <w:r>
              <w:rPr>
                <w:rFonts w:hint="eastAsia" w:ascii="宋体" w:hAnsi="宋体" w:cs="宋体"/>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幸福99丰裕固收387天26074期理财</w:t>
            </w:r>
            <w:r>
              <w:rPr>
                <w:rFonts w:hint="eastAsia" w:ascii="宋体" w:hAnsi="宋体" w:cs="宋体"/>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幸福99丰裕固收387天26074期理财</w:t>
      </w:r>
      <w:r>
        <w:rPr>
          <w:rFonts w:hint="eastAsia" w:ascii="宋体" w:hAnsi="宋体" w:cs="宋体"/>
          <w:b/>
          <w:bCs/>
          <w:sz w:val="44"/>
          <w:szCs w:val="44"/>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w:t>
      </w:r>
      <w:r>
        <w:rPr>
          <w:rFonts w:hint="eastAsia" w:ascii="宋体" w:hAnsi="宋体" w:cs="宋体"/>
          <w:b/>
          <w:bCs/>
          <w:sz w:val="24"/>
          <w:highlight w:val="none"/>
          <w:u w:val="single"/>
          <w:lang w:eastAsia="zh-CN"/>
        </w:rPr>
        <w:t>须</w:t>
      </w:r>
      <w:r>
        <w:rPr>
          <w:rFonts w:hint="eastAsia" w:ascii="宋体" w:hAnsi="宋体" w:cs="宋体"/>
          <w:b/>
          <w:bCs/>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w:t>
      </w:r>
      <w:r>
        <w:rPr>
          <w:rFonts w:hint="eastAsia" w:ascii="宋体" w:hAnsi="宋体" w:cs="宋体"/>
          <w:bCs/>
          <w:sz w:val="24"/>
          <w:highlight w:val="none"/>
          <w:lang w:val="en-US" w:eastAsia="zh-CN"/>
        </w:rPr>
        <w:t>代理销售</w:t>
      </w:r>
      <w:r>
        <w:rPr>
          <w:rFonts w:hint="eastAsia" w:ascii="宋体" w:hAnsi="宋体" w:cs="宋体"/>
          <w:bCs/>
          <w:sz w:val="24"/>
          <w:highlight w:val="none"/>
          <w:lang w:eastAsia="zh-CN"/>
        </w:rPr>
        <w:t>）销售协议书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政策风险：理财计划根据当前的相关法规和政策设计，如国家宏观政策以及相关市场</w:t>
      </w:r>
      <w:r>
        <w:rPr>
          <w:rFonts w:hint="eastAsia" w:ascii="宋体" w:hAnsi="宋体" w:cs="宋体"/>
          <w:b/>
          <w:sz w:val="24"/>
          <w:highlight w:val="none"/>
          <w:lang w:val="en-US" w:eastAsia="zh-CN"/>
        </w:rPr>
        <w:t>法律、</w:t>
      </w:r>
      <w:r>
        <w:rPr>
          <w:rFonts w:hint="eastAsia" w:ascii="宋体" w:hAnsi="宋体" w:cs="宋体"/>
          <w:b/>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信息传递风险：</w:t>
      </w:r>
      <w:r>
        <w:rPr>
          <w:rFonts w:hint="eastAsia" w:ascii="宋体" w:hAnsi="宋体" w:cs="宋体"/>
          <w:b/>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sz w:val="24"/>
          <w:highlight w:val="none"/>
        </w:rPr>
        <w:t>由于投资者未能及时主动了解理财计划信息</w:t>
      </w:r>
      <w:r>
        <w:rPr>
          <w:rFonts w:hint="eastAsia" w:ascii="宋体" w:hAnsi="宋体" w:cs="宋体"/>
          <w:b/>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sz w:val="24"/>
          <w:highlight w:val="none"/>
        </w:rPr>
        <w:t>。</w:t>
      </w:r>
      <w:r>
        <w:rPr>
          <w:rFonts w:hint="eastAsia" w:ascii="宋体" w:hAnsi="宋体" w:cs="宋体"/>
          <w:b/>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sz w:val="24"/>
          <w:highlight w:val="none"/>
          <w:lang w:eastAsia="zh-CN"/>
        </w:rPr>
        <w:t>理</w:t>
      </w:r>
      <w:r>
        <w:rPr>
          <w:rFonts w:hint="eastAsia" w:ascii="宋体" w:hAnsi="宋体" w:cs="宋体"/>
          <w:b/>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eastAsia="zh-CN"/>
        </w:rPr>
        <w:t>关</w:t>
      </w:r>
      <w:r>
        <w:rPr>
          <w:rFonts w:ascii="宋体" w:hAnsi="宋体" w:cs="宋体"/>
          <w:b/>
          <w:sz w:val="24"/>
          <w:highlight w:val="none"/>
        </w:rPr>
        <w:t>联关系</w:t>
      </w:r>
      <w:r>
        <w:rPr>
          <w:rFonts w:hint="eastAsia" w:ascii="宋体" w:hAnsi="宋体" w:cs="宋体"/>
          <w:b/>
          <w:sz w:val="24"/>
          <w:highlight w:val="none"/>
          <w:lang w:val="en-US" w:eastAsia="zh-CN"/>
        </w:rPr>
        <w:t>及关联交易</w:t>
      </w:r>
      <w:r>
        <w:rPr>
          <w:rFonts w:ascii="宋体" w:hAnsi="宋体" w:cs="宋体"/>
          <w:b/>
          <w:sz w:val="24"/>
          <w:highlight w:val="none"/>
        </w:rPr>
        <w:t>风险：</w:t>
      </w:r>
      <w:r>
        <w:rPr>
          <w:rFonts w:hint="eastAsia" w:ascii="宋体" w:hAnsi="宋体" w:cs="宋体"/>
          <w:b/>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sz w:val="24"/>
          <w:highlight w:val="none"/>
        </w:rPr>
        <w:t>杭州银行股份有限公司</w:t>
      </w:r>
      <w:r>
        <w:rPr>
          <w:rFonts w:hint="eastAsia" w:ascii="宋体" w:hAnsi="宋体" w:cs="宋体"/>
          <w:b/>
          <w:sz w:val="24"/>
          <w:highlight w:val="none"/>
          <w:lang w:eastAsia="zh-CN"/>
        </w:rPr>
        <w:t>（</w:t>
      </w:r>
      <w:r>
        <w:rPr>
          <w:rFonts w:hint="eastAsia" w:ascii="宋体" w:hAnsi="宋体" w:cs="宋体"/>
          <w:b/>
          <w:sz w:val="24"/>
          <w:highlight w:val="none"/>
          <w:lang w:val="en-US" w:eastAsia="zh-CN"/>
        </w:rPr>
        <w:t>以下简称“杭州银行”</w:t>
      </w:r>
      <w:r>
        <w:rPr>
          <w:rFonts w:hint="eastAsia" w:ascii="宋体" w:hAnsi="宋体" w:cs="宋体"/>
          <w:b/>
          <w:sz w:val="24"/>
          <w:highlight w:val="none"/>
          <w:lang w:eastAsia="zh-CN"/>
        </w:rPr>
        <w:t>）</w:t>
      </w:r>
      <w:r>
        <w:rPr>
          <w:rFonts w:hint="eastAsia" w:ascii="宋体" w:hAnsi="宋体" w:cs="宋体"/>
          <w:b/>
          <w:sz w:val="24"/>
          <w:highlight w:val="none"/>
          <w:lang w:val="en-US" w:eastAsia="zh-CN"/>
        </w:rPr>
        <w:t>作为理财计划的销售服务机构</w:t>
      </w:r>
      <w:r>
        <w:rPr>
          <w:rFonts w:ascii="宋体" w:hAnsi="宋体" w:cs="宋体"/>
          <w:b/>
          <w:sz w:val="24"/>
          <w:highlight w:val="none"/>
        </w:rPr>
        <w:t>，</w:t>
      </w:r>
      <w:r>
        <w:rPr>
          <w:rFonts w:hint="eastAsia" w:ascii="宋体" w:hAnsi="宋体" w:cs="宋体"/>
          <w:b/>
          <w:sz w:val="24"/>
          <w:highlight w:val="none"/>
          <w:lang w:val="en-US" w:eastAsia="zh-CN"/>
        </w:rPr>
        <w:t>负责理财计划的代理销售工作。</w:t>
      </w:r>
      <w:r>
        <w:rPr>
          <w:rFonts w:ascii="宋体" w:hAnsi="宋体" w:cs="宋体"/>
          <w:b/>
          <w:sz w:val="24"/>
          <w:highlight w:val="none"/>
        </w:rPr>
        <w:t>杭银理财系杭州银行全资子公司，双方存在关联关系。</w:t>
      </w:r>
      <w:r>
        <w:rPr>
          <w:rFonts w:hint="eastAsia" w:ascii="宋体" w:hAnsi="宋体" w:cs="宋体"/>
          <w:b/>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sz w:val="24"/>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 xml:space="preserve">    上述理财计划共性与特定风险发生时，投资者的本金及收益可能遭受损失，在最不利情形下，将损失全部本金及收益</w:t>
      </w:r>
      <w:r>
        <w:rPr>
          <w:rFonts w:hint="eastAsia" w:ascii="宋体" w:hAnsi="宋体" w:cs="宋体"/>
          <w:b/>
          <w:sz w:val="24"/>
          <w:highlight w:val="none"/>
          <w:lang w:eastAsia="zh-CN"/>
        </w:rPr>
        <w:t>（</w:t>
      </w:r>
      <w:r>
        <w:rPr>
          <w:rFonts w:hint="eastAsia" w:ascii="宋体" w:hAnsi="宋体" w:cs="宋体"/>
          <w:b/>
          <w:sz w:val="24"/>
          <w:highlight w:val="none"/>
          <w:lang w:val="en-US" w:eastAsia="zh-CN"/>
        </w:rPr>
        <w:t>如有</w:t>
      </w:r>
      <w:r>
        <w:rPr>
          <w:rFonts w:hint="eastAsia" w:ascii="宋体" w:hAnsi="宋体" w:cs="宋体"/>
          <w:b/>
          <w:sz w:val="24"/>
          <w:highlight w:val="none"/>
          <w:lang w:eastAsia="zh-CN"/>
        </w:rPr>
        <w:t>）</w:t>
      </w:r>
      <w:r>
        <w:rPr>
          <w:rFonts w:hint="eastAsia" w:ascii="宋体" w:hAnsi="宋体" w:cs="宋体"/>
          <w:b/>
          <w:sz w:val="24"/>
          <w:highlight w:val="none"/>
        </w:rPr>
        <w:t>，由此产生的风险及损失将由投资者自行承担。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sz w:val="24"/>
          <w:highlight w:val="none"/>
        </w:rPr>
        <w:t xml:space="preserve">    </w:t>
      </w: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w:t>
      </w:r>
      <w:r>
        <w:rPr>
          <w:rFonts w:hint="eastAsia" w:ascii="宋体" w:hAnsi="宋体" w:eastAsia="宋体" w:cs="宋体"/>
          <w:b/>
          <w:kern w:val="2"/>
          <w:sz w:val="24"/>
          <w:szCs w:val="24"/>
          <w:highlight w:val="none"/>
          <w:lang w:val="en-US" w:eastAsia="zh-CN" w:bidi="ar-SA"/>
        </w:rPr>
        <w:t>公募</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封闭式</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固定收益类</w:t>
      </w:r>
      <w:r>
        <w:rPr>
          <w:rFonts w:hint="eastAsia" w:ascii="宋体" w:hAnsi="宋体" w:cs="宋体"/>
          <w:b/>
          <w:sz w:val="24"/>
          <w:highlight w:val="none"/>
        </w:rPr>
        <w:t>〗净值型理财计划，〖</w:t>
      </w:r>
      <w:r>
        <w:rPr>
          <w:rFonts w:hint="eastAsia" w:ascii="宋体" w:hAnsi="宋体" w:eastAsia="宋体" w:cs="宋体"/>
          <w:b/>
          <w:kern w:val="2"/>
          <w:sz w:val="24"/>
          <w:szCs w:val="24"/>
          <w:highlight w:val="none"/>
          <w:lang w:val="en-US" w:eastAsia="zh-CN" w:bidi="ar-SA"/>
        </w:rPr>
        <w:t>387</w:t>
      </w:r>
      <w:r>
        <w:rPr>
          <w:rFonts w:hint="eastAsia" w:ascii="宋体" w:hAnsi="宋体" w:cs="宋体"/>
          <w:b/>
          <w:sz w:val="24"/>
          <w:highlight w:val="none"/>
        </w:rPr>
        <w:t>〗</w:t>
      </w:r>
      <w:r>
        <w:rPr>
          <w:rFonts w:hint="eastAsia" w:ascii="宋体" w:hAnsi="宋体" w:cs="宋体"/>
          <w:b/>
          <w:sz w:val="24"/>
          <w:highlight w:val="none"/>
          <w:lang w:eastAsia="zh"/>
        </w:rPr>
        <w:t>天</w:t>
      </w:r>
      <w:r>
        <w:rPr>
          <w:rFonts w:hint="eastAsia" w:ascii="宋体" w:hAnsi="宋体" w:cs="宋体"/>
          <w:bCs/>
          <w:color w:val="000000"/>
          <w:sz w:val="24"/>
          <w:highlight w:val="none"/>
          <w:lang w:eastAsia="zh-CN"/>
        </w:rPr>
        <w:t>，</w:t>
      </w:r>
      <w:r>
        <w:rPr>
          <w:rFonts w:hint="eastAsia" w:ascii="宋体" w:hAnsi="宋体" w:cs="宋体"/>
          <w:b/>
          <w:sz w:val="24"/>
          <w:highlight w:val="none"/>
        </w:rPr>
        <w:t>不保证本金与收益。</w:t>
      </w:r>
      <w:r>
        <w:rPr>
          <w:rFonts w:hint="eastAsia" w:ascii="宋体" w:hAnsi="宋体" w:cs="宋体"/>
          <w:b/>
          <w:sz w:val="24"/>
          <w:highlight w:val="none"/>
          <w:lang w:val="en-US" w:eastAsia="zh-CN"/>
        </w:rPr>
        <w:t>理财计划过往业绩不代表其未来表现，不等于理财计划实际收益，投资须谨慎！</w:t>
      </w:r>
      <w:r>
        <w:rPr>
          <w:rFonts w:hint="eastAsia" w:ascii="宋体" w:hAnsi="宋体" w:cs="宋体"/>
          <w:b/>
          <w:sz w:val="24"/>
          <w:highlight w:val="none"/>
        </w:rPr>
        <w:t>根据本公司理财产品内部风险评级，该理财计划风险评级结果为〖</w:t>
      </w:r>
      <w:r>
        <w:rPr>
          <w:rFonts w:hint="eastAsia" w:ascii="宋体" w:hAnsi="宋体" w:eastAsia="宋体" w:cs="宋体"/>
          <w:b/>
          <w:kern w:val="2"/>
          <w:sz w:val="24"/>
          <w:szCs w:val="24"/>
          <w:highlight w:val="none"/>
          <w:lang w:val="en-US" w:eastAsia="zh-CN" w:bidi="ar-SA"/>
        </w:rPr>
        <w:t>R2</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w:t>
      </w:r>
      <w:r>
        <w:rPr>
          <w:rFonts w:hint="eastAsia" w:ascii="宋体" w:hAnsi="宋体" w:eastAsia="宋体" w:cs="宋体"/>
          <w:b/>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w:t>
      </w:r>
      <w:r>
        <w:rPr>
          <w:rFonts w:hint="eastAsia" w:ascii="宋体" w:hAnsi="宋体" w:eastAsia="宋体" w:cs="宋体"/>
          <w:b/>
          <w:kern w:val="2"/>
          <w:sz w:val="24"/>
          <w:szCs w:val="24"/>
          <w:highlight w:val="none"/>
          <w:lang w:val="en-US" w:eastAsia="zh-CN" w:bidi="ar-SA"/>
        </w:rPr>
        <w:t>〖机构投资者〗以及〖稳健型、平衡型、成长型、进取型〗的个人投资者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val="0"/>
          <w:bCs/>
          <w:sz w:val="24"/>
          <w:highlight w:val="none"/>
          <w:lang w:val="en-US" w:eastAsia="zh-CN"/>
        </w:rPr>
        <w:t>本理财计划投资者适当性评估由销售机构负责，销售机构</w:t>
      </w:r>
      <w:r>
        <w:rPr>
          <w:rFonts w:hint="eastAsia" w:ascii="宋体" w:hAnsi="宋体" w:cs="宋体"/>
          <w:bCs/>
          <w:sz w:val="24"/>
          <w:highlight w:val="none"/>
        </w:rPr>
        <w:t>应确保个人投资者的风险承受能力不低于本理财计划风险评级。</w:t>
      </w:r>
      <w:r>
        <w:rPr>
          <w:rFonts w:hint="eastAsia" w:ascii="宋体" w:hAnsi="宋体" w:cs="宋体"/>
          <w:bCs/>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sz w:val="24"/>
          <w:highlight w:val="none"/>
        </w:rPr>
        <w:t>风险提示方：杭银理财有限责任公司</w:t>
      </w:r>
    </w:p>
    <w:p>
      <w:pPr>
        <w:rPr>
          <w:rFonts w:hint="eastAsia" w:ascii="宋体" w:hAnsi="宋体" w:cs="宋体"/>
          <w:b/>
          <w:color w:val="auto"/>
          <w:highlight w:val="none"/>
        </w:rPr>
      </w:pPr>
      <w:r>
        <w:rPr>
          <w:rFonts w:hint="eastAsia" w:ascii="宋体" w:hAnsi="宋体" w:cs="宋体"/>
          <w:b/>
          <w:color w:val="auto"/>
          <w:highlight w:val="none"/>
        </w:rPr>
        <w:br w:type="page"/>
      </w:r>
    </w:p>
    <w:p>
      <w:pPr>
        <w:pStyle w:val="17"/>
        <w:pageBreakBefore/>
        <w:widowControl/>
        <w:spacing w:line="360" w:lineRule="auto"/>
        <w:ind w:left="0" w:leftChars="0"/>
        <w:jc w:val="center"/>
        <w:outlineLvl w:val="9"/>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b/>
          <w:color w:val="auto"/>
          <w:highlight w:val="none"/>
        </w:rPr>
      </w:pP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如超过一年未进行风险承受能力评估或影响本人风险承受能力的因素发生变化，本人将于再次购买理财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72" w:firstLineChars="196"/>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72" w:firstLineChars="196"/>
        <w:jc w:val="both"/>
        <w:rPr>
          <w:rFonts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360" w:firstLineChars="15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b/>
          <w:kern w:val="0"/>
          <w:szCs w:val="21"/>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br w:type="page"/>
      </w:r>
    </w:p>
    <w:p>
      <w:pPr>
        <w:pStyle w:val="17"/>
        <w:pageBreakBefore/>
        <w:widowControl/>
        <w:spacing w:line="360" w:lineRule="auto"/>
        <w:ind w:firstLine="482" w:firstLineChars="200"/>
        <w:jc w:val="center"/>
        <w:outlineLvl w:val="9"/>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ascii="宋体" w:hAnsi="宋体" w:cs="宋体"/>
          <w:bCs/>
          <w:color w:val="000000"/>
          <w:sz w:val="24"/>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rPr>
          <w:rFonts w:ascii="宋体" w:hAnsi="宋体" w:cs="宋体"/>
          <w:bCs/>
          <w:color w:val="000000"/>
          <w:sz w:val="24"/>
          <w:highlight w:val="none"/>
        </w:rPr>
      </w:pP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幸福99丰裕固收387天26074期理财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宋体" w:eastAsia="宋体" w:cs="宋体"/>
          <w:bCs/>
          <w:kern w:val="2"/>
          <w:sz w:val="24"/>
          <w:szCs w:val="24"/>
          <w:highlight w:val="none"/>
          <w:lang w:val="en-US" w:eastAsia="zh-CN" w:bidi="ar-SA"/>
        </w:rPr>
        <w:t>Z7002226000165</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jc w:val="left"/>
        <w:outlineLvl w:val="9"/>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w:t>
      </w:r>
      <w:r>
        <w:rPr>
          <w:rFonts w:hint="eastAsia" w:ascii="宋体" w:hAnsi="宋体" w:cs="宋体"/>
          <w:bCs/>
          <w:sz w:val="24"/>
          <w:highlight w:val="none"/>
          <w:lang w:val="en-US" w:eastAsia="zh-CN"/>
        </w:rPr>
        <w:t>销售文件</w:t>
      </w:r>
      <w:r>
        <w:rPr>
          <w:rFonts w:hint="eastAsia" w:ascii="宋体" w:hAnsi="宋体" w:cs="宋体"/>
          <w:bCs/>
          <w:sz w:val="24"/>
          <w:highlight w:val="none"/>
        </w:rPr>
        <w:t>。</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在本理财计划存续期内，如因监管政策或法律法规发生变化，在不损害投资者利益的前提下，管理人有权对</w:t>
      </w:r>
      <w:r>
        <w:rPr>
          <w:rFonts w:hint="eastAsia" w:ascii="宋体" w:hAnsi="宋体" w:cs="宋体"/>
          <w:bCs/>
          <w:sz w:val="24"/>
          <w:highlight w:val="none"/>
          <w:lang w:val="en-US" w:eastAsia="zh-CN"/>
        </w:rPr>
        <w:t>因上述变化导致的</w:t>
      </w:r>
      <w:r>
        <w:rPr>
          <w:rFonts w:hint="eastAsia" w:ascii="宋体" w:hAnsi="宋体" w:cs="宋体"/>
          <w:bCs/>
          <w:sz w:val="24"/>
          <w:highlight w:val="none"/>
        </w:rPr>
        <w:t>本理财计划说明书条款</w:t>
      </w:r>
      <w:r>
        <w:rPr>
          <w:rFonts w:hint="eastAsia" w:ascii="宋体" w:hAnsi="宋体" w:cs="宋体"/>
          <w:bCs/>
          <w:sz w:val="24"/>
          <w:highlight w:val="none"/>
          <w:lang w:val="en-US" w:eastAsia="zh-CN"/>
        </w:rPr>
        <w:t>变化</w:t>
      </w:r>
      <w:r>
        <w:rPr>
          <w:rFonts w:hint="eastAsia" w:ascii="宋体" w:hAnsi="宋体" w:cs="宋体"/>
          <w:bCs/>
          <w:sz w:val="24"/>
          <w:highlight w:val="none"/>
        </w:rPr>
        <w:t>进行修订。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spacing w:line="360" w:lineRule="auto"/>
        <w:jc w:val="left"/>
        <w:rPr>
          <w:rFonts w:hint="eastAsia" w:ascii="宋体" w:hAnsi="宋体" w:cs="宋体"/>
          <w:bCs/>
          <w:sz w:val="24"/>
          <w:highlight w:val="none"/>
        </w:rPr>
      </w:pPr>
    </w:p>
    <w:p>
      <w:pPr>
        <w:numPr>
          <w:ilvl w:val="0"/>
          <w:numId w:val="11"/>
        </w:numPr>
        <w:spacing w:line="360" w:lineRule="auto"/>
        <w:jc w:val="left"/>
        <w:outlineLvl w:val="9"/>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lang w:eastAsia="zh-CN"/>
        </w:rPr>
        <w:t>，</w:t>
      </w:r>
      <w:r>
        <w:rPr>
          <w:rFonts w:hint="eastAsia" w:ascii="宋体" w:hAnsi="宋体" w:cs="宋体"/>
          <w:bCs/>
          <w:color w:val="auto"/>
          <w:kern w:val="2"/>
          <w:highlight w:val="none"/>
          <w:u w:val="none"/>
          <w:lang w:val="en-US" w:eastAsia="zh-CN"/>
        </w:rPr>
        <w:t>客服电话400-8950-999</w:t>
      </w:r>
      <w:r>
        <w:rPr>
          <w:rFonts w:hint="eastAsia" w:ascii="宋体" w:hAnsi="宋体" w:cs="宋体"/>
          <w:bCs/>
          <w:color w:val="auto"/>
          <w:kern w:val="2"/>
          <w:highlight w:val="none"/>
          <w:u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000000"/>
          <w:kern w:val="2"/>
          <w:highlight w:val="none"/>
          <w:u w:val="none"/>
        </w:rPr>
        <w:fldChar w:fldCharType="begin"/>
      </w:r>
      <w:r>
        <w:rPr>
          <w:rFonts w:hint="eastAsia" w:ascii="宋体" w:hAnsi="宋体" w:cs="宋体"/>
          <w:bCs/>
          <w:color w:val="000000"/>
          <w:kern w:val="2"/>
          <w:highlight w:val="none"/>
          <w:u w:val="none"/>
        </w:rPr>
        <w:instrText xml:space="preserve"> HYPERLINK "http://www.hzbank.com.cn" </w:instrText>
      </w:r>
      <w:r>
        <w:rPr>
          <w:rFonts w:hint="eastAsia" w:ascii="宋体" w:hAnsi="宋体" w:cs="宋体"/>
          <w:bCs/>
          <w:color w:val="000000"/>
          <w:kern w:val="2"/>
          <w:highlight w:val="none"/>
          <w:u w:val="none"/>
        </w:rP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说明书/产品说明书：</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幸福99丰裕固收387天26074期理财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幸福99丰裕固收387天26074期理财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幸福99丰裕固收387天26074期理财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投资协议书：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幸福99丰裕固收387天26074期理财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w:t>
      </w:r>
      <w:r>
        <w:rPr>
          <w:rFonts w:hint="eastAsia" w:ascii="宋体" w:hAnsi="宋体" w:cs="宋体"/>
          <w:b/>
          <w:bCs w:val="0"/>
          <w:color w:val="auto"/>
          <w:kern w:val="2"/>
          <w:highlight w:val="none"/>
          <w:lang w:val="en-US" w:eastAsia="zh-CN"/>
        </w:rPr>
        <w:t>计划</w:t>
      </w:r>
      <w:r>
        <w:rPr>
          <w:rFonts w:hint="eastAsia" w:ascii="宋体" w:hAnsi="宋体" w:cs="宋体"/>
          <w:b/>
          <w:bCs w:val="0"/>
          <w:color w:val="auto"/>
          <w:kern w:val="2"/>
          <w:highlight w:val="none"/>
          <w:lang w:eastAsia="zh-CN"/>
        </w:rPr>
        <w:t>销售协议书：</w:t>
      </w:r>
      <w:r>
        <w:rPr>
          <w:rFonts w:hint="eastAsia" w:ascii="宋体" w:hAnsi="宋体" w:cs="宋体"/>
          <w:bCs/>
          <w:color w:val="auto"/>
          <w:kern w:val="2"/>
          <w:highlight w:val="none"/>
          <w:lang w:eastAsia="zh-CN"/>
        </w:rPr>
        <w:t>指作为</w:t>
      </w:r>
      <w:r>
        <w:rPr>
          <w:rFonts w:hint="eastAsia" w:ascii="宋体" w:hAnsi="宋体" w:eastAsia="宋体" w:cs="宋体"/>
          <w:bCs/>
          <w:color w:val="auto"/>
          <w:kern w:val="2"/>
          <w:sz w:val="24"/>
          <w:szCs w:val="24"/>
          <w:highlight w:val="none"/>
          <w:lang w:val="en-US" w:eastAsia="zh-CN" w:bidi="ar-SA"/>
        </w:rPr>
        <w:t>幸福99丰裕固收387天26074期理财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合同/销售文件：</w:t>
      </w:r>
      <w:r>
        <w:rPr>
          <w:rFonts w:hint="eastAsia" w:ascii="宋体" w:hAnsi="宋体" w:cs="宋体"/>
          <w:bCs/>
          <w:color w:val="auto"/>
          <w:kern w:val="2"/>
          <w:highlight w:val="none"/>
        </w:rPr>
        <w:t>指《理财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产品说明</w:t>
      </w:r>
      <w:r>
        <w:rPr>
          <w:rFonts w:hint="eastAsia" w:ascii="宋体" w:hAnsi="宋体" w:cs="宋体"/>
          <w:bCs/>
          <w:color w:val="auto"/>
          <w:kern w:val="2"/>
          <w:highlight w:val="none"/>
        </w:rPr>
        <w:t>书》《投资者权益须知》《理财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rPr>
        <w:t>投资协议书》</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幸福99丰裕固收387天26074期理财</w:t>
      </w:r>
      <w:r>
        <w:rPr>
          <w:rFonts w:hint="eastAsia" w:ascii="宋体" w:hAnsi="宋体" w:cs="宋体"/>
          <w:bCs/>
          <w:highlight w:val="none"/>
        </w:rPr>
        <w:t>。</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流动性</w:t>
      </w:r>
      <w:r>
        <w:rPr>
          <w:rFonts w:hint="eastAsia"/>
          <w:b/>
          <w:bCs w:val="0"/>
          <w:highlight w:val="none"/>
          <w:lang w:val="en-US" w:eastAsia="zh-CN"/>
        </w:rPr>
        <w:t>受限资产：</w:t>
      </w:r>
      <w:r>
        <w:rPr>
          <w:rFonts w:hint="eastAsia"/>
          <w:highlight w:val="none"/>
          <w:lang w:val="en-US" w:eastAsia="zh-CN"/>
        </w:rPr>
        <w:t>是指由于法律法规、监管、合同或操作障碍等原因无法以合理价格予以变现的资产，包括到期日在</w:t>
      </w:r>
      <w:r>
        <w:rPr>
          <w:rFonts w:hint="eastAsia" w:ascii="宋体" w:hAnsi="宋体" w:eastAsia="宋体" w:cs="宋体"/>
          <w:highlight w:val="none"/>
          <w:lang w:val="en-US" w:eastAsia="zh-CN"/>
        </w:rPr>
        <w:t>10</w:t>
      </w:r>
      <w:r>
        <w:rPr>
          <w:rFonts w:hint="eastAsia"/>
          <w:highlight w:val="none"/>
          <w:lang w:val="en-US" w:eastAsia="zh-CN"/>
        </w:rPr>
        <w:t>个交易日以上的逆回购与银行定期存款（含协议约定有条件提前支取的银行存款）、距可赎回日在</w:t>
      </w:r>
      <w:r>
        <w:rPr>
          <w:rFonts w:hint="eastAsia" w:ascii="宋体" w:hAnsi="宋体" w:eastAsia="宋体" w:cs="宋体"/>
          <w:highlight w:val="none"/>
          <w:lang w:val="en-US" w:eastAsia="zh-CN"/>
        </w:rPr>
        <w:t>10</w:t>
      </w:r>
      <w:r>
        <w:rPr>
          <w:rFonts w:hint="eastAsia"/>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摆动定价机制：</w:t>
      </w:r>
      <w:r>
        <w:rPr>
          <w:rFonts w:hint="eastAsia" w:ascii="宋体" w:hAnsi="宋体" w:cs="宋体"/>
          <w:b w:val="0"/>
          <w:bCs/>
          <w:color w:val="auto"/>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短期赎回费机制：</w:t>
      </w:r>
      <w:r>
        <w:rPr>
          <w:rFonts w:hint="eastAsia" w:ascii="宋体" w:hAnsi="宋体" w:cs="宋体"/>
          <w:b w:val="0"/>
          <w:bCs/>
          <w:color w:val="auto"/>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17"/>
        <w:adjustRightInd/>
        <w:spacing w:line="360" w:lineRule="auto"/>
        <w:rPr>
          <w:rFonts w:hint="eastAsia" w:ascii="宋体" w:hAnsi="宋体" w:cs="宋体"/>
          <w:bCs/>
          <w:color w:val="auto"/>
          <w:kern w:val="2"/>
          <w:highlight w:val="none"/>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w:t>
      </w:r>
      <w:r>
        <w:rPr>
          <w:rFonts w:hint="eastAsia" w:ascii="宋体" w:hAnsi="宋体" w:eastAsia="宋体" w:cs="宋体"/>
          <w:b/>
          <w:color w:val="auto"/>
          <w:kern w:val="2"/>
          <w:sz w:val="24"/>
          <w:szCs w:val="24"/>
          <w:highlight w:val="none"/>
          <w:lang w:val="en-US" w:eastAsia="zh-CN" w:bidi="ar-SA"/>
        </w:rPr>
        <w:t>R2</w:t>
      </w:r>
      <w:r>
        <w:rPr>
          <w:rFonts w:hint="eastAsia" w:ascii="宋体" w:hAnsi="宋体" w:cs="宋体"/>
          <w:b/>
          <w:color w:val="auto"/>
          <w:kern w:val="2"/>
          <w:highlight w:val="none"/>
        </w:rPr>
        <w:t>〗，〖</w:t>
      </w:r>
      <w:r>
        <w:rPr>
          <w:rFonts w:hint="eastAsia" w:ascii="宋体" w:hAnsi="宋体" w:eastAsia="宋体" w:cs="宋体"/>
          <w:b/>
          <w:color w:val="auto"/>
          <w:kern w:val="2"/>
          <w:sz w:val="24"/>
          <w:szCs w:val="24"/>
          <w:highlight w:val="none"/>
          <w:lang w:val="en-US" w:eastAsia="zh-CN" w:bidi="ar-SA"/>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Cs/>
          <w:color w:val="auto"/>
          <w:kern w:val="2"/>
          <w:highlight w:val="none"/>
          <w:lang w:eastAsia="zh-CN"/>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幸福99丰裕固收387天26074期理财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eastAsia="宋体" w:cs="宋体"/>
                <w:kern w:val="2"/>
                <w:sz w:val="21"/>
                <w:szCs w:val="21"/>
                <w:highlight w:val="none"/>
                <w:lang w:val="en-US" w:eastAsia="zh-CN" w:bidi="ar-SA"/>
              </w:rPr>
              <w:t>丰裕固收26074期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FYG26074</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Z7002226000165</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b/>
                <w:bCs/>
                <w:color w:val="000000"/>
                <w:kern w:val="2"/>
                <w:sz w:val="21"/>
                <w:szCs w:val="21"/>
                <w:highlight w:val="none"/>
                <w:lang w:val="en-US" w:eastAsia="zh-CN" w:bidi="ar-SA"/>
              </w:rPr>
              <w:t>〖机构投资者〗以及〖稳健型、平衡型、成长型、进取型〗的个人投资者</w:t>
            </w:r>
            <w:r>
              <w:rPr>
                <w:rFonts w:hint="eastAsia" w:ascii="宋体" w:hAnsi="宋体" w:cs="宋体"/>
                <w:b/>
                <w:color w:val="000000"/>
                <w:szCs w:val="21"/>
                <w:highlight w:val="none"/>
              </w:rPr>
              <w:t>。</w:t>
            </w:r>
            <w:r>
              <w:rPr>
                <w:rFonts w:hint="eastAsia" w:ascii="宋体" w:hAnsi="宋体" w:cs="宋体"/>
                <w:bCs/>
                <w:color w:val="auto"/>
                <w:kern w:val="2"/>
                <w:highlight w:val="none"/>
                <w:lang w:eastAsia="zh-CN"/>
              </w:rPr>
              <w:t>投资者风险承受能力评级水平以销售机构评估为准。</w:t>
            </w:r>
          </w:p>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A份额（销售代码〖FYG26074A〗）：普通个人投资者和机构客户。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B份额（销售代码〖FYG26074B〗）：普通个人投资者和机构客户。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C份额（销售代码〖FYG26074C〗）：普通个人投资者和机构客户。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D份额（销售代码〖FYG26074D〗）：普通个人投资者和机构客户。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E份额（公司专属）（销售代码〖FYG26074E〗）：普通个人投资者和机构客户。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G份额（销售代码〖FYG26074G〗）：普通个人投资者和机构客户。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H份额（北行专属）（销售代码〖FYG26074H〗）：普通个人投资者和机构客户。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I份额（爽盈优选）（销售代码〖FYG26074I〗）：普通个人投资者和机构客户。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J份额（销售代码〖FYG26074J〗）：普通个人投资者和机构客户。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K份额（鲲鹏优选）（销售代码〖FYG26074K〗）：普通个人投资者和机构客户。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M份额（天府·优选）（销售代码〖FYG26074M〗）：普通个人投资者和机构客户。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N份额惠享款（长长财富·鑫享）（销售代码〖FYG26074N〗）：普通个人投资者和机构客户。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O份额（销售代码〖FYG26074O〗）：普通个人投资者和机构客户。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P份额（芙蓉锦程·优选）（销售代码〖FYG26074P〗）：普通个人投资者和机构客户。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Q份额（销售代码〖FYG26074Q〗）：普通个人投资者和机构客户。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R份额惠享款吉行十二号（销售代码〖FYG26074R〗）：普通个人投资者和机构客户。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S份额（吉林农商护士节专属）（销售代码〖FYG26074S〗）：普通个人投资者和机构客户。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T份额惠享款（齐鲁-逢六有约）（销售代码〖FYG26074T〗）：普通个人投资者和机构客户。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U份额（兰马专属）（销售代码〖FYG26074U〗）：普通个人投资者和机构客户。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V份额（金芙蓉专属）（销售代码〖FYG26074V〗）：普通个人投资者和机构客户。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W份额惠享款（销售代码〖FYG26074W〗）：普通个人投资者和机构客户。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X份额（销售代码〖FYG26074X〗）：普通个人投资者。</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Y份额惠享款（销售代码〖FYG26074Y〗）：普通个人投资者和机构客户。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Z份额惠享款（销售代码〖FYG26074Z〗）：普通个人投资者和机构客户。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ZA份额惠享款（销售代码〖FYG26074ZA〗）：普通个人投资者和机构客户。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ZB份额（吉林农商工薪代发专属）（销售代码〖FYG26074ZB〗）：普通个人投资者和机构客户。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ZC份额惠享款（长长财富·臻享）（销售代码〖FYG26074ZC〗）：普通个人投资者和机构客户。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ZD份额惠享款（湖北银行专属）（销售代码〖FYG26074ZD〗）：普通个人投资者和机构客户。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固定收益类</w:t>
            </w:r>
            <w:r>
              <w:rPr>
                <w:rFonts w:hint="eastAsia" w:ascii="宋体" w:hAnsi="宋体" w:cs="宋体"/>
                <w:szCs w:val="21"/>
                <w:highlight w:val="none"/>
              </w:rPr>
              <w:t>〗</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否</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cs="宋体"/>
                <w:color w:val="000000"/>
                <w:szCs w:val="21"/>
                <w:highlight w:val="none"/>
              </w:rPr>
              <w:t>全国</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人民币</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〖40〗亿元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12</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18</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19</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10</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387</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〖H份额〗起点〖1〗元整，超过认购起点部分，应为〖1〗元的整数倍。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〖S份额〗起点〖1〗元整，超过认购起点部分，应为〖1〗元的整数倍。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〖U份额〗起点〖1〗元整，超过认购起点部分，应为〖1〗元的整数倍。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w:t>
            </w:r>
            <w:r>
              <w:rPr>
                <w:rFonts w:hint="eastAsia" w:ascii="宋体" w:hAnsi="宋体" w:cs="宋体"/>
                <w:szCs w:val="21"/>
                <w:highlight w:val="none"/>
              </w:rPr>
              <w:t>〖</w:t>
            </w:r>
            <w:r>
              <w:rPr>
                <w:rFonts w:hint="eastAsia" w:ascii="宋体" w:hAnsi="宋体" w:cs="宋体"/>
                <w:color w:val="000000"/>
                <w:szCs w:val="21"/>
                <w:highlight w:val="none"/>
              </w:rPr>
              <w:t>2</w:t>
            </w:r>
            <w:r>
              <w:rPr>
                <w:rFonts w:hint="eastAsia" w:ascii="宋体" w:hAnsi="宋体" w:cs="宋体"/>
                <w:szCs w:val="21"/>
                <w:highlight w:val="none"/>
              </w:rPr>
              <w:t>〗</w:t>
            </w:r>
            <w:r>
              <w:rPr>
                <w:rFonts w:hint="eastAsia" w:ascii="宋体" w:hAnsi="宋体" w:cs="宋体"/>
                <w:color w:val="000000"/>
                <w:szCs w:val="21"/>
                <w:highlight w:val="none"/>
              </w:rPr>
              <w:t>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w:t>
            </w:r>
            <w:r>
              <w:rPr>
                <w:rFonts w:hint="eastAsia" w:ascii="宋体" w:hAnsi="宋体" w:cs="宋体"/>
                <w:szCs w:val="21"/>
                <w:highlight w:val="none"/>
              </w:rPr>
              <w:t>〖</w:t>
            </w:r>
            <w:r>
              <w:rPr>
                <w:rFonts w:hint="eastAsia" w:ascii="宋体" w:hAnsi="宋体" w:cs="宋体"/>
                <w:color w:val="000000"/>
                <w:szCs w:val="21"/>
                <w:highlight w:val="none"/>
              </w:rPr>
              <w:t>保留小数点后四位</w:t>
            </w:r>
            <w:r>
              <w:rPr>
                <w:rFonts w:hint="eastAsia" w:ascii="宋体" w:hAnsi="宋体" w:cs="宋体"/>
                <w:szCs w:val="21"/>
                <w:highlight w:val="none"/>
              </w:rPr>
              <w:t>〗</w:t>
            </w:r>
            <w:r>
              <w:rPr>
                <w:rFonts w:hint="eastAsia" w:ascii="宋体" w:hAnsi="宋体" w:cs="宋体"/>
                <w:color w:val="000000"/>
                <w:szCs w:val="21"/>
                <w:highlight w:val="none"/>
                <w:lang w:val="en-US" w:eastAsia="zh-CN"/>
              </w:rPr>
              <w:t>,</w:t>
            </w:r>
            <w:r>
              <w:rPr>
                <w:rFonts w:hint="eastAsia" w:ascii="宋体" w:hAnsi="宋体" w:cs="宋体"/>
                <w:szCs w:val="21"/>
                <w:highlight w:val="none"/>
              </w:rPr>
              <w:t>〖</w:t>
            </w:r>
            <w:r>
              <w:rPr>
                <w:rFonts w:hint="eastAsia" w:ascii="宋体" w:hAnsi="宋体" w:cs="宋体"/>
                <w:kern w:val="2"/>
                <w:sz w:val="21"/>
                <w:szCs w:val="21"/>
                <w:highlight w:val="none"/>
                <w:lang w:val="en-US" w:eastAsia="zh" w:bidi="ar-SA"/>
              </w:rPr>
              <w:t>四舍五入</w:t>
            </w:r>
            <w:r>
              <w:rPr>
                <w:rFonts w:hint="eastAsia" w:ascii="宋体" w:hAnsi="宋体" w:cs="宋体"/>
                <w:szCs w:val="21"/>
                <w:highlight w:val="none"/>
              </w:rPr>
              <w:t>〗</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kern w:val="2"/>
                <w:sz w:val="21"/>
                <w:szCs w:val="21"/>
                <w:lang w:val="en-US" w:eastAsia="zh-CN" w:bidi="ar"/>
              </w:rPr>
              <w:t>〖1〗</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cs="宋体"/>
                <w:color w:val="000000"/>
                <w:szCs w:val="21"/>
                <w:highlight w:val="none"/>
              </w:rPr>
              <w:t>，最晚</w:t>
            </w:r>
            <w:r>
              <w:rPr>
                <w:rFonts w:hint="eastAsia" w:ascii="宋体" w:hAnsi="宋体" w:eastAsia="宋体" w:cs="宋体"/>
                <w:kern w:val="2"/>
                <w:sz w:val="21"/>
                <w:szCs w:val="21"/>
                <w:lang w:val="en-US" w:eastAsia="zh-CN" w:bidi="ar"/>
              </w:rPr>
              <w:t>〖3〗</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eastAsia="宋体" w:cs="宋体"/>
                <w:color w:val="000000"/>
                <w:kern w:val="2"/>
                <w:sz w:val="21"/>
                <w:szCs w:val="21"/>
                <w:lang w:val="en-US" w:eastAsia="zh-CN" w:bidi="ar"/>
              </w:rPr>
              <w:t>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szCs w:val="21"/>
                <w:highlight w:val="none"/>
              </w:rPr>
              <w:t>〖</w:t>
            </w:r>
            <w:r>
              <w:rPr>
                <w:rFonts w:hint="eastAsia" w:ascii="宋体" w:hAnsi="宋体" w:cs="宋体"/>
                <w:color w:val="000000"/>
                <w:szCs w:val="21"/>
                <w:highlight w:val="none"/>
                <w:lang w:eastAsia="zh"/>
              </w:rPr>
              <w:t>不</w:t>
            </w:r>
            <w:r>
              <w:rPr>
                <w:rFonts w:hint="eastAsia" w:ascii="宋体" w:hAnsi="宋体" w:cs="宋体"/>
                <w:color w:val="000000"/>
                <w:szCs w:val="21"/>
                <w:highlight w:val="none"/>
              </w:rPr>
              <w:t>定期</w:t>
            </w:r>
            <w:r>
              <w:rPr>
                <w:rFonts w:hint="eastAsia" w:ascii="宋体" w:hAnsi="宋体" w:cs="宋体"/>
                <w:szCs w:val="21"/>
                <w:highlight w:val="none"/>
              </w:rPr>
              <w:t>〗</w:t>
            </w:r>
            <w:r>
              <w:rPr>
                <w:rFonts w:hint="eastAsia" w:ascii="宋体" w:hAnsi="宋体" w:cs="宋体"/>
                <w:color w:val="000000"/>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本理财计划〖A份额〗业绩比较基准为〖2.40%-2.60%〗（年化）。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本理财计划〖B份额〗业绩比较基准为〖2.50%-2.70%〗（年化）。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本理财计划〖C份额〗业绩比较基准为〖2.60%-2.80%〗（年化）。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本理财计划〖D份额〗业绩比较基准为〖2.55%-2.75%〗（年化）。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本理财计划〖E份额〗业绩比较基准为〖2.25%-2.45%〗（年化）。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本理财计划〖G份额〗业绩比较基准为〖2.70%-2.90%〗（年化）。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本理财计划〖H份额〗业绩比较基准为〖2.50%-2.70%〗（年化）。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本理财计划〖I份额〗业绩比较基准为〖2.40%-2.60%〗（年化）。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本理财计划〖J份额〗业绩比较基准为〖2.65%-2.85%〗（年化）。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本理财计划〖K份额〗业绩比较基准为〖2.40%-2.60%〗（年化）。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本理财计划〖M份额〗业绩比较基准为〖2.55%-2.75%〗（年化）。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本理财计划〖N份额〗业绩比较基准为〖2.50%-2.70%〗（年化）。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本理财计划〖O份额〗业绩比较基准为〖2.50%-2.70%〗（年化）。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本理财计划〖P份额〗业绩比较基准为〖2.55%-2.75%〗（年化）。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本理财计划〖Q份额〗业绩比较基准为〖2.45%-2.65%〗（年化）。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本理财计划〖R份额〗业绩比较基准为〖2.45%-2.65%〗（年化）。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本理财计划〖S份额〗业绩比较基准为〖2.60%-2.80%〗（年化）。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本理财计划〖T份额〗业绩比较基准为〖2.56%-2.76%〗（年化）。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本理财计划〖U份额〗业绩比较基准为〖2.60%-2.80%〗（年化）。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本理财计划〖V份额〗业绩比较基准为〖2.55%-2.75%〗（年化）。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本理财计划〖W份额〗业绩比较基准为〖2.40%-2.60%〗（年化）。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本理财计划〖X份额〗业绩比较基准为〖2.65%-2.85%〗（年化）。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本理财计划〖Y份额〗业绩比较基准为〖2.50%-2.70%〗（年化）。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本理财计划〖ZA份额〗业绩比较基准为〖2.55%-2.75%〗（年化）。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本理财计划〖ZB份额〗业绩比较基准为〖2.65%-2.85%〗（年化）。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本理财计划〖ZC份额〗业绩比较基准为〖2.55%-2.75%〗（年化）。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本理财计划〖ZD份额〗业绩比较基准为〖2.70%-2.90%〗（年化）。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Cs w:val="21"/>
                <w:highlight w:val="none"/>
              </w:rPr>
            </w:pPr>
            <w:r>
              <w:rPr>
                <w:rFonts w:hint="eastAsia" w:ascii="宋体" w:hAnsi="宋体" w:cs="宋体"/>
                <w:b/>
                <w:bCs/>
                <w:color w:val="000000"/>
                <w:szCs w:val="21"/>
                <w:highlight w:val="none"/>
              </w:rPr>
              <w:t>业绩基准测算依据</w:t>
            </w:r>
            <w:bookmarkStart w:id="0" w:name="_GoBack"/>
            <w:bookmarkEnd w:id="0"/>
            <w:r>
              <w:rPr>
                <w:rFonts w:hint="eastAsia" w:ascii="宋体" w:hAnsi="宋体" w:cs="宋体"/>
                <w:b/>
                <w:bCs/>
                <w:color w:val="000000"/>
                <w:szCs w:val="21"/>
                <w:highlight w:val="none"/>
              </w:rPr>
              <w:t>：</w:t>
            </w:r>
            <w:r>
              <w:rPr>
                <w:rFonts w:hint="eastAsia" w:ascii="宋体" w:hAnsi="宋体" w:eastAsia="宋体" w:cs="宋体"/>
                <w:b/>
                <w:bCs/>
                <w:color w:val="000000"/>
                <w:kern w:val="2"/>
                <w:sz w:val="21"/>
                <w:szCs w:val="21"/>
                <w:lang w:val="en-US" w:eastAsia="zh-CN" w:bidi="ar"/>
              </w:rPr>
              <w:t>本理财计划重</w:t>
            </w:r>
            <w:r>
              <w:rPr>
                <w:rFonts w:hint="eastAsia" w:ascii="宋体" w:hAnsi="宋体" w:eastAsia="宋体" w:cs="宋体"/>
                <w:b/>
                <w:bCs/>
                <w:kern w:val="2"/>
                <w:sz w:val="21"/>
                <w:szCs w:val="21"/>
                <w:lang w:val="en-US" w:eastAsia="zh-CN" w:bidi="ar"/>
              </w:rPr>
              <w:t>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jc w:val="left"/>
              <w:rPr>
                <w:rFonts w:hint="eastAsia" w:ascii="宋体" w:hAnsi="宋体" w:cs="宋体"/>
                <w:b/>
                <w:szCs w:val="21"/>
                <w:highlight w:val="none"/>
              </w:rPr>
            </w:pPr>
            <w:r>
              <w:rPr>
                <w:rFonts w:hint="eastAsia" w:ascii="宋体" w:hAnsi="宋体" w:cs="宋体"/>
                <w:szCs w:val="21"/>
                <w:highlight w:val="none"/>
              </w:rPr>
              <w:t>管理人有权根据市场情况及</w:t>
            </w:r>
            <w:r>
              <w:rPr>
                <w:rFonts w:hint="eastAsia" w:ascii="宋体" w:hAnsi="宋体" w:cs="宋体"/>
                <w:szCs w:val="21"/>
                <w:highlight w:val="none"/>
                <w:lang w:eastAsia="zh-CN"/>
              </w:rPr>
              <w:t>理财计划</w:t>
            </w:r>
            <w:r>
              <w:rPr>
                <w:rFonts w:hint="eastAsia" w:ascii="宋体" w:hAnsi="宋体" w:cs="宋体"/>
                <w:szCs w:val="21"/>
                <w:highlight w:val="none"/>
              </w:rPr>
              <w:t>运作情况调整业绩基准，并至少于新业绩基准启用前</w:t>
            </w:r>
            <w:r>
              <w:rPr>
                <w:rFonts w:hint="eastAsia" w:ascii="宋体" w:hAnsi="宋体" w:cs="宋体"/>
                <w:kern w:val="0"/>
                <w:highlight w:val="none"/>
              </w:rPr>
              <w:t>〖</w:t>
            </w:r>
            <w:r>
              <w:rPr>
                <w:rFonts w:hint="eastAsia" w:ascii="宋体" w:hAnsi="宋体" w:cs="宋体"/>
                <w:color w:val="000000"/>
                <w:kern w:val="0"/>
                <w:highlight w:val="none"/>
                <w:lang w:val="en-US" w:eastAsia="zh-CN"/>
              </w:rPr>
              <w:t>2</w:t>
            </w:r>
            <w:r>
              <w:rPr>
                <w:rFonts w:hint="eastAsia" w:ascii="宋体" w:hAnsi="宋体" w:cs="宋体"/>
                <w:kern w:val="0"/>
                <w:highlight w:val="none"/>
              </w:rPr>
              <w:t>〗</w:t>
            </w:r>
            <w:r>
              <w:rPr>
                <w:rFonts w:hint="eastAsia" w:ascii="宋体" w:hAnsi="宋体" w:cs="宋体"/>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szCs w:val="21"/>
                <w:highlight w:val="none"/>
              </w:rPr>
              <w:t>本理财计划为净值型理财产品，其业绩表现将随市场波动具有不确定性。本公司提醒投资者关注，业绩比较基准</w:t>
            </w:r>
            <w:r>
              <w:rPr>
                <w:rFonts w:hint="eastAsia" w:ascii="宋体" w:hAnsi="宋体" w:cs="宋体"/>
                <w:b/>
                <w:szCs w:val="21"/>
                <w:highlight w:val="none"/>
                <w:lang w:eastAsia="zh-CN"/>
              </w:rPr>
              <w:t>不是预期收益率，</w:t>
            </w:r>
            <w:r>
              <w:rPr>
                <w:rFonts w:hint="eastAsia" w:ascii="宋体" w:hAnsi="宋体" w:cs="宋体"/>
                <w:b/>
                <w:szCs w:val="21"/>
                <w:highlight w:val="none"/>
              </w:rPr>
              <w:t>并不代表</w:t>
            </w:r>
            <w:r>
              <w:rPr>
                <w:rFonts w:hint="eastAsia" w:ascii="宋体" w:hAnsi="宋体" w:cs="宋体"/>
                <w:b/>
                <w:szCs w:val="21"/>
                <w:highlight w:val="none"/>
                <w:lang w:eastAsia="zh-CN"/>
              </w:rPr>
              <w:t>理财计划的未来表现和</w:t>
            </w:r>
            <w:r>
              <w:rPr>
                <w:rFonts w:hint="eastAsia" w:ascii="宋体" w:hAnsi="宋体" w:cs="宋体"/>
                <w:b/>
                <w:szCs w:val="21"/>
                <w:highlight w:val="none"/>
              </w:rPr>
              <w:t>实际收益率</w:t>
            </w:r>
            <w:r>
              <w:rPr>
                <w:rFonts w:hint="eastAsia" w:ascii="宋体" w:hAnsi="宋体" w:cs="宋体"/>
                <w:b/>
                <w:szCs w:val="21"/>
                <w:highlight w:val="none"/>
                <w:lang w:eastAsia="zh-CN"/>
              </w:rPr>
              <w:t>，不构成对理财计划收益的承诺</w:t>
            </w:r>
            <w:r>
              <w:rPr>
                <w:rFonts w:hint="eastAsia" w:ascii="宋体" w:hAnsi="宋体" w:cs="宋体"/>
                <w:b/>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〖G份额〗收取年化〖0.01%〗的销售服务费, 〖H份额〗收取年化〖0.20%〗的销售服务费, 〖I份额〗收取年化〖0.30%〗的销售服务费, 〖J份额〗收取年化〖0.05%〗的销售服务费, 〖K份额〗收取年化〖0.30%〗的销售服务费, 〖M份额〗收取年化〖0.15%〗的销售服务费, 〖N份额〗收取年化〖0.20%〗的销售服务费, 〖O份额〗收取年化〖0.20%〗的销售服务费, 〖P份额〗收取年化〖0.15%〗的销售服务费, 〖Q份额〗收取年化〖0.25%〗的销售服务费, 〖R份额〗收取年化〖0.25%〗的销售服务费, 〖S份额〗收取年化〖0.10%〗的销售服务费, 〖T份额〗收取年化〖0.15%〗的销售服务费, 〖U份额〗收取年化〖0.15%〗的销售服务费,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 〖ZB份额〗收取年化〖0.05%〗的销售服务费, 〖ZC份额〗收取年化〖0.15%〗的销售服务费, 〖ZD份额〗收取年化〖0.01%〗的销售服务费。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0.025</w:t>
            </w:r>
            <w:r>
              <w:rPr>
                <w:rFonts w:hint="eastAsia" w:ascii="宋体" w:hAnsi="宋体" w:cs="宋体"/>
                <w:szCs w:val="21"/>
                <w:highlight w:val="none"/>
                <w:lang w:eastAsia="zh"/>
              </w:rPr>
              <w:t>%</w:t>
            </w:r>
            <w:r>
              <w:rPr>
                <w:rFonts w:hint="eastAsia" w:ascii="宋体" w:hAnsi="宋体" w:cs="宋体"/>
                <w:szCs w:val="21"/>
                <w:highlight w:val="none"/>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〖G份额〗收取年化〖0.09%〗的固定管理费, 〖H份额〗收取年化〖0.10%〗的固定管理费,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〖S份额〗收取年化〖0.10%〗的固定管理费, 〖T份额〗收取年化〖0.09%〗的固定管理费, 〖U份额〗收取年化〖0.05%〗的固定管理费, 〖V份额〗收取年化〖0.10%〗的固定管理费, 〖W份额〗收取年化〖0.10%〗的固定管理费, 〖X份额〗收取年化〖0.10%〗的固定管理费, 〖Y份额〗收取年化〖0.10%〗的固定管理费, 〖Z份额〗收取年化〖0.10%〗的固定管理费, 〖ZA份额〗收取年化〖0.10%〗的固定管理费, 〖ZB份额〗收取年化〖0.10%〗的固定管理费, 〖ZC份额〗收取年化〖0.10%〗的固定管理费, 〖ZD份额〗收取年化〖0.09%〗的固定管理费。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auto"/>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kern w:val="2"/>
          <w:position w:val="0"/>
          <w:sz w:val="24"/>
          <w:szCs w:val="24"/>
          <w:highlight w:val="none"/>
        </w:rPr>
      </w:pPr>
      <w:r>
        <w:rPr>
          <w:rFonts w:hint="eastAsia" w:ascii="宋体" w:hAnsi="宋体" w:eastAsia="宋体" w:cs="宋体"/>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highlight w:val="none"/>
        </w:rPr>
      </w:pPr>
      <w:r>
        <w:rPr>
          <w:rFonts w:hint="eastAsia" w:ascii="宋体" w:hAnsi="宋体" w:eastAsia="宋体" w:cs="宋体"/>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sz w:val="24"/>
          <w:highlight w:val="none"/>
        </w:rPr>
      </w:pPr>
      <w:r>
        <w:rPr>
          <w:rFonts w:hint="eastAsia" w:ascii="宋体" w:hAnsi="宋体" w:eastAsia="宋体" w:cs="宋体"/>
          <w:b/>
          <w:sz w:val="24"/>
          <w:highlight w:val="none"/>
        </w:rPr>
        <w:t>投资比例</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本理财计划各投资资产占</w:t>
      </w:r>
      <w:r>
        <w:rPr>
          <w:rFonts w:hint="eastAsia" w:ascii="宋体" w:hAnsi="宋体" w:eastAsia="宋体" w:cs="宋体"/>
          <w:bCs/>
          <w:sz w:val="24"/>
          <w:highlight w:val="none"/>
          <w:lang w:eastAsia="zh-CN"/>
        </w:rPr>
        <w:t>总</w:t>
      </w:r>
      <w:r>
        <w:rPr>
          <w:rFonts w:hint="eastAsia" w:ascii="宋体" w:hAnsi="宋体" w:eastAsia="宋体" w:cs="宋体"/>
          <w:bCs/>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sz w:val="24"/>
          <w:szCs w:val="24"/>
          <w:highlight w:val="none"/>
        </w:rPr>
      </w:pPr>
      <w:r>
        <w:rPr>
          <w:rFonts w:hint="eastAsia" w:ascii="宋体" w:hAnsi="宋体" w:eastAsia="宋体" w:cs="宋体"/>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auto"/>
          <w:kern w:val="2"/>
          <w:highlight w:val="none"/>
        </w:rPr>
      </w:pPr>
      <w:r>
        <w:rPr>
          <w:rFonts w:hint="eastAsia" w:ascii="宋体" w:hAnsi="宋体" w:cs="宋体"/>
          <w:b/>
          <w:bCs w:val="0"/>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本理财计划的总资产不得超过净资产的200%。</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lang w:eastAsia="zh-CN"/>
        </w:rPr>
        <w:t>拟</w:t>
      </w:r>
      <w:r>
        <w:rPr>
          <w:rFonts w:hint="eastAsia" w:ascii="宋体" w:hAnsi="宋体" w:cs="宋体"/>
          <w:b/>
          <w:bCs w:val="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8"/>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Cs w:val="21"/>
                <w:highlight w:val="none"/>
              </w:rPr>
            </w:pPr>
            <w:r>
              <w:rPr>
                <w:rFonts w:hint="default" w:ascii="宋体" w:hAnsi="宋体" w:eastAsia="宋体" w:cs="宋体"/>
                <w:bCs/>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szCs w:val="21"/>
                <w:highlight w:val="none"/>
                <w:lang w:val="en-US" w:eastAsia="zh-CN"/>
              </w:rPr>
            </w:pPr>
            <w:r>
              <w:rPr>
                <w:rFonts w:hint="eastAsia" w:ascii="宋体" w:hAnsi="宋体" w:eastAsia="宋体" w:cs="宋体"/>
                <w:bCs/>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Cs w:val="21"/>
                <w:highlight w:val="none"/>
              </w:rPr>
            </w:pPr>
            <w:r>
              <w:rPr>
                <w:rFonts w:hint="eastAsia" w:ascii="宋体" w:hAnsi="宋体" w:eastAsia="宋体" w:cs="宋体"/>
                <w:bCs/>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销售机构信息</w:t>
            </w: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杭州银行股份有限公司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杭银理财有限责任公司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上海农村商业银行股份有限公司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上海市黄浦区中山东二路70号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021-962999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东营银行股份有限公司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山东省东营市东营区府前大街87-1号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0546-7666871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南平市建阳区农村信用合作联社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0599-5843205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南靖县农村信用合作联社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0596-7891578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厦门农村商业银行股份有限公司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40083-96336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古田县农村信用合作联社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0593-3883865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吉林银行股份有限公司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经济开发区东南湖大路1817号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0431-84999543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0598-7232686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宁化县农村信用合作联社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宁波东海银行股份有限公司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浙江省宁波市鄞州区和济街181号1幢4、5、6、7层,宁波市鄞州区民安东路292号,宁波市鄞州区鼎泰路355号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0574-81872233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寿宁县农村信用合作联社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0593-5522885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尤溪县农村信用合作联社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廊坊银行股份有限公司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河北省廊坊市广阳区爱民东道83号新世界中心办公楼大厦C区17号楼5-14层、22层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0316-2204286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张家口银行股份有限公司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张家口市桥东区胜利北路51号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4006896368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德化县农村信用合作联社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0595-3522343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德州银行股份有限公司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德州市三八东路1266号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0534-2291695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惠安县农村信用合作联社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新韩银行（中国）有限公司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无锡农村商业银行股份有限公司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昆仑银行股份有限公司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明溪县农村信用合作联社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松溪县农村信用合作联社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永春县农村信用合作联社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0595-3860053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永泰县农村信用合作联社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汉口银行股份有限公司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湖北省武汉市江汉区建设大道933号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江苏丹阳农村商业银行股份有限公司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江苏南通农村商业银行股份有限公司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南通市崇川区工农南路89号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江苏启东农村商业银行股份有限公司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江苏如皋农村商业银行股份有限公司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江苏常熟农村商业银行股份有限公司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江苏扬州农村商业银行股份有限公司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江苏昆山农村商业银行股份有限公司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江苏江南农村商业银行股份有限公司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常州市武进区延政中路9号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0519-88806087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江苏江阴农村商业银行股份有限公司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江苏沛县农村商业银行股份有限公司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江苏省沛县汤沐路中段11号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江苏滨海农村商业银行股份有限公司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江苏紫金农村商业银行股份有限公司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南京市建邺区江东中路381号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025-88866792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江苏苏州农村商业银行股份有限公司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江苏镇江农村商业银行股份有限公司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江苏高邮农村商业银行股份有限公司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沧州银行股份有限公司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河北省沧州市运河区双金路2号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400-612-6699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泉州农村商业银行股份有限公司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泉州银行股份有限公司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浦城县农村信用合作联社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0599-2833967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湖北银行股份有限公司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珠海农村商业银行股份有限公司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96138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福建三明农村商业银行股份有限公司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福建上杭农村商业银行股份有限公司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0597-3886056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福建仙游农村商业银行股份有限公司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福建南安农村商业银行股份有限公司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0595-86395359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福建宁德农村商业银行股份有限公司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0593-2879738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福建安溪农村商业银行股份有限公司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86-595-23239771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福建平和农村商业银行股份有限公司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0596-5230635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福建建瓯农村商业银行股份有限公司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0599-3851972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福建晋江农村商业银行股份有限公司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0595-85661772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福建沙县农村商业银行股份有限公司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福建海峡银行股份有限公司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福建漳州农村商业银行股份有限公司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0596-2679870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福建漳浦农村商业银行股份有限公司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福建石狮农村商业银行股份有限公司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0595-88583931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福建福州农村商业银行股份有限公司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福建莆田农村商业银行股份有限公司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0594-2096336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福建连江农村商业银行股份有限公司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0591-26232339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福建邵武农村商业银行股份有限公司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05996210679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福建长乐农村商业银行股份有限公司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福建龙岩农村商业银行股份有限公司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福建龙海农村商业银行股份有限公司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0596-6521280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福鼎市农村信用合作联社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0593-7826603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秦皇岛银行股份有限公司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河北省秦皇岛市海港区河北大街西段560号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0335-5911161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罗源县农村信用合作联社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苏州银行股份有限公司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连城县农村信用合作联社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0597-8923750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闽侯县农村信用合作联社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闽清县农村信用合作联社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0591-22332666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青岛银行股份有限公司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山东省青岛市崂山区秦岭路6号3号楼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0532-53296588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青海大通农村商业银行股份有限公司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青海省西宁市大通回族土族自治县桥头镇人民路112号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青海西宁农村商业银行股份有限公司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青海省西宁市城西区海晏路81号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青海省西宁市城西区西关大街130号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96399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顺昌县农村信用合作联社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0599781379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龙岩市永定区农村信用合作联社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0597-5838458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keepNext w:val="0"/>
              <w:keepLines w:val="0"/>
              <w:suppressLineNumbers w:val="0"/>
              <w:spacing w:before="0" w:beforeAutospacing="0" w:after="0" w:afterAutospacing="0"/>
              <w:ind w:left="0" w:right="0"/>
              <w:jc w:val="center"/>
              <w:rPr>
                <w:rFonts w:hint="default"/>
              </w:rPr>
            </w:pPr>
            <w:r>
              <w:rPr>
                <w:rFonts w:hint="default"/>
              </w:rPr>
              <w:t>销售机构职责</w:t>
            </w:r>
          </w:p>
        </w:tc>
        <w:tc>
          <w:tcPr>
            <w:tcW w:w="6600" w:type="dxa"/>
            <w:gridSpan w:val="3"/>
            <w:vAlign w:val="center"/>
          </w:tcPr>
          <w:p>
            <w:pPr>
              <w:keepNext w:val="0"/>
              <w:keepLines w:val="0"/>
              <w:suppressLineNumbers w:val="0"/>
              <w:spacing w:before="0" w:beforeAutospacing="0" w:after="0" w:afterAutospacing="0"/>
              <w:ind w:left="0" w:right="0"/>
              <w:jc w:val="left"/>
              <w:rPr>
                <w:rFonts w:hint="default"/>
              </w:rPr>
            </w:pPr>
            <w:r>
              <w:rPr>
                <w:rFonts w:hint="default"/>
              </w:rP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3）</w:t>
      </w:r>
      <w:r>
        <w:rPr>
          <w:rFonts w:hint="eastAsia" w:ascii="宋体" w:hAnsi="宋体"/>
          <w:sz w:val="24"/>
          <w:highlight w:val="none"/>
        </w:rPr>
        <w:t>首次发行未上市的股票，按发行价格进行估值；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4）</w:t>
      </w:r>
      <w:r>
        <w:rPr>
          <w:rFonts w:hint="eastAsia" w:ascii="宋体" w:hAnsi="宋体"/>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费用及税收</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H份额〗、〖I份额〗、〖J份额〗、〖K份额〗、〖M份额〗、〖O份额〗、〖P份额〗、〖Q份额〗、〖S份额〗、〖U份额〗、〖V份额〗、〖X份额〗、〖ZB份额〗和销售服务费于产品成立日一次性收取的〖N份额〗、〖R份额〗、〖T份额〗、〖W份额〗、〖Y份额〗、〖Z份额〗、〖ZA份额〗、〖ZC份额〗、〖ZD份额〗。A份额的年化销售服务费率为〖0.30%〗, B份额的年化销售服务费率为〖0.20%〗, C份额的年化销售服务费率为〖0.10%〗, D份额的年化销售服务费率为〖0.15%〗, E份额的年化销售服务费率为〖0.40%〗, G份额的年化销售服务费率为〖0.01%〗, H份额的年化销售服务费率为〖0.20%〗, I份额的年化销售服务费率为〖0.30%〗, J份额的年化销售服务费率为〖0.05%〗, K份额的年化销售服务费率为〖0.30%〗, M份额的年化销售服务费率为〖0.15%〗, N份额的年化销售服务费率为〖0.20%〗, O份额的年化销售服务费率为〖0.20%〗, P份额的年化销售服务费率为〖0.15%〗, Q份额的年化销售服务费率为〖0.25%〗, R份额的年化销售服务费率为〖0.25%〗, S份额的年化销售服务费率为〖0.10%〗, T份额的年化销售服务费率为〖0.15%〗, U份额的年化销售服务费率为〖0.15%〗,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 ZB份额的年化销售服务费率为〖0.05%〗, ZC份额的年化销售服务费率为〖0.15%〗, ZD份额的年化销售服务费率为〖0.01%〗。两种计算方法如下：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color w:val="000000"/>
          <w:sz w:val="24"/>
          <w:szCs w:val="24"/>
          <w:highlight w:val="none"/>
          <w:lang w:eastAsia="zh"/>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G份额的年化固定管理费率为〖0.09%〗, H份额的年化固定管理费率为〖0.10%〗,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S份额的年化固定管理费率为〖0.10%〗, T份额的年化固定管理费率为〖0.09%〗, U份额的年化固定管理费率为〖0.05%〗, V份额的年化固定管理费率为〖0.10%〗, W份额的年化固定管理费率为〖0.10%〗, X份额的年化固定管理费率为〖0.10%〗, Y份额的年化固定管理费率为〖0.10%〗, Z份额的年化固定管理费率为〖0.10%〗, ZA份额的年化固定管理费率为〖0.10%〗, ZB份额的年化固定管理费率为〖0.10%〗, ZC份额的年化固定管理费率为〖0.10%〗, ZD份额的年化固定管理费率为〖0.09%〗,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0.10</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FF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
        </w:rPr>
        <w:t>。</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jc w:val="left"/>
        <w:rPr>
          <w:rFonts w:ascii="宋体" w:hAnsi="宋体" w:cs="宋体"/>
          <w:bCs/>
          <w:sz w:val="24"/>
          <w:highlight w:val="none"/>
        </w:rPr>
      </w:pPr>
      <w:r>
        <w:rPr>
          <w:rFonts w:hint="eastAsia" w:ascii="宋体" w:hAnsi="宋体" w:cs="宋体"/>
          <w:bCs/>
          <w:sz w:val="24"/>
          <w:highlight w:val="none"/>
        </w:rPr>
        <w:t xml:space="preserve">    </w:t>
      </w: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3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税收说明</w:t>
      </w:r>
    </w:p>
    <w:p>
      <w:pPr>
        <w:numPr>
          <w:ilvl w:val="0"/>
          <w:numId w:val="38"/>
        </w:numPr>
        <w:spacing w:line="360" w:lineRule="auto"/>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收益计算</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交易规则</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申购及赎回</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kern w:val="2"/>
          <w:sz w:val="24"/>
          <w:szCs w:val="24"/>
          <w:lang w:val="en-US" w:eastAsia="zh-CN" w:bidi="ar"/>
        </w:rPr>
        <w:t>〖1〗个〖工作日〗</w:t>
      </w:r>
      <w:r>
        <w:rPr>
          <w:rFonts w:hint="eastAsia" w:ascii="宋体" w:hAnsi="宋体" w:cs="宋体"/>
          <w:bCs/>
          <w:sz w:val="24"/>
          <w:highlight w:val="none"/>
        </w:rPr>
        <w:t>、最晚</w:t>
      </w:r>
      <w:r>
        <w:rPr>
          <w:rFonts w:hint="eastAsia" w:ascii="宋体" w:hAnsi="宋体" w:eastAsia="宋体" w:cs="宋体"/>
          <w:kern w:val="2"/>
          <w:sz w:val="24"/>
          <w:szCs w:val="24"/>
          <w:lang w:val="en-US" w:eastAsia="zh-CN" w:bidi="ar"/>
        </w:rPr>
        <w:t>〖3〗个〖工作日〗</w:t>
      </w:r>
      <w:r>
        <w:rPr>
          <w:rFonts w:hint="eastAsia" w:ascii="宋体" w:hAnsi="宋体" w:cs="宋体"/>
          <w:bCs/>
          <w:sz w:val="24"/>
          <w:highlight w:val="none"/>
        </w:rPr>
        <w:t>内（遇节假日顺延）将资金按规定的要求划入投资者授权指定的理财账户。（具体以销售机构规定为准）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bCs/>
          <w:color w:val="000000"/>
          <w:sz w:val="24"/>
          <w:highlight w:val="none"/>
        </w:rPr>
        <w:t>2〗</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〗通过管理人或销售机构发布提前终止公告，并于终止日后</w:t>
      </w:r>
      <w:r>
        <w:rPr>
          <w:rFonts w:hint="eastAsia" w:ascii="宋体" w:hAnsi="宋体" w:cs="宋体"/>
          <w:sz w:val="24"/>
          <w:szCs w:val="24"/>
          <w:highlight w:val="none"/>
        </w:rPr>
        <w:t>〖</w:t>
      </w:r>
      <w:r>
        <w:rPr>
          <w:rFonts w:hint="eastAsia" w:ascii="宋体" w:hAnsi="宋体" w:cs="宋体"/>
          <w:kern w:val="2"/>
          <w:sz w:val="24"/>
          <w:szCs w:val="24"/>
          <w:highlight w:val="none"/>
          <w:lang w:val="en-US" w:eastAsia="zh" w:bidi="ar-SA"/>
        </w:rPr>
        <w:t>3</w:t>
      </w:r>
      <w:r>
        <w:rPr>
          <w:rFonts w:hint="eastAsia" w:ascii="宋体" w:hAnsi="宋体" w:cs="宋体"/>
          <w:bCs/>
          <w:color w:val="000000"/>
          <w:sz w:val="24"/>
          <w:highlight w:val="none"/>
        </w:rPr>
        <w:t>〗</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信息披露</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其他</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w:t>
      </w:r>
      <w:r>
        <w:rPr>
          <w:rFonts w:hint="eastAsia" w:ascii="宋体" w:hAnsi="宋体" w:cs="宋体"/>
          <w:kern w:val="0"/>
          <w:sz w:val="24"/>
          <w:highlight w:val="none"/>
          <w:lang w:val="en-US" w:eastAsia="zh-CN"/>
        </w:rPr>
        <w:t>代理销售</w:t>
      </w:r>
      <w:r>
        <w:rPr>
          <w:rFonts w:hint="eastAsia" w:ascii="宋体" w:hAnsi="宋体" w:cs="宋体"/>
          <w:kern w:val="0"/>
          <w:sz w:val="24"/>
          <w:highlight w:val="none"/>
          <w:lang w:eastAsia="zh-CN"/>
        </w:rPr>
        <w:t>）销售协议书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r>
        <w:rPr>
          <w:rFonts w:hint="eastAsia" w:ascii="宋体" w:hAnsi="宋体" w:cs="宋体"/>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pStyle w:val="17"/>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numPr>
          <w:ilvl w:val="0"/>
          <w:numId w:val="55"/>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投资者如认为理财</w:t>
      </w:r>
      <w:r>
        <w:rPr>
          <w:rFonts w:hint="eastAsia" w:ascii="宋体" w:hAnsi="宋体" w:cs="宋体"/>
          <w:kern w:val="0"/>
          <w:sz w:val="24"/>
          <w:highlight w:val="none"/>
          <w:lang w:val="en-US" w:eastAsia="zh-CN"/>
        </w:rPr>
        <w:t>计划</w:t>
      </w:r>
      <w:r>
        <w:rPr>
          <w:rFonts w:hint="eastAsia" w:ascii="宋体" w:hAnsi="宋体" w:cs="宋体"/>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kern w:val="0"/>
          <w:sz w:val="24"/>
          <w:highlight w:val="none"/>
          <w:lang w:val="en-US" w:eastAsia="zh-CN"/>
        </w:rPr>
        <w:t>或管理人</w:t>
      </w:r>
      <w:r>
        <w:rPr>
          <w:rFonts w:hint="eastAsia" w:ascii="宋体" w:hAnsi="宋体" w:cs="宋体"/>
          <w:kern w:val="0"/>
          <w:sz w:val="24"/>
          <w:highlight w:val="none"/>
        </w:rPr>
        <w:t>热线或客服电话进行反馈</w:t>
      </w:r>
      <w:r>
        <w:rPr>
          <w:rFonts w:hint="eastAsia" w:ascii="宋体" w:hAnsi="宋体" w:cs="宋体"/>
          <w:kern w:val="0"/>
          <w:sz w:val="24"/>
          <w:highlight w:val="none"/>
          <w:lang w:eastAsia="zh-CN"/>
        </w:rPr>
        <w:t>，</w:t>
      </w:r>
      <w:r>
        <w:rPr>
          <w:rFonts w:hint="eastAsia" w:ascii="宋体" w:hAnsi="宋体" w:cs="宋体"/>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1"/>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1"/>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sz w:val="44"/>
          <w:szCs w:val="44"/>
          <w:highlight w:val="none"/>
        </w:rPr>
      </w:pP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61"/>
        </w:numPr>
        <w:spacing w:line="360" w:lineRule="auto"/>
        <w:ind w:firstLine="482" w:firstLineChars="200"/>
        <w:outlineLvl w:val="9"/>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投资者权利与义务</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管理人权利与义务</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理财计划认（申）购、赎回及终止</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违约责任及免责条款</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val="en-US" w:eastAsia="zh-CN"/>
        </w:rPr>
        <w:t>被告人</w:t>
      </w:r>
      <w:r>
        <w:rPr>
          <w:rFonts w:hint="eastAsia" w:ascii="宋体" w:hAnsi="宋体"/>
          <w:sz w:val="24"/>
          <w:highlight w:val="none"/>
        </w:rPr>
        <w:t>所在地人民法院司法裁决。诉讼期间，未涉及争议的条款仍需继续履行。</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协议生效和终止</w:t>
      </w:r>
    </w:p>
    <w:p>
      <w:pPr>
        <w:widowControl/>
        <w:numPr>
          <w:ilvl w:val="0"/>
          <w:numId w:val="66"/>
        </w:numPr>
        <w:spacing w:line="360" w:lineRule="auto"/>
        <w:contextualSpacing/>
        <w:outlineLvl w:val="9"/>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本协议书以纸质书面形式订立的，自投资者</w:t>
      </w:r>
      <w:r>
        <w:rPr>
          <w:rFonts w:hint="eastAsia" w:ascii="宋体" w:hAnsi="宋体"/>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sz w:val="24"/>
          <w:highlight w:val="none"/>
        </w:rPr>
        <w:t>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附则</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sz w:val="24"/>
          <w:highlight w:val="none"/>
        </w:rPr>
        <w:t>本页为纸质形式（如有）</w:t>
      </w:r>
      <w:r>
        <w:rPr>
          <w:rFonts w:hint="eastAsia" w:ascii="宋体" w:hAnsi="宋体"/>
          <w:sz w:val="24"/>
          <w:highlight w:val="none"/>
          <w:lang w:val="en-US" w:eastAsia="zh-CN"/>
        </w:rPr>
        <w:t>投资</w:t>
      </w:r>
      <w:r>
        <w:rPr>
          <w:rFonts w:hint="eastAsia" w:ascii="宋体" w:hAnsi="宋体"/>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sz w:val="24"/>
          <w:highlight w:val="none"/>
        </w:rPr>
        <w:t>投资者（签字</w:t>
      </w:r>
      <w:r>
        <w:rPr>
          <w:rFonts w:hint="eastAsia" w:ascii="宋体" w:hAnsi="宋体" w:eastAsia="宋体" w:cs="黑体"/>
          <w:b/>
          <w:bCs/>
          <w:sz w:val="24"/>
          <w:highlight w:val="none"/>
          <w:lang w:eastAsia="zh-CN"/>
        </w:rPr>
        <w:t>或签章</w:t>
      </w:r>
      <w:r>
        <w:rPr>
          <w:rFonts w:hint="eastAsia" w:ascii="宋体" w:hAnsi="宋体"/>
          <w:b/>
          <w:bCs/>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sz w:val="24"/>
          <w:highlight w:val="none"/>
        </w:rPr>
        <w:t xml:space="preserve">   年   月   日</w:t>
      </w:r>
    </w:p>
    <w:p>
      <w:pPr>
        <w:pageBreakBefore/>
        <w:widowControl/>
        <w:spacing w:line="120" w:lineRule="auto"/>
        <w:jc w:val="center"/>
        <w:outlineLvl w:val="9"/>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202502</w:t>
      </w:r>
      <w:r>
        <w:rPr>
          <w:rFonts w:hint="eastAsia" w:ascii="宋体" w:hAnsi="宋体" w:eastAsia="宋体" w:cs="宋体"/>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（202502</w:t>
      </w:r>
      <w:r>
        <w:rPr>
          <w:rFonts w:hint="eastAsia" w:ascii="Calibri" w:hAnsi="Calibri" w:eastAsia="宋体" w:cs="黑体"/>
          <w:b/>
          <w:bCs/>
          <w:sz w:val="24"/>
          <w:highlight w:val="none"/>
          <w:lang w:val="en-US" w:eastAsia="zh-CN"/>
        </w:rPr>
        <w:t>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被告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本协议书</w:t>
      </w:r>
      <w:r>
        <w:rPr>
          <w:rFonts w:hint="eastAsia" w:ascii="宋体" w:hAnsi="宋体"/>
          <w:sz w:val="24"/>
          <w:highlight w:val="none"/>
        </w:rPr>
        <w:t>以纸质书面形式订立的，自投资者签</w:t>
      </w:r>
      <w:r>
        <w:rPr>
          <w:rFonts w:hint="eastAsia" w:ascii="宋体" w:hAnsi="宋体"/>
          <w:sz w:val="24"/>
          <w:highlight w:val="none"/>
          <w:lang w:val="en-US" w:eastAsia="zh-CN"/>
        </w:rPr>
        <w:t>署（如投资者为个人，应签字；如投资者为机构，应法定代表人或授权代理人签字或盖章并加盖公章或有效授权印章）</w:t>
      </w:r>
      <w:r>
        <w:rPr>
          <w:rFonts w:hint="eastAsia" w:ascii="宋体" w:hAnsi="宋体"/>
          <w:sz w:val="24"/>
          <w:highlight w:val="none"/>
        </w:rPr>
        <w:t>和</w:t>
      </w:r>
      <w:r>
        <w:rPr>
          <w:rFonts w:hint="eastAsia" w:ascii="宋体" w:hAnsi="宋体"/>
          <w:sz w:val="24"/>
          <w:highlight w:val="none"/>
          <w:lang w:eastAsia="zh-CN"/>
        </w:rPr>
        <w:t>销售机构</w:t>
      </w:r>
      <w:r>
        <w:rPr>
          <w:rFonts w:hint="eastAsia" w:ascii="宋体" w:hAnsi="宋体"/>
          <w:sz w:val="24"/>
          <w:highlight w:val="none"/>
        </w:rPr>
        <w:t>签章之后立即生效。协议一式叁份，投资者、管理人和</w:t>
      </w:r>
      <w:r>
        <w:rPr>
          <w:rFonts w:hint="eastAsia" w:ascii="宋体" w:hAnsi="宋体"/>
          <w:sz w:val="24"/>
          <w:highlight w:val="none"/>
          <w:lang w:eastAsia="zh-CN"/>
        </w:rPr>
        <w:t>销售机构</w:t>
      </w:r>
      <w:r>
        <w:rPr>
          <w:rFonts w:hint="eastAsia" w:ascii="宋体" w:hAnsi="宋体"/>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60288"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1">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2">
    <w:nsid w:val="D8D75090"/>
    <w:multiLevelType w:val="singleLevel"/>
    <w:tmpl w:val="D8D75090"/>
    <w:lvl w:ilvl="0" w:tentative="0">
      <w:start w:val="1"/>
      <w:numFmt w:val="decimal"/>
      <w:suff w:val="nothing"/>
      <w:lvlText w:val="（%1）"/>
      <w:lvlJc w:val="left"/>
      <w:rPr>
        <w:rFonts w:hint="default"/>
        <w:b w:val="0"/>
        <w:bCs w:val="0"/>
      </w:rPr>
    </w:lvl>
  </w:abstractNum>
  <w:abstractNum w:abstractNumId="23">
    <w:nsid w:val="DD2251DF"/>
    <w:multiLevelType w:val="singleLevel"/>
    <w:tmpl w:val="DD2251DF"/>
    <w:lvl w:ilvl="0" w:tentative="0">
      <w:start w:val="1"/>
      <w:numFmt w:val="decimal"/>
      <w:suff w:val="nothing"/>
      <w:lvlText w:val="（%1）"/>
      <w:lvlJc w:val="left"/>
      <w:rPr>
        <w:rFonts w:hint="default"/>
        <w:b w:val="0"/>
        <w:bCs w:val="0"/>
      </w:rPr>
    </w:lvl>
  </w:abstractNum>
  <w:abstractNum w:abstractNumId="24">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5">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6">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7">
    <w:nsid w:val="F574F5B6"/>
    <w:multiLevelType w:val="singleLevel"/>
    <w:tmpl w:val="F574F5B6"/>
    <w:lvl w:ilvl="0" w:tentative="0">
      <w:start w:val="1"/>
      <w:numFmt w:val="decimal"/>
      <w:suff w:val="nothing"/>
      <w:lvlText w:val="（%1）"/>
      <w:lvlJc w:val="left"/>
    </w:lvl>
  </w:abstractNum>
  <w:abstractNum w:abstractNumId="28">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9">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0">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1">
    <w:nsid w:val="084A6179"/>
    <w:multiLevelType w:val="singleLevel"/>
    <w:tmpl w:val="084A6179"/>
    <w:lvl w:ilvl="0" w:tentative="0">
      <w:start w:val="1"/>
      <w:numFmt w:val="decimal"/>
      <w:suff w:val="nothing"/>
      <w:lvlText w:val="（%1）"/>
      <w:lvlJc w:val="left"/>
      <w:rPr>
        <w:rFonts w:hint="default"/>
        <w:highlight w:val="none"/>
      </w:rPr>
    </w:lvl>
  </w:abstractNum>
  <w:abstractNum w:abstractNumId="32">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4">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5">
    <w:nsid w:val="167B0BB4"/>
    <w:multiLevelType w:val="singleLevel"/>
    <w:tmpl w:val="167B0BB4"/>
    <w:lvl w:ilvl="0" w:tentative="0">
      <w:start w:val="1"/>
      <w:numFmt w:val="decimal"/>
      <w:suff w:val="nothing"/>
      <w:lvlText w:val="（%1）"/>
      <w:lvlJc w:val="left"/>
    </w:lvl>
  </w:abstractNum>
  <w:abstractNum w:abstractNumId="36">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7">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8">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9">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6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4">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70">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0"/>
  </w:num>
  <w:num w:numId="3">
    <w:abstractNumId w:val="42"/>
  </w:num>
  <w:num w:numId="4">
    <w:abstractNumId w:val="37"/>
  </w:num>
  <w:num w:numId="5">
    <w:abstractNumId w:val="49"/>
  </w:num>
  <w:num w:numId="6">
    <w:abstractNumId w:val="72"/>
  </w:num>
  <w:num w:numId="7">
    <w:abstractNumId w:val="32"/>
  </w:num>
  <w:num w:numId="8">
    <w:abstractNumId w:val="73"/>
  </w:num>
  <w:num w:numId="9">
    <w:abstractNumId w:val="47"/>
  </w:num>
  <w:num w:numId="10">
    <w:abstractNumId w:val="44"/>
  </w:num>
  <w:num w:numId="11">
    <w:abstractNumId w:val="28"/>
  </w:num>
  <w:num w:numId="12">
    <w:abstractNumId w:val="26"/>
  </w:num>
  <w:num w:numId="13">
    <w:abstractNumId w:val="33"/>
  </w:num>
  <w:num w:numId="14">
    <w:abstractNumId w:val="25"/>
  </w:num>
  <w:num w:numId="15">
    <w:abstractNumId w:val="20"/>
  </w:num>
  <w:num w:numId="16">
    <w:abstractNumId w:val="11"/>
  </w:num>
  <w:num w:numId="17">
    <w:abstractNumId w:val="17"/>
  </w:num>
  <w:num w:numId="18">
    <w:abstractNumId w:val="8"/>
  </w:num>
  <w:num w:numId="19">
    <w:abstractNumId w:val="9"/>
  </w:num>
  <w:num w:numId="20">
    <w:abstractNumId w:val="7"/>
  </w:num>
  <w:num w:numId="21">
    <w:abstractNumId w:val="70"/>
  </w:num>
  <w:num w:numId="22">
    <w:abstractNumId w:val="5"/>
  </w:num>
  <w:num w:numId="23">
    <w:abstractNumId w:val="1"/>
  </w:num>
  <w:num w:numId="24">
    <w:abstractNumId w:val="43"/>
  </w:num>
  <w:num w:numId="25">
    <w:abstractNumId w:val="27"/>
  </w:num>
  <w:num w:numId="26">
    <w:abstractNumId w:val="19"/>
  </w:num>
  <w:num w:numId="27">
    <w:abstractNumId w:val="38"/>
  </w:num>
  <w:num w:numId="28">
    <w:abstractNumId w:val="21"/>
  </w:num>
  <w:num w:numId="29">
    <w:abstractNumId w:val="6"/>
  </w:num>
  <w:num w:numId="30">
    <w:abstractNumId w:val="46"/>
  </w:num>
  <w:num w:numId="31">
    <w:abstractNumId w:val="4"/>
  </w:num>
  <w:num w:numId="32">
    <w:abstractNumId w:val="31"/>
  </w:num>
  <w:num w:numId="33">
    <w:abstractNumId w:val="36"/>
  </w:num>
  <w:num w:numId="34">
    <w:abstractNumId w:val="71"/>
  </w:num>
  <w:num w:numId="35">
    <w:abstractNumId w:val="30"/>
  </w:num>
  <w:num w:numId="36">
    <w:abstractNumId w:val="23"/>
  </w:num>
  <w:num w:numId="37">
    <w:abstractNumId w:val="41"/>
  </w:num>
  <w:num w:numId="38">
    <w:abstractNumId w:val="2"/>
  </w:num>
  <w:num w:numId="39">
    <w:abstractNumId w:val="24"/>
  </w:num>
  <w:num w:numId="40">
    <w:abstractNumId w:val="29"/>
  </w:num>
  <w:num w:numId="41">
    <w:abstractNumId w:val="45"/>
  </w:num>
  <w:num w:numId="42">
    <w:abstractNumId w:val="34"/>
  </w:num>
  <w:num w:numId="43">
    <w:abstractNumId w:val="18"/>
  </w:num>
  <w:num w:numId="44">
    <w:abstractNumId w:val="48"/>
  </w:num>
  <w:num w:numId="45">
    <w:abstractNumId w:val="12"/>
  </w:num>
  <w:num w:numId="46">
    <w:abstractNumId w:val="10"/>
  </w:num>
  <w:num w:numId="47">
    <w:abstractNumId w:val="13"/>
  </w:num>
  <w:num w:numId="48">
    <w:abstractNumId w:val="35"/>
  </w:num>
  <w:num w:numId="49">
    <w:abstractNumId w:val="22"/>
  </w:num>
  <w:num w:numId="50">
    <w:abstractNumId w:val="3"/>
  </w:num>
  <w:num w:numId="51">
    <w:abstractNumId w:val="40"/>
  </w:num>
  <w:num w:numId="52">
    <w:abstractNumId w:val="57"/>
  </w:num>
  <w:num w:numId="53">
    <w:abstractNumId w:val="56"/>
  </w:num>
  <w:num w:numId="54">
    <w:abstractNumId w:val="58"/>
  </w:num>
  <w:num w:numId="55">
    <w:abstractNumId w:val="59"/>
  </w:num>
  <w:num w:numId="56">
    <w:abstractNumId w:val="60"/>
  </w:num>
  <w:num w:numId="57">
    <w:abstractNumId w:val="61"/>
  </w:num>
  <w:num w:numId="58">
    <w:abstractNumId w:val="62"/>
  </w:num>
  <w:num w:numId="59">
    <w:abstractNumId w:val="63"/>
  </w:num>
  <w:num w:numId="60">
    <w:abstractNumId w:val="39"/>
  </w:num>
  <w:num w:numId="61">
    <w:abstractNumId w:val="16"/>
  </w:num>
  <w:num w:numId="62">
    <w:abstractNumId w:val="50"/>
  </w:num>
  <w:num w:numId="63">
    <w:abstractNumId w:val="51"/>
  </w:num>
  <w:num w:numId="64">
    <w:abstractNumId w:val="52"/>
  </w:num>
  <w:num w:numId="65">
    <w:abstractNumId w:val="53"/>
  </w:num>
  <w:num w:numId="66">
    <w:abstractNumId w:val="54"/>
  </w:num>
  <w:num w:numId="67">
    <w:abstractNumId w:val="55"/>
  </w:num>
  <w:num w:numId="68">
    <w:abstractNumId w:val="64"/>
  </w:num>
  <w:num w:numId="69">
    <w:abstractNumId w:val="65"/>
  </w:num>
  <w:num w:numId="70">
    <w:abstractNumId w:val="15"/>
  </w:num>
  <w:num w:numId="71">
    <w:abstractNumId w:val="66"/>
  </w:num>
  <w:num w:numId="72">
    <w:abstractNumId w:val="67"/>
  </w:num>
  <w:num w:numId="73">
    <w:abstractNumId w:val="68"/>
  </w:num>
  <w:num w:numId="74">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03631F"/>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B453C9D"/>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F5BB6D"/>
    <w:rsid w:val="73FC9A3F"/>
    <w:rsid w:val="751974A1"/>
    <w:rsid w:val="758B30E4"/>
    <w:rsid w:val="75F42331"/>
    <w:rsid w:val="761F7C3C"/>
    <w:rsid w:val="76683D2A"/>
    <w:rsid w:val="76C62D9E"/>
    <w:rsid w:val="78244617"/>
    <w:rsid w:val="7A923507"/>
    <w:rsid w:val="7AAFF850"/>
    <w:rsid w:val="7ACB640D"/>
    <w:rsid w:val="7BFF1A29"/>
    <w:rsid w:val="7C044D89"/>
    <w:rsid w:val="7C63442B"/>
    <w:rsid w:val="7D3AA22F"/>
    <w:rsid w:val="7D9F2F3F"/>
    <w:rsid w:val="7DE35ECA"/>
    <w:rsid w:val="7DF186E2"/>
    <w:rsid w:val="7E1A0C5A"/>
    <w:rsid w:val="7E3212D3"/>
    <w:rsid w:val="7E7F7BE9"/>
    <w:rsid w:val="7F5F887D"/>
    <w:rsid w:val="7F9FC635"/>
    <w:rsid w:val="7FCC7D05"/>
    <w:rsid w:val="7FEF42B8"/>
    <w:rsid w:val="7FEFE414"/>
    <w:rsid w:val="7FF2B36D"/>
    <w:rsid w:val="9FD01BC3"/>
    <w:rsid w:val="9FDF7357"/>
    <w:rsid w:val="B3FE25BF"/>
    <w:rsid w:val="B7F60490"/>
    <w:rsid w:val="BE6E0F8F"/>
    <w:rsid w:val="C679D4D5"/>
    <w:rsid w:val="C7EFAC2C"/>
    <w:rsid w:val="CFBD1285"/>
    <w:rsid w:val="D3FFF2E3"/>
    <w:rsid w:val="D4B948F0"/>
    <w:rsid w:val="D7BE90C3"/>
    <w:rsid w:val="DFFBF81E"/>
    <w:rsid w:val="E2F2C526"/>
    <w:rsid w:val="E7F7B356"/>
    <w:rsid w:val="F3F331A4"/>
    <w:rsid w:val="F3FF81F7"/>
    <w:rsid w:val="F6D74091"/>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64</Pages>
  <Words>41425</Words>
  <Characters>45296</Characters>
  <Lines>1</Lines>
  <Paragraphs>1</Paragraphs>
  <TotalTime>3</TotalTime>
  <ScaleCrop>false</ScaleCrop>
  <LinksUpToDate>false</LinksUpToDate>
  <CharactersWithSpaces>45815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2014-11-05T04:08:00Z</dcterms:created>
  <dc:creator>Administrator</dc:creator>
  <cp:lastModifiedBy>hccb</cp:lastModifiedBy>
  <dcterms:modified xsi:type="dcterms:W3CDTF">2026-05-07T08:40:52Z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0D3C302BFA86CC44783DFC69DE8F3CA1_43</vt:lpwstr>
  </property>
</Properties>
</file>