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jc w:val="center"/>
        <w:rPr>
          <w:rFonts w:hint="eastAsia" w:ascii="宋体" w:hAnsi="宋体" w:cs="宋体"/>
          <w:b/>
          <w:bCs/>
          <w:sz w:val="44"/>
          <w:szCs w:val="44"/>
          <w:highlight w:val="none"/>
        </w:rPr>
      </w:pPr>
      <w:r>
        <w:rPr>
          <w:rFonts w:hint="eastAsia" w:ascii="宋体" w:hAnsi="宋体" w:eastAsia="宋体" w:cs="宋体"/>
          <w:b/>
          <w:bCs/>
          <w:kern w:val="2"/>
          <w:sz w:val="44"/>
          <w:szCs w:val="44"/>
          <w:highlight w:val="none"/>
          <w:lang w:val="en-US" w:eastAsia="zh-CN" w:bidi="ar-SA"/>
        </w:rPr>
        <w:t>幸福99丰裕固收386天26078期理财</w:t>
      </w:r>
      <w:r>
        <w:rPr>
          <w:rFonts w:hint="eastAsia" w:ascii="宋体" w:hAnsi="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w:t>
      </w:r>
      <w:r>
        <w:rPr>
          <w:rFonts w:hint="eastAsia" w:ascii="宋体" w:hAnsi="宋体" w:eastAsia="宋体" w:cs="宋体"/>
          <w:kern w:val="2"/>
          <w:sz w:val="32"/>
          <w:szCs w:val="32"/>
          <w:highlight w:val="none"/>
          <w:lang w:val="en-US" w:eastAsia="zh-CN" w:bidi="ar-SA"/>
        </w:rPr>
        <w:t>杭州银行股份有限公司</w:t>
      </w:r>
    </w:p>
    <w:p>
      <w:pPr>
        <w:ind w:firstLine="1280" w:firstLineChars="400"/>
        <w:jc w:val="left"/>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b/>
          <w:bCs/>
          <w:sz w:val="44"/>
          <w:szCs w:val="44"/>
          <w:highlight w:val="none"/>
        </w:rPr>
      </w:pPr>
    </w:p>
    <w:p>
      <w:pPr>
        <w:jc w:val="center"/>
        <w:rPr>
          <w:rFonts w:hint="eastAsia" w:ascii="宋体" w:hAnsi="宋体" w:cs="宋体"/>
          <w:b/>
          <w:bCs/>
          <w:sz w:val="44"/>
          <w:szCs w:val="44"/>
          <w:highlight w:val="none"/>
        </w:rPr>
      </w:pPr>
    </w:p>
    <w:p>
      <w:pPr>
        <w:jc w:val="center"/>
        <w:rPr>
          <w:rFonts w:hint="eastAsia" w:ascii="宋体" w:hAnsi="宋体" w:cs="宋体"/>
          <w:b/>
          <w:bCs/>
          <w:sz w:val="44"/>
          <w:szCs w:val="44"/>
          <w:highlight w:val="none"/>
        </w:rPr>
      </w:pPr>
    </w:p>
    <w:p>
      <w:pPr>
        <w:jc w:val="center"/>
        <w:rPr>
          <w:rFonts w:hint="eastAsia" w:ascii="宋体" w:hAnsi="宋体" w:cs="宋体"/>
          <w:b/>
          <w:bCs/>
          <w:sz w:val="44"/>
          <w:szCs w:val="44"/>
          <w:highlight w:val="none"/>
        </w:rPr>
      </w:pPr>
    </w:p>
    <w:p>
      <w:pPr>
        <w:jc w:val="center"/>
        <w:outlineLvl w:val="9"/>
        <w:rPr>
          <w:rFonts w:hint="eastAsia" w:ascii="宋体" w:hAnsi="宋体" w:cs="宋体"/>
          <w:b/>
          <w:bCs/>
          <w:sz w:val="44"/>
          <w:szCs w:val="44"/>
          <w:highlight w:val="none"/>
        </w:rPr>
      </w:pPr>
      <w:r>
        <w:rPr>
          <w:rFonts w:hint="eastAsia" w:ascii="宋体" w:hAnsi="宋体" w:eastAsia="宋体" w:cs="宋体"/>
          <w:b/>
          <w:bCs/>
          <w:kern w:val="2"/>
          <w:sz w:val="44"/>
          <w:szCs w:val="44"/>
          <w:highlight w:val="none"/>
          <w:lang w:val="en-US" w:eastAsia="zh-CN" w:bidi="ar-SA"/>
        </w:rPr>
        <w:t>幸福99丰裕固收386天26078期理财</w:t>
      </w:r>
      <w:r>
        <w:rPr>
          <w:rFonts w:hint="eastAsia" w:ascii="宋体" w:hAnsi="宋体" w:cs="宋体"/>
          <w:b/>
          <w:bCs/>
          <w:sz w:val="44"/>
          <w:szCs w:val="44"/>
          <w:highlight w:val="none"/>
        </w:rPr>
        <w:t>合同文件</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tbl>
      <w:tblPr>
        <w:tblStyle w:val="8"/>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b/>
                <w:bCs/>
                <w:szCs w:val="21"/>
                <w:highlight w:val="none"/>
              </w:rPr>
              <w:t>序号</w:t>
            </w:r>
          </w:p>
        </w:tc>
        <w:tc>
          <w:tcPr>
            <w:tcW w:w="5160"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b/>
                <w:bCs/>
                <w:szCs w:val="21"/>
                <w:highlight w:val="none"/>
              </w:rPr>
              <w:t>理财计划合同文件中的文件名称</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b/>
                <w:bCs/>
                <w:szCs w:val="21"/>
                <w:highlight w:val="none"/>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szCs w:val="21"/>
                <w:highlight w:val="none"/>
              </w:rPr>
            </w:pPr>
            <w:r>
              <w:rPr>
                <w:rFonts w:hint="eastAsia" w:ascii="宋体" w:hAnsi="宋体" w:cs="宋体"/>
                <w:szCs w:val="21"/>
                <w:highlight w:val="none"/>
              </w:rPr>
              <w:t>1</w:t>
            </w:r>
          </w:p>
        </w:tc>
        <w:tc>
          <w:tcPr>
            <w:tcW w:w="5160" w:type="dxa"/>
            <w:noWrap w:val="0"/>
            <w:vAlign w:val="center"/>
          </w:tcPr>
          <w:p>
            <w:pPr>
              <w:keepNext w:val="0"/>
              <w:keepLines w:val="0"/>
              <w:suppressLineNumbers w:val="0"/>
              <w:spacing w:before="0" w:beforeAutospacing="0" w:after="0" w:afterAutospacing="0" w:line="360" w:lineRule="auto"/>
              <w:ind w:left="0" w:right="0"/>
              <w:jc w:val="left"/>
              <w:rPr>
                <w:rFonts w:hint="default" w:ascii="宋体" w:hAnsi="宋体" w:cs="宋体"/>
                <w:szCs w:val="21"/>
                <w:highlight w:val="none"/>
              </w:rPr>
            </w:pPr>
            <w:r>
              <w:rPr>
                <w:rFonts w:hint="eastAsia" w:ascii="宋体" w:hAnsi="宋体" w:eastAsia="宋体" w:cs="宋体"/>
                <w:kern w:val="2"/>
                <w:sz w:val="21"/>
                <w:szCs w:val="21"/>
                <w:highlight w:val="none"/>
                <w:lang w:val="en-US" w:eastAsia="zh-CN" w:bidi="ar-SA"/>
              </w:rPr>
              <w:t>幸福99丰裕固收386天26078期理财</w:t>
            </w:r>
            <w:r>
              <w:rPr>
                <w:rFonts w:hint="eastAsia" w:ascii="宋体" w:hAnsi="宋体" w:cs="宋体"/>
                <w:szCs w:val="21"/>
                <w:highlight w:val="none"/>
              </w:rPr>
              <w:t>风险揭示书</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szCs w:val="21"/>
                <w:highlight w:val="none"/>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szCs w:val="21"/>
                <w:highlight w:val="none"/>
              </w:rPr>
            </w:pPr>
            <w:r>
              <w:rPr>
                <w:rFonts w:hint="eastAsia" w:ascii="宋体" w:hAnsi="宋体" w:cs="宋体"/>
                <w:szCs w:val="21"/>
                <w:highlight w:val="none"/>
              </w:rPr>
              <w:t>2</w:t>
            </w:r>
          </w:p>
        </w:tc>
        <w:tc>
          <w:tcPr>
            <w:tcW w:w="5160" w:type="dxa"/>
            <w:noWrap w:val="0"/>
            <w:vAlign w:val="center"/>
          </w:tcPr>
          <w:p>
            <w:pPr>
              <w:keepNext w:val="0"/>
              <w:keepLines w:val="0"/>
              <w:suppressLineNumbers w:val="0"/>
              <w:spacing w:before="0" w:beforeAutospacing="0" w:after="0" w:afterAutospacing="0" w:line="360" w:lineRule="auto"/>
              <w:ind w:left="0" w:right="0"/>
              <w:jc w:val="left"/>
              <w:rPr>
                <w:rFonts w:hint="default" w:ascii="宋体" w:hAnsi="宋体" w:cs="宋体"/>
                <w:szCs w:val="21"/>
                <w:highlight w:val="none"/>
              </w:rPr>
            </w:pPr>
            <w:r>
              <w:rPr>
                <w:rFonts w:hint="eastAsia" w:ascii="宋体" w:hAnsi="宋体" w:eastAsia="宋体" w:cs="宋体"/>
                <w:kern w:val="2"/>
                <w:sz w:val="21"/>
                <w:szCs w:val="21"/>
                <w:highlight w:val="none"/>
                <w:lang w:val="en-US" w:eastAsia="zh-CN" w:bidi="ar-SA"/>
              </w:rPr>
              <w:t>幸福99丰裕固收386天26078期理财</w:t>
            </w:r>
            <w:r>
              <w:rPr>
                <w:rFonts w:hint="eastAsia" w:ascii="宋体" w:hAnsi="宋体" w:cs="宋体"/>
                <w:szCs w:val="21"/>
                <w:highlight w:val="none"/>
              </w:rPr>
              <w:t>产品说明书</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szCs w:val="21"/>
                <w:highlight w:val="none"/>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szCs w:val="21"/>
                <w:highlight w:val="none"/>
              </w:rPr>
            </w:pPr>
            <w:r>
              <w:rPr>
                <w:rFonts w:hint="eastAsia" w:ascii="宋体" w:hAnsi="宋体" w:cs="宋体"/>
                <w:szCs w:val="21"/>
                <w:highlight w:val="none"/>
              </w:rPr>
              <w:t>3</w:t>
            </w:r>
          </w:p>
        </w:tc>
        <w:tc>
          <w:tcPr>
            <w:tcW w:w="5160" w:type="dxa"/>
            <w:noWrap w:val="0"/>
            <w:vAlign w:val="center"/>
          </w:tcPr>
          <w:p>
            <w:pPr>
              <w:keepNext w:val="0"/>
              <w:keepLines w:val="0"/>
              <w:suppressLineNumbers w:val="0"/>
              <w:spacing w:before="0" w:beforeAutospacing="0" w:after="0" w:afterAutospacing="0" w:line="360" w:lineRule="auto"/>
              <w:ind w:left="0" w:right="0"/>
              <w:jc w:val="left"/>
              <w:rPr>
                <w:rFonts w:hint="eastAsia" w:ascii="宋体" w:hAnsi="宋体" w:cs="宋体"/>
                <w:szCs w:val="21"/>
                <w:highlight w:val="none"/>
              </w:rPr>
            </w:pPr>
            <w:r>
              <w:rPr>
                <w:rFonts w:hint="eastAsia" w:ascii="宋体" w:hAnsi="宋体" w:cs="宋体"/>
                <w:szCs w:val="21"/>
                <w:highlight w:val="none"/>
              </w:rPr>
              <w:t>杭银理财投资者权益须知</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szCs w:val="21"/>
                <w:highlight w:val="none"/>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szCs w:val="21"/>
                <w:highlight w:val="none"/>
              </w:rPr>
            </w:pPr>
            <w:r>
              <w:rPr>
                <w:rFonts w:hint="eastAsia" w:ascii="宋体" w:hAnsi="宋体" w:cs="宋体"/>
                <w:szCs w:val="21"/>
                <w:highlight w:val="none"/>
              </w:rPr>
              <w:t>4</w:t>
            </w:r>
          </w:p>
        </w:tc>
        <w:tc>
          <w:tcPr>
            <w:tcW w:w="5160" w:type="dxa"/>
            <w:noWrap w:val="0"/>
            <w:vAlign w:val="center"/>
          </w:tcPr>
          <w:p>
            <w:pPr>
              <w:keepNext w:val="0"/>
              <w:keepLines w:val="0"/>
              <w:suppressLineNumbers w:val="0"/>
              <w:spacing w:before="0" w:beforeAutospacing="0" w:after="0" w:afterAutospacing="0" w:line="360" w:lineRule="auto"/>
              <w:ind w:left="0" w:right="0"/>
              <w:jc w:val="left"/>
              <w:rPr>
                <w:rFonts w:hint="eastAsia" w:ascii="宋体" w:hAnsi="宋体" w:cs="宋体"/>
                <w:szCs w:val="21"/>
                <w:highlight w:val="none"/>
              </w:rPr>
            </w:pPr>
            <w:r>
              <w:rPr>
                <w:rFonts w:hint="eastAsia" w:ascii="宋体" w:hAnsi="宋体" w:cs="宋体"/>
                <w:szCs w:val="21"/>
                <w:highlight w:val="none"/>
              </w:rPr>
              <w:t>杭银理财理财计划投资协议书</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szCs w:val="21"/>
                <w:highlight w:val="none"/>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szCs w:val="21"/>
                <w:highlight w:val="none"/>
              </w:rPr>
            </w:pPr>
            <w:r>
              <w:rPr>
                <w:rFonts w:hint="eastAsia" w:ascii="宋体" w:hAnsi="宋体" w:cs="宋体"/>
                <w:szCs w:val="21"/>
                <w:highlight w:val="none"/>
              </w:rPr>
              <w:t>5</w:t>
            </w:r>
          </w:p>
        </w:tc>
        <w:tc>
          <w:tcPr>
            <w:tcW w:w="5160" w:type="dxa"/>
            <w:noWrap w:val="0"/>
            <w:vAlign w:val="center"/>
          </w:tcPr>
          <w:p>
            <w:pPr>
              <w:keepNext w:val="0"/>
              <w:keepLines w:val="0"/>
              <w:suppressLineNumbers w:val="0"/>
              <w:spacing w:before="0" w:beforeAutospacing="0" w:after="0" w:afterAutospacing="0" w:line="360" w:lineRule="auto"/>
              <w:ind w:left="0" w:right="0"/>
              <w:jc w:val="left"/>
              <w:rPr>
                <w:rFonts w:hint="eastAsia" w:ascii="宋体" w:hAnsi="宋体" w:cs="宋体"/>
                <w:szCs w:val="21"/>
                <w:highlight w:val="none"/>
              </w:rPr>
            </w:pPr>
            <w:r>
              <w:rPr>
                <w:rFonts w:hint="eastAsia" w:ascii="宋体" w:hAnsi="宋体" w:cs="宋体"/>
                <w:szCs w:val="21"/>
                <w:highlight w:val="none"/>
              </w:rPr>
              <w:t>杭银理财理财计划销售协议书</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szCs w:val="21"/>
                <w:highlight w:val="none"/>
              </w:rPr>
              <w:t>理财计划销售协议书</w:t>
            </w:r>
          </w:p>
        </w:tc>
      </w:tr>
    </w:tbl>
    <w:p>
      <w:pPr>
        <w:rPr>
          <w:rFonts w:ascii="宋体" w:hAnsi="宋体" w:cs="宋体"/>
          <w:bCs/>
          <w:color w:val="000000"/>
          <w:sz w:val="24"/>
          <w:highlight w:val="none"/>
        </w:rPr>
      </w:pPr>
      <w:r>
        <w:rPr>
          <w:rFonts w:ascii="宋体" w:hAnsi="宋体" w:cs="宋体"/>
          <w:bCs/>
          <w:color w:val="000000"/>
          <w:sz w:val="24"/>
          <w:highlight w:val="none"/>
        </w:rPr>
        <w:br w:type="page"/>
      </w:r>
    </w:p>
    <w:p>
      <w:pPr>
        <w:ind w:left="0" w:leftChars="0" w:firstLine="0" w:firstLineChars="0"/>
        <w:jc w:val="center"/>
        <w:rPr>
          <w:rFonts w:hint="eastAsia" w:ascii="宋体" w:hAnsi="宋体" w:cs="宋体"/>
          <w:b/>
          <w:bCs/>
          <w:sz w:val="44"/>
          <w:szCs w:val="44"/>
          <w:highlight w:val="none"/>
        </w:rPr>
      </w:pPr>
      <w:r>
        <w:rPr>
          <w:rFonts w:hint="eastAsia" w:ascii="宋体" w:hAnsi="宋体" w:eastAsia="宋体" w:cs="宋体"/>
          <w:b/>
          <w:bCs/>
          <w:kern w:val="2"/>
          <w:sz w:val="44"/>
          <w:szCs w:val="44"/>
          <w:highlight w:val="none"/>
          <w:lang w:val="en-US" w:eastAsia="zh" w:bidi="ar-SA"/>
        </w:rPr>
        <w:t>幸福99丰裕固收386天26078期理财</w:t>
      </w:r>
      <w:r>
        <w:rPr>
          <w:rFonts w:hint="eastAsia" w:ascii="宋体" w:hAnsi="宋体" w:cs="宋体"/>
          <w:b/>
          <w:bCs/>
          <w:sz w:val="44"/>
          <w:szCs w:val="44"/>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w:t>
      </w:r>
      <w:r>
        <w:rPr>
          <w:rFonts w:hint="eastAsia" w:ascii="宋体" w:hAnsi="宋体" w:cs="宋体"/>
          <w:sz w:val="28"/>
          <w:szCs w:val="28"/>
          <w:highlight w:val="none"/>
          <w:lang w:eastAsia="zh-CN"/>
        </w:rPr>
        <w:t>202502</w:t>
      </w:r>
      <w:r>
        <w:rPr>
          <w:rFonts w:hint="eastAsia" w:ascii="宋体" w:hAnsi="宋体" w:cs="宋体"/>
          <w:sz w:val="28"/>
          <w:szCs w:val="28"/>
          <w:highlight w:val="none"/>
        </w:rPr>
        <w:t>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w:t>
      </w:r>
      <w:r>
        <w:rPr>
          <w:rFonts w:hint="eastAsia" w:ascii="宋体" w:hAnsi="宋体" w:cs="宋体"/>
          <w:b/>
          <w:bCs/>
          <w:sz w:val="24"/>
          <w:highlight w:val="none"/>
          <w:u w:val="single"/>
          <w:lang w:eastAsia="zh-CN"/>
        </w:rPr>
        <w:t>须</w:t>
      </w:r>
      <w:r>
        <w:rPr>
          <w:rFonts w:hint="eastAsia" w:ascii="宋体" w:hAnsi="宋体" w:cs="宋体"/>
          <w:b/>
          <w:bCs/>
          <w:sz w:val="24"/>
          <w:highlight w:val="none"/>
          <w:u w:val="single"/>
        </w:rPr>
        <w:t>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w:t>
      </w:r>
      <w:r>
        <w:rPr>
          <w:rFonts w:hint="eastAsia" w:ascii="宋体" w:hAnsi="宋体" w:cs="宋体"/>
          <w:bCs/>
          <w:sz w:val="24"/>
          <w:highlight w:val="none"/>
          <w:lang w:eastAsia="zh-CN"/>
        </w:rPr>
        <w:t>国家金融监督管理总局</w:t>
      </w:r>
      <w:r>
        <w:rPr>
          <w:rFonts w:hint="eastAsia" w:ascii="宋体" w:hAnsi="宋体" w:cs="宋体"/>
          <w:bCs/>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w:t>
      </w:r>
      <w:r>
        <w:rPr>
          <w:rFonts w:hint="eastAsia" w:ascii="宋体" w:hAnsi="宋体" w:cs="宋体"/>
          <w:bCs/>
          <w:sz w:val="24"/>
          <w:highlight w:val="none"/>
          <w:lang w:val="en-US" w:eastAsia="zh-CN"/>
        </w:rPr>
        <w:t>代理销售</w:t>
      </w:r>
      <w:r>
        <w:rPr>
          <w:rFonts w:hint="eastAsia" w:ascii="宋体" w:hAnsi="宋体" w:cs="宋体"/>
          <w:bCs/>
          <w:sz w:val="24"/>
          <w:highlight w:val="none"/>
          <w:lang w:eastAsia="zh-CN"/>
        </w:rPr>
        <w:t>）销售协议书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numPr>
          <w:ilvl w:val="0"/>
          <w:numId w:val="1"/>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理财计划共性风险</w:t>
      </w:r>
    </w:p>
    <w:p>
      <w:pPr>
        <w:numPr>
          <w:ilvl w:val="0"/>
          <w:numId w:val="2"/>
        </w:numPr>
        <w:spacing w:line="360" w:lineRule="auto"/>
        <w:jc w:val="left"/>
        <w:outlineLvl w:val="9"/>
        <w:rPr>
          <w:rFonts w:ascii="宋体" w:hAnsi="宋体" w:cs="宋体"/>
          <w:b/>
          <w:sz w:val="24"/>
          <w:highlight w:val="none"/>
        </w:rPr>
      </w:pPr>
      <w:r>
        <w:rPr>
          <w:rFonts w:hint="eastAsia" w:ascii="宋体" w:hAnsi="宋体" w:cs="宋体"/>
          <w:b/>
          <w:sz w:val="24"/>
          <w:highlight w:val="none"/>
        </w:rPr>
        <w:t>信用风险：理财计划所投资产的相关义务人信用状况恶化，出现信用违约情形，则理财计划本金或收益蒙受部分或全部损失的风险。</w:t>
      </w:r>
    </w:p>
    <w:p>
      <w:pPr>
        <w:numPr>
          <w:ilvl w:val="0"/>
          <w:numId w:val="2"/>
        </w:numPr>
        <w:spacing w:line="360" w:lineRule="auto"/>
        <w:jc w:val="left"/>
        <w:outlineLvl w:val="9"/>
        <w:rPr>
          <w:rFonts w:ascii="宋体" w:hAnsi="宋体" w:cs="宋体"/>
          <w:b/>
          <w:sz w:val="24"/>
          <w:highlight w:val="none"/>
        </w:rPr>
      </w:pPr>
      <w:r>
        <w:rPr>
          <w:rFonts w:hint="eastAsia" w:ascii="宋体" w:hAnsi="宋体" w:cs="宋体"/>
          <w:b/>
          <w:sz w:val="24"/>
          <w:highlight w:val="none"/>
        </w:rPr>
        <w:t>市场风险：理财计划可能面临国家政策、经济周期、利率、汇率等因素的变化，所投资产价值可能出现波动，从而影响理财计划的收益，导致理财计划本金或收益蒙受部分或全部损失的风险，主要包括：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jc w:val="left"/>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jc w:val="left"/>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jc w:val="left"/>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jc w:val="left"/>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jc w:val="left"/>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sz w:val="24"/>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sz w:val="24"/>
          <w:highlight w:val="none"/>
        </w:rPr>
        <w:t>政策风险：理财计划根据当前的相关法规和政策设计，如国家宏观政策以及相关市场</w:t>
      </w:r>
      <w:r>
        <w:rPr>
          <w:rFonts w:hint="eastAsia" w:ascii="宋体" w:hAnsi="宋体" w:cs="宋体"/>
          <w:b/>
          <w:sz w:val="24"/>
          <w:highlight w:val="none"/>
          <w:lang w:val="en-US" w:eastAsia="zh-CN"/>
        </w:rPr>
        <w:t>法律、</w:t>
      </w:r>
      <w:r>
        <w:rPr>
          <w:rFonts w:hint="eastAsia" w:ascii="宋体" w:hAnsi="宋体" w:cs="宋体"/>
          <w:b/>
          <w:sz w:val="24"/>
          <w:highlight w:val="none"/>
        </w:rPr>
        <w:t>法规发生变化，可能会影响理财计划的发行、投资、兑付等正常工作流程的进行，导致理财计划本金或收益蒙受部分或全部损失的风险。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sz w:val="24"/>
          <w:highlight w:val="none"/>
        </w:rPr>
        <w:t>操作风险：理财计划由于内部作业、人员管理、系统操作、交易对手交易处理不当或失误等，导致理财计划本金或收益蒙受部分或全部损失的风险。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sz w:val="24"/>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sz w:val="24"/>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sz w:val="24"/>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sz w:val="24"/>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sz w:val="24"/>
          <w:highlight w:val="none"/>
        </w:rPr>
        <w:t>信息传递风险：</w:t>
      </w:r>
      <w:r>
        <w:rPr>
          <w:rFonts w:hint="eastAsia" w:ascii="宋体" w:hAnsi="宋体" w:cs="宋体"/>
          <w:b/>
          <w:sz w:val="24"/>
          <w:highlight w:val="none"/>
          <w:lang w:val="en-US" w:eastAsia="zh-CN"/>
        </w:rPr>
        <w:t>1.理财计划管理人将按照本理财计划销售文件中约定的信息披露方式、途径向投资者公示本理财计划的各类信息和重大事件，投资者应及时查询、了解。</w:t>
      </w:r>
      <w:r>
        <w:rPr>
          <w:rFonts w:hint="eastAsia" w:ascii="宋体" w:hAnsi="宋体" w:cs="宋体"/>
          <w:b/>
          <w:sz w:val="24"/>
          <w:highlight w:val="none"/>
        </w:rPr>
        <w:t>由于投资者未能及时主动了解理财计划信息</w:t>
      </w:r>
      <w:r>
        <w:rPr>
          <w:rFonts w:hint="eastAsia" w:ascii="宋体" w:hAnsi="宋体" w:cs="宋体"/>
          <w:b/>
          <w:sz w:val="24"/>
          <w:highlight w:val="none"/>
          <w:lang w:val="en-US" w:eastAsia="zh-CN"/>
        </w:rPr>
        <w:t>或由于不可抗力及/或意外事件的影响导致投资者无法及时了解理财计划信息，从而影响投资者的投资决策，由此产生的责任和风险由投资者自行承担</w:t>
      </w:r>
      <w:r>
        <w:rPr>
          <w:rFonts w:hint="eastAsia" w:ascii="宋体" w:hAnsi="宋体" w:cs="宋体"/>
          <w:b/>
          <w:sz w:val="24"/>
          <w:highlight w:val="none"/>
        </w:rPr>
        <w:t>。</w:t>
      </w:r>
      <w:r>
        <w:rPr>
          <w:rFonts w:hint="eastAsia" w:ascii="宋体" w:hAnsi="宋体" w:cs="宋体"/>
          <w:b/>
          <w:sz w:val="24"/>
          <w:highlight w:val="none"/>
          <w:lang w:val="en-US" w:eastAsia="zh-CN"/>
        </w:rPr>
        <w:t>2.投资者预留的有效联系方式发生变更的，应及时通知理财计划管理人。如投资者未及时告知理财计划管理人联系方式变更或理财计划管理人在其认为必要时无法及时联系到投资者的，可能影响投资者的投资决策，由此产生责任和风险由投资者自行承担。</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sz w:val="24"/>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ascii="宋体" w:hAnsi="宋体" w:cs="宋体"/>
          <w:b/>
          <w:sz w:val="24"/>
          <w:highlight w:val="none"/>
          <w:lang w:eastAsia="zh-CN"/>
        </w:rPr>
        <w:t>理</w:t>
      </w:r>
      <w:r>
        <w:rPr>
          <w:rFonts w:hint="eastAsia" w:ascii="宋体" w:hAnsi="宋体" w:cs="宋体"/>
          <w:b/>
          <w:sz w:val="24"/>
          <w:highlight w:val="none"/>
        </w:rPr>
        <w:t>财计划本金或收益蒙受部分或全部损失的风险。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建仓期风险：如理财计划设置建仓期，则在建仓期内理财计划的投资比例可能无法满足约定的投资比例限制，从而对理财计划收益产生影响。</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sz w:val="24"/>
          <w:highlight w:val="none"/>
        </w:rPr>
        <w:t>代销风险：本理财计划通过代销渠道销售，投资者认购理财计划的资金由销售机构从投资者资金账户扣收；理财计划到期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lang w:val="en-US" w:eastAsia="zh-CN"/>
        </w:rPr>
        <w:t>不同理财计划份额差异化风险：管理人可根据投资者购买理财计划的金额、销售渠道等因素，对投资者所持有的理财计划设置不同理财计划份额类别。不同类别的理财计划份额在销售名称、收费方式、销售服务费、销售代码、销售对象、销售起点金额（包括认购、申购等）、认申购和赎回的数量限额、持有理财计划的最高和最低限额、计算和公告理财计划份额净值方面等存在差异。</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sz w:val="24"/>
          <w:highlight w:val="none"/>
          <w:lang w:eastAsia="zh-CN"/>
        </w:rPr>
        <w:t>关</w:t>
      </w:r>
      <w:r>
        <w:rPr>
          <w:rFonts w:ascii="宋体" w:hAnsi="宋体" w:cs="宋体"/>
          <w:b/>
          <w:sz w:val="24"/>
          <w:highlight w:val="none"/>
        </w:rPr>
        <w:t>联关系</w:t>
      </w:r>
      <w:r>
        <w:rPr>
          <w:rFonts w:hint="eastAsia" w:ascii="宋体" w:hAnsi="宋体" w:cs="宋体"/>
          <w:b/>
          <w:sz w:val="24"/>
          <w:highlight w:val="none"/>
          <w:lang w:val="en-US" w:eastAsia="zh-CN"/>
        </w:rPr>
        <w:t>及关联交易</w:t>
      </w:r>
      <w:r>
        <w:rPr>
          <w:rFonts w:ascii="宋体" w:hAnsi="宋体" w:cs="宋体"/>
          <w:b/>
          <w:sz w:val="24"/>
          <w:highlight w:val="none"/>
        </w:rPr>
        <w:t>风险：</w:t>
      </w:r>
      <w:r>
        <w:rPr>
          <w:rFonts w:hint="eastAsia" w:ascii="宋体" w:hAnsi="宋体" w:cs="宋体"/>
          <w:b/>
          <w:sz w:val="24"/>
          <w:highlight w:val="none"/>
          <w:lang w:val="en-US" w:eastAsia="zh-CN"/>
        </w:rPr>
        <w:t>本理财计划由杭银理财发行并管理，独立履行理财计划管理人职责，杭银理财有权委托销售服务机构进行代理销售，可能涉及委托</w:t>
      </w:r>
      <w:r>
        <w:rPr>
          <w:rFonts w:ascii="宋体" w:hAnsi="宋体" w:cs="宋体"/>
          <w:b/>
          <w:sz w:val="24"/>
          <w:highlight w:val="none"/>
        </w:rPr>
        <w:t>杭州银行股份有限公司</w:t>
      </w:r>
      <w:r>
        <w:rPr>
          <w:rFonts w:hint="eastAsia" w:ascii="宋体" w:hAnsi="宋体" w:cs="宋体"/>
          <w:b/>
          <w:sz w:val="24"/>
          <w:highlight w:val="none"/>
          <w:lang w:eastAsia="zh-CN"/>
        </w:rPr>
        <w:t>（</w:t>
      </w:r>
      <w:r>
        <w:rPr>
          <w:rFonts w:hint="eastAsia" w:ascii="宋体" w:hAnsi="宋体" w:cs="宋体"/>
          <w:b/>
          <w:sz w:val="24"/>
          <w:highlight w:val="none"/>
          <w:lang w:val="en-US" w:eastAsia="zh-CN"/>
        </w:rPr>
        <w:t>以下简称“杭州银行”</w:t>
      </w:r>
      <w:r>
        <w:rPr>
          <w:rFonts w:hint="eastAsia" w:ascii="宋体" w:hAnsi="宋体" w:cs="宋体"/>
          <w:b/>
          <w:sz w:val="24"/>
          <w:highlight w:val="none"/>
          <w:lang w:eastAsia="zh-CN"/>
        </w:rPr>
        <w:t>）</w:t>
      </w:r>
      <w:r>
        <w:rPr>
          <w:rFonts w:hint="eastAsia" w:ascii="宋体" w:hAnsi="宋体" w:cs="宋体"/>
          <w:b/>
          <w:sz w:val="24"/>
          <w:highlight w:val="none"/>
          <w:lang w:val="en-US" w:eastAsia="zh-CN"/>
        </w:rPr>
        <w:t>作为理财计划的销售服务机构</w:t>
      </w:r>
      <w:r>
        <w:rPr>
          <w:rFonts w:ascii="宋体" w:hAnsi="宋体" w:cs="宋体"/>
          <w:b/>
          <w:sz w:val="24"/>
          <w:highlight w:val="none"/>
        </w:rPr>
        <w:t>，</w:t>
      </w:r>
      <w:r>
        <w:rPr>
          <w:rFonts w:hint="eastAsia" w:ascii="宋体" w:hAnsi="宋体" w:cs="宋体"/>
          <w:b/>
          <w:sz w:val="24"/>
          <w:highlight w:val="none"/>
          <w:lang w:val="en-US" w:eastAsia="zh-CN"/>
        </w:rPr>
        <w:t>负责理财计划的代理销售工作。</w:t>
      </w:r>
      <w:r>
        <w:rPr>
          <w:rFonts w:ascii="宋体" w:hAnsi="宋体" w:cs="宋体"/>
          <w:b/>
          <w:sz w:val="24"/>
          <w:highlight w:val="none"/>
        </w:rPr>
        <w:t>杭银理财系杭州银行全资子公司，双方存在关联关系。</w:t>
      </w:r>
      <w:r>
        <w:rPr>
          <w:rFonts w:hint="eastAsia" w:ascii="宋体" w:hAnsi="宋体" w:cs="宋体"/>
          <w:b/>
          <w:sz w:val="24"/>
          <w:highlight w:val="none"/>
          <w:lang w:val="en-US" w:eastAsia="zh-CN"/>
        </w:rPr>
        <w:t>尽管杭银理财将严格遵守法律、行政法规、金融监管规定及行业自律组织建议对关联方进行准确识别，按照相关规定及时进行审批、备案并充分披露，不会以理财计划与关联方进行不正当交易、利益输送等行为，以降低关联交易风险，但仍存在无法完全排除关联交易的可能而导致影响投资者收益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sz w:val="24"/>
          <w:highlight w:val="none"/>
          <w:lang w:val="en-US" w:eastAsia="zh-CN"/>
        </w:rPr>
        <w:t>投资者合规风险：</w:t>
      </w:r>
      <w:r>
        <w:rPr>
          <w:rFonts w:hint="eastAsia" w:ascii="宋体" w:hAnsi="宋体" w:cs="宋体"/>
          <w:b/>
          <w:bCs w:val="0"/>
          <w:color w:val="000000"/>
          <w:sz w:val="24"/>
          <w:highlight w:val="none"/>
          <w:lang w:val="en-US" w:eastAsia="zh-CN"/>
        </w:rPr>
        <w:t>根据</w:t>
      </w:r>
      <w:r>
        <w:rPr>
          <w:rFonts w:hint="eastAsia" w:ascii="宋体" w:hAnsi="宋体" w:cs="宋体"/>
          <w:b/>
          <w:bCs w:val="0"/>
          <w:color w:val="000000"/>
          <w:sz w:val="24"/>
          <w:highlight w:val="none"/>
        </w:rPr>
        <w:t>法律、行政法规、金融监管规定及</w:t>
      </w:r>
      <w:r>
        <w:rPr>
          <w:rFonts w:hint="eastAsia" w:ascii="宋体" w:hAnsi="宋体" w:cs="宋体"/>
          <w:b/>
          <w:bCs w:val="0"/>
          <w:color w:val="000000"/>
          <w:sz w:val="24"/>
          <w:highlight w:val="none"/>
          <w:lang w:val="en-US" w:eastAsia="zh-CN"/>
        </w:rPr>
        <w:t>与此相匹配的管理人或销售服务机构的风险控制制度，投资者在投资理财计划时、理财计划存续运作过程中，需配合理财计划管理人或销售服务机构满足包括但不限于反洗钱、反恐怖融资、制裁合规、反电信网络诈骗、非居民金融账户涉税尽职调查等合规要求。为履行前述合规义务，投资者需配合管理人或销售服务机构要求提供、更新身份资料、资金来源等各项信息；如遇高风险情形、事件或其他根据法律法规或管理人内控合规要求需采取相应措施的其他情形，管理人或销售服务机构可能会对相关投资者采取包括但不限于拒绝或暂停接受认购/申购申请、暂停接受赎回申请、冻结份额等交易限制措施，由此产生的损失及责任由投资者自行承担。</w:t>
      </w:r>
    </w:p>
    <w:p>
      <w:pPr>
        <w:numPr>
          <w:ilvl w:val="0"/>
          <w:numId w:val="1"/>
        </w:numPr>
        <w:spacing w:line="360" w:lineRule="auto"/>
        <w:jc w:val="left"/>
        <w:outlineLvl w:val="9"/>
        <w:rPr>
          <w:rFonts w:ascii="宋体" w:hAnsi="宋体" w:cs="宋体"/>
          <w:b/>
          <w:sz w:val="24"/>
          <w:highlight w:val="none"/>
        </w:rPr>
      </w:pPr>
      <w:r>
        <w:rPr>
          <w:rFonts w:hint="eastAsia" w:ascii="宋体" w:hAnsi="宋体" w:cs="宋体"/>
          <w:b/>
          <w:sz w:val="24"/>
          <w:highlight w:val="none"/>
        </w:rPr>
        <w:t>理财计划特定风险</w:t>
      </w:r>
    </w:p>
    <w:p>
      <w:pPr>
        <w:keepNext w:val="0"/>
        <w:keepLines w:val="0"/>
        <w:widowControl w:val="0"/>
        <w:numPr>
          <w:ilvl w:val="0"/>
          <w:numId w:val="5"/>
        </w:numPr>
        <w:suppressLineNumbers w:val="0"/>
        <w:spacing w:before="0" w:beforeAutospacing="0" w:after="0" w:afterAutospacing="0" w:line="360" w:lineRule="auto"/>
        <w:ind w:left="0" w:right="0" w:firstLine="420"/>
        <w:jc w:val="left"/>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t>资金流动性风险：本理财计划认购份额确认后，封闭式运作，产品终止前投资者不得提前赎回。</w:t>
      </w:r>
    </w:p>
    <w:p>
      <w:pPr>
        <w:keepNext w:val="0"/>
        <w:keepLines w:val="0"/>
        <w:widowControl w:val="0"/>
        <w:numPr>
          <w:ilvl w:val="0"/>
          <w:numId w:val="5"/>
        </w:numPr>
        <w:suppressLineNumbers w:val="0"/>
        <w:spacing w:before="0" w:beforeAutospacing="0" w:after="0" w:afterAutospacing="0" w:line="360" w:lineRule="auto"/>
        <w:ind w:left="0" w:right="0" w:firstLine="420"/>
        <w:jc w:val="left"/>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t>收益不达业绩比较基准风险：本理财计划可投资于债券及非标准化债权类资产等固定收益类及权益类资产，因融资人违约及市场波动或导致投资者的本金出现损失。</w:t>
      </w:r>
    </w:p>
    <w:p>
      <w:pPr>
        <w:numPr>
          <w:ilvl w:val="0"/>
          <w:numId w:val="0"/>
        </w:numPr>
        <w:spacing w:line="360" w:lineRule="auto"/>
        <w:ind w:left="420" w:leftChars="0"/>
        <w:jc w:val="left"/>
        <w:rPr>
          <w:rFonts w:hint="eastAsia" w:ascii="宋体" w:hAnsi="宋体" w:cs="宋体"/>
          <w:b/>
          <w:sz w:val="24"/>
          <w:highlight w:val="none"/>
        </w:rPr>
      </w:pPr>
    </w:p>
    <w:p>
      <w:pPr>
        <w:spacing w:line="360" w:lineRule="auto"/>
        <w:jc w:val="left"/>
        <w:rPr>
          <w:rFonts w:ascii="宋体" w:hAnsi="宋体" w:cs="宋体"/>
          <w:b/>
          <w:sz w:val="24"/>
          <w:highlight w:val="none"/>
        </w:rPr>
      </w:pPr>
      <w:r>
        <w:rPr>
          <w:rFonts w:hint="eastAsia" w:ascii="宋体" w:hAnsi="宋体" w:cs="宋体"/>
          <w:b/>
          <w:sz w:val="24"/>
          <w:highlight w:val="none"/>
        </w:rPr>
        <w:t xml:space="preserve">    上述理财计划共性与特定风险发生时，投资者的本金及收益可能遭受损失，在最不利情形下，将损失全部本金及收益</w:t>
      </w:r>
      <w:r>
        <w:rPr>
          <w:rFonts w:hint="eastAsia" w:ascii="宋体" w:hAnsi="宋体" w:cs="宋体"/>
          <w:b/>
          <w:sz w:val="24"/>
          <w:highlight w:val="none"/>
          <w:lang w:eastAsia="zh-CN"/>
        </w:rPr>
        <w:t>（</w:t>
      </w:r>
      <w:r>
        <w:rPr>
          <w:rFonts w:hint="eastAsia" w:ascii="宋体" w:hAnsi="宋体" w:cs="宋体"/>
          <w:b/>
          <w:sz w:val="24"/>
          <w:highlight w:val="none"/>
          <w:lang w:val="en-US" w:eastAsia="zh-CN"/>
        </w:rPr>
        <w:t>如有</w:t>
      </w:r>
      <w:r>
        <w:rPr>
          <w:rFonts w:hint="eastAsia" w:ascii="宋体" w:hAnsi="宋体" w:cs="宋体"/>
          <w:b/>
          <w:sz w:val="24"/>
          <w:highlight w:val="none"/>
          <w:lang w:eastAsia="zh-CN"/>
        </w:rPr>
        <w:t>）</w:t>
      </w:r>
      <w:r>
        <w:rPr>
          <w:rFonts w:hint="eastAsia" w:ascii="宋体" w:hAnsi="宋体" w:cs="宋体"/>
          <w:b/>
          <w:sz w:val="24"/>
          <w:highlight w:val="none"/>
        </w:rPr>
        <w:t>，由此产生的风险及损失将由投资者自行承担。</w:t>
      </w:r>
    </w:p>
    <w:p>
      <w:pPr>
        <w:numPr>
          <w:ilvl w:val="0"/>
          <w:numId w:val="1"/>
        </w:numPr>
        <w:spacing w:line="360" w:lineRule="auto"/>
        <w:jc w:val="left"/>
        <w:outlineLvl w:val="9"/>
        <w:rPr>
          <w:rFonts w:ascii="宋体" w:hAnsi="宋体" w:cs="宋体"/>
          <w:b/>
          <w:sz w:val="24"/>
          <w:highlight w:val="none"/>
        </w:rPr>
      </w:pPr>
      <w:r>
        <w:rPr>
          <w:rFonts w:hint="eastAsia" w:ascii="宋体" w:hAnsi="宋体" w:cs="宋体"/>
          <w:b/>
          <w:sz w:val="24"/>
          <w:highlight w:val="none"/>
        </w:rPr>
        <w:t>其他信息提示</w:t>
      </w:r>
    </w:p>
    <w:p>
      <w:pPr>
        <w:spacing w:line="360" w:lineRule="auto"/>
        <w:jc w:val="left"/>
        <w:rPr>
          <w:rFonts w:ascii="宋体" w:hAnsi="宋体" w:cs="宋体"/>
          <w:b/>
          <w:sz w:val="24"/>
          <w:highlight w:val="none"/>
        </w:rPr>
      </w:pPr>
      <w:r>
        <w:rPr>
          <w:rFonts w:hint="eastAsia" w:ascii="宋体" w:hAnsi="宋体" w:cs="宋体"/>
          <w:b/>
          <w:sz w:val="24"/>
          <w:highlight w:val="none"/>
        </w:rPr>
        <w:t xml:space="preserve">    </w:t>
      </w: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jc w:val="left"/>
        <w:outlineLvl w:val="9"/>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jc w:val="left"/>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jc w:val="left"/>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jc w:val="left"/>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jc w:val="left"/>
        <w:outlineLvl w:val="9"/>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jc w:val="left"/>
        <w:outlineLvl w:val="9"/>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w:t>
      </w:r>
      <w:r>
        <w:rPr>
          <w:rFonts w:hint="eastAsia" w:ascii="宋体" w:hAnsi="宋体" w:eastAsia="宋体" w:cs="宋体"/>
          <w:b/>
          <w:kern w:val="2"/>
          <w:sz w:val="24"/>
          <w:szCs w:val="24"/>
          <w:highlight w:val="none"/>
          <w:lang w:val="en-US" w:eastAsia="zh-CN" w:bidi="ar-SA"/>
        </w:rPr>
        <w:t>公募</w:t>
      </w:r>
      <w:r>
        <w:rPr>
          <w:rFonts w:hint="eastAsia" w:ascii="宋体" w:hAnsi="宋体" w:cs="宋体"/>
          <w:b/>
          <w:sz w:val="24"/>
          <w:highlight w:val="none"/>
        </w:rPr>
        <w:t>、</w:t>
      </w:r>
      <w:r>
        <w:rPr>
          <w:rFonts w:hint="eastAsia" w:ascii="宋体" w:hAnsi="宋体" w:eastAsia="宋体" w:cs="宋体"/>
          <w:b/>
          <w:kern w:val="2"/>
          <w:sz w:val="24"/>
          <w:szCs w:val="24"/>
          <w:highlight w:val="none"/>
          <w:lang w:val="en-US" w:eastAsia="zh-CN" w:bidi="ar-SA"/>
        </w:rPr>
        <w:t>封闭式</w:t>
      </w:r>
      <w:r>
        <w:rPr>
          <w:rFonts w:hint="eastAsia" w:ascii="宋体" w:hAnsi="宋体" w:cs="宋体"/>
          <w:b/>
          <w:sz w:val="24"/>
          <w:highlight w:val="none"/>
        </w:rPr>
        <w:t>、〖</w:t>
      </w:r>
      <w:r>
        <w:rPr>
          <w:rFonts w:hint="eastAsia" w:ascii="宋体" w:hAnsi="宋体" w:eastAsia="宋体" w:cs="宋体"/>
          <w:b/>
          <w:kern w:val="2"/>
          <w:sz w:val="24"/>
          <w:szCs w:val="24"/>
          <w:highlight w:val="none"/>
          <w:lang w:val="en-US" w:eastAsia="zh-CN" w:bidi="ar-SA"/>
        </w:rPr>
        <w:t>固定收益类</w:t>
      </w:r>
      <w:r>
        <w:rPr>
          <w:rFonts w:hint="eastAsia" w:ascii="宋体" w:hAnsi="宋体" w:cs="宋体"/>
          <w:b/>
          <w:sz w:val="24"/>
          <w:highlight w:val="none"/>
        </w:rPr>
        <w:t>〗净值型理财计划，〖</w:t>
      </w:r>
      <w:r>
        <w:rPr>
          <w:rFonts w:hint="eastAsia" w:ascii="宋体" w:hAnsi="宋体" w:eastAsia="宋体" w:cs="宋体"/>
          <w:b/>
          <w:kern w:val="2"/>
          <w:sz w:val="24"/>
          <w:szCs w:val="24"/>
          <w:highlight w:val="none"/>
          <w:lang w:val="en-US" w:eastAsia="zh-CN" w:bidi="ar-SA"/>
        </w:rPr>
        <w:t>386</w:t>
      </w:r>
      <w:r>
        <w:rPr>
          <w:rFonts w:hint="eastAsia" w:ascii="宋体" w:hAnsi="宋体" w:cs="宋体"/>
          <w:b/>
          <w:sz w:val="24"/>
          <w:highlight w:val="none"/>
        </w:rPr>
        <w:t>〗</w:t>
      </w:r>
      <w:r>
        <w:rPr>
          <w:rFonts w:hint="eastAsia" w:ascii="宋体" w:hAnsi="宋体" w:cs="宋体"/>
          <w:b/>
          <w:sz w:val="24"/>
          <w:highlight w:val="none"/>
          <w:lang w:eastAsia="zh"/>
        </w:rPr>
        <w:t>天</w:t>
      </w:r>
      <w:r>
        <w:rPr>
          <w:rFonts w:hint="eastAsia" w:ascii="宋体" w:hAnsi="宋体" w:cs="宋体"/>
          <w:bCs/>
          <w:color w:val="000000"/>
          <w:sz w:val="24"/>
          <w:highlight w:val="none"/>
          <w:lang w:eastAsia="zh-CN"/>
        </w:rPr>
        <w:t>，</w:t>
      </w:r>
      <w:r>
        <w:rPr>
          <w:rFonts w:hint="eastAsia" w:ascii="宋体" w:hAnsi="宋体" w:cs="宋体"/>
          <w:b/>
          <w:sz w:val="24"/>
          <w:highlight w:val="none"/>
        </w:rPr>
        <w:t>不保证本金与收益。</w:t>
      </w:r>
      <w:r>
        <w:rPr>
          <w:rFonts w:hint="eastAsia" w:ascii="宋体" w:hAnsi="宋体" w:cs="宋体"/>
          <w:b/>
          <w:sz w:val="24"/>
          <w:highlight w:val="none"/>
          <w:lang w:val="en-US" w:eastAsia="zh-CN"/>
        </w:rPr>
        <w:t>理财计划过往业绩不代表其未来表现，不等于理财计划实际收益，投资须谨慎！</w:t>
      </w:r>
      <w:r>
        <w:rPr>
          <w:rFonts w:hint="eastAsia" w:ascii="宋体" w:hAnsi="宋体" w:cs="宋体"/>
          <w:b/>
          <w:sz w:val="24"/>
          <w:highlight w:val="none"/>
        </w:rPr>
        <w:t>根据本公司理财产品内部风险评级，该理财计划风险评级结果为〖</w:t>
      </w:r>
      <w:r>
        <w:rPr>
          <w:rFonts w:hint="eastAsia" w:ascii="宋体" w:hAnsi="宋体" w:eastAsia="宋体" w:cs="宋体"/>
          <w:b/>
          <w:kern w:val="2"/>
          <w:sz w:val="24"/>
          <w:szCs w:val="24"/>
          <w:highlight w:val="none"/>
          <w:lang w:val="en-US" w:eastAsia="zh-CN" w:bidi="ar-SA"/>
        </w:rPr>
        <w:t>R2</w:t>
      </w:r>
      <w:r>
        <w:rPr>
          <w:rFonts w:hint="eastAsia" w:ascii="宋体" w:hAnsi="宋体" w:cs="宋体"/>
          <w:b/>
          <w:sz w:val="24"/>
          <w:highlight w:val="none"/>
        </w:rPr>
        <w:t>〗,〖</w:t>
      </w:r>
      <w:r>
        <w:rPr>
          <w:rFonts w:hint="eastAsia" w:ascii="宋体" w:hAnsi="宋体" w:eastAsia="宋体" w:cs="宋体"/>
          <w:b/>
          <w:kern w:val="2"/>
          <w:sz w:val="24"/>
          <w:szCs w:val="24"/>
          <w:highlight w:val="none"/>
          <w:lang w:val="en-US" w:eastAsia="zh-CN" w:bidi="ar-SA"/>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w:t>
      </w:r>
      <w:r>
        <w:rPr>
          <w:rFonts w:hint="eastAsia" w:ascii="宋体" w:hAnsi="宋体" w:eastAsia="宋体" w:cs="宋体"/>
          <w:b/>
          <w:kern w:val="2"/>
          <w:sz w:val="24"/>
          <w:szCs w:val="24"/>
          <w:highlight w:val="none"/>
          <w:lang w:val="en-US" w:eastAsia="zh-CN" w:bidi="ar-SA"/>
        </w:rPr>
        <w:t>程度较低，收益波动较小，虽然存在一些可能对产品本金和收益安全产生不利影响的因素，但产品本金出现损失的可能性较小</w:t>
      </w:r>
      <w:r>
        <w:rPr>
          <w:rFonts w:hint="eastAsia" w:ascii="宋体" w:hAnsi="宋体" w:cs="宋体"/>
          <w:b/>
          <w:sz w:val="24"/>
          <w:highlight w:val="none"/>
        </w:rPr>
        <w:t>〗。</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w:t>
      </w:r>
      <w:r>
        <w:rPr>
          <w:rFonts w:hint="eastAsia" w:ascii="宋体" w:hAnsi="宋体" w:eastAsia="宋体" w:cs="宋体"/>
          <w:b/>
          <w:kern w:val="2"/>
          <w:sz w:val="24"/>
          <w:szCs w:val="24"/>
          <w:highlight w:val="none"/>
          <w:lang w:val="en-US" w:eastAsia="zh-CN" w:bidi="ar-SA"/>
        </w:rPr>
        <w:t>〖机构投资者〗以及〖稳健型、平衡型、成长型、进取型〗的个人投资者</w:t>
      </w:r>
      <w:r>
        <w:rPr>
          <w:rFonts w:hint="eastAsia" w:ascii="宋体" w:hAnsi="宋体" w:cs="宋体"/>
          <w:b/>
          <w:sz w:val="24"/>
          <w:highlight w:val="none"/>
          <w:lang w:eastAsia="zh-CN"/>
        </w:rPr>
        <w:t>。</w:t>
      </w:r>
      <w:r>
        <w:rPr>
          <w:rFonts w:hint="eastAsia" w:ascii="宋体" w:hAnsi="宋体" w:cs="宋体"/>
          <w:b w:val="0"/>
          <w:bCs/>
          <w:sz w:val="24"/>
          <w:highlight w:val="none"/>
          <w:lang w:val="en-US" w:eastAsia="zh-CN"/>
        </w:rPr>
        <w:t>本理财计划投资者适当性评估由销售机构负责，销售机构</w:t>
      </w:r>
      <w:r>
        <w:rPr>
          <w:rFonts w:hint="eastAsia" w:ascii="宋体" w:hAnsi="宋体" w:cs="宋体"/>
          <w:bCs/>
          <w:sz w:val="24"/>
          <w:highlight w:val="none"/>
        </w:rPr>
        <w:t>应确保个人投资者的风险承受能力不低于本理财计划风险评级。</w:t>
      </w:r>
      <w:r>
        <w:rPr>
          <w:rFonts w:hint="eastAsia" w:ascii="宋体" w:hAnsi="宋体" w:cs="宋体"/>
          <w:bCs/>
          <w:sz w:val="24"/>
          <w:highlight w:val="none"/>
          <w:lang w:val="en-US" w:eastAsia="zh-CN"/>
        </w:rPr>
        <w:t>如个人投资者的风险承受能力评估已超一年，或影响投资者风险承受能力的因素发生变化，请及时完成风险承受能力的重新评估，并对评估结果的有效性进行确认。</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
          <w:color w:val="auto"/>
          <w:highlight w:val="none"/>
        </w:rPr>
      </w:pPr>
      <w:r>
        <w:rPr>
          <w:rFonts w:hint="eastAsia" w:ascii="宋体" w:hAnsi="宋体" w:cs="宋体"/>
          <w:bCs/>
          <w:sz w:val="24"/>
          <w:highlight w:val="none"/>
        </w:rPr>
        <w:t>风险提示方：杭银理财有限责任公司</w:t>
      </w:r>
    </w:p>
    <w:p>
      <w:pPr>
        <w:rPr>
          <w:rFonts w:hint="eastAsia" w:ascii="宋体" w:hAnsi="宋体" w:cs="宋体"/>
          <w:b/>
          <w:color w:val="auto"/>
          <w:highlight w:val="none"/>
        </w:rPr>
      </w:pPr>
      <w:r>
        <w:rPr>
          <w:rFonts w:hint="eastAsia" w:ascii="宋体" w:hAnsi="宋体" w:cs="宋体"/>
          <w:b/>
          <w:color w:val="auto"/>
          <w:highlight w:val="none"/>
        </w:rPr>
        <w:br w:type="page"/>
      </w:r>
    </w:p>
    <w:p>
      <w:pPr>
        <w:pStyle w:val="17"/>
        <w:pageBreakBefore/>
        <w:widowControl/>
        <w:spacing w:line="360" w:lineRule="auto"/>
        <w:ind w:left="0" w:leftChars="0"/>
        <w:jc w:val="center"/>
        <w:outlineLvl w:val="9"/>
        <w:rPr>
          <w:rFonts w:hint="eastAsia" w:ascii="宋体" w:hAnsi="宋体" w:cs="宋体"/>
          <w:b/>
          <w:color w:val="auto"/>
          <w:highlight w:val="none"/>
        </w:rPr>
      </w:pPr>
      <w:r>
        <w:rPr>
          <w:rFonts w:hint="eastAsia" w:ascii="宋体" w:hAnsi="宋体" w:cs="宋体"/>
          <w:b/>
          <w:color w:val="auto"/>
          <w:highlight w:val="none"/>
        </w:rPr>
        <w:t>投资者确认栏（个人投资者填写）</w:t>
      </w:r>
    </w:p>
    <w:p>
      <w:pPr>
        <w:pStyle w:val="17"/>
        <w:spacing w:line="360" w:lineRule="auto"/>
        <w:jc w:val="both"/>
        <w:rPr>
          <w:rFonts w:hint="eastAsia" w:ascii="宋体" w:hAnsi="宋体" w:cs="宋体"/>
          <w:b/>
          <w:color w:val="auto"/>
          <w:highlight w:val="none"/>
        </w:rPr>
      </w:pPr>
    </w:p>
    <w:p>
      <w:pPr>
        <w:pStyle w:val="17"/>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7"/>
        <w:spacing w:line="360" w:lineRule="auto"/>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7"/>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如超过一年未进行风险承受能力评估或影响本人风险承受能力的因素发生变化，本人将于再次购买理财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7"/>
        <w:spacing w:line="360" w:lineRule="auto"/>
        <w:ind w:firstLine="472" w:firstLineChars="196"/>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7"/>
        <w:spacing w:line="360" w:lineRule="auto"/>
        <w:ind w:firstLine="472" w:firstLineChars="196"/>
        <w:jc w:val="both"/>
        <w:rPr>
          <w:rFonts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7"/>
        <w:spacing w:line="360" w:lineRule="auto"/>
        <w:ind w:firstLine="360" w:firstLineChars="15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7"/>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pStyle w:val="17"/>
        <w:spacing w:line="360" w:lineRule="auto"/>
        <w:jc w:val="both"/>
        <w:rPr>
          <w:rFonts w:hint="eastAsia" w:ascii="宋体" w:hAnsi="宋体" w:cs="宋体"/>
          <w:color w:val="auto"/>
          <w:highlight w:val="none"/>
        </w:rPr>
      </w:pP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b/>
          <w:kern w:val="0"/>
          <w:szCs w:val="21"/>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br w:type="page"/>
      </w:r>
    </w:p>
    <w:p>
      <w:pPr>
        <w:pStyle w:val="17"/>
        <w:pageBreakBefore/>
        <w:widowControl/>
        <w:spacing w:line="360" w:lineRule="auto"/>
        <w:ind w:firstLine="482" w:firstLineChars="200"/>
        <w:jc w:val="center"/>
        <w:outlineLvl w:val="9"/>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ascii="宋体" w:hAnsi="宋体" w:cs="宋体"/>
          <w:bCs/>
          <w:color w:val="000000"/>
          <w:sz w:val="24"/>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rPr>
          <w:rFonts w:ascii="宋体" w:hAnsi="宋体" w:cs="宋体"/>
          <w:bCs/>
          <w:color w:val="000000"/>
          <w:sz w:val="24"/>
          <w:highlight w:val="none"/>
        </w:rPr>
      </w:pPr>
      <w:r>
        <w:rPr>
          <w:rFonts w:ascii="宋体" w:hAnsi="宋体" w:cs="宋体"/>
          <w:bCs/>
          <w:color w:val="000000"/>
          <w:sz w:val="24"/>
          <w:highlight w:val="none"/>
        </w:rPr>
        <w:br w:type="page"/>
      </w:r>
    </w:p>
    <w:p>
      <w:pPr>
        <w:pageBreakBefore/>
        <w:widowControl/>
        <w:ind w:left="0" w:leftChars="0" w:firstLine="0" w:firstLineChars="0"/>
        <w:jc w:val="center"/>
        <w:rPr>
          <w:rFonts w:hint="eastAsia" w:ascii="宋体" w:hAnsi="宋体" w:cs="宋体"/>
          <w:b/>
          <w:bCs/>
          <w:sz w:val="44"/>
          <w:szCs w:val="44"/>
          <w:highlight w:val="none"/>
        </w:rPr>
      </w:pPr>
      <w:r>
        <w:rPr>
          <w:rFonts w:hint="eastAsia" w:ascii="宋体" w:hAnsi="宋体" w:eastAsia="宋体" w:cs="宋体"/>
          <w:b/>
          <w:bCs/>
          <w:kern w:val="2"/>
          <w:sz w:val="44"/>
          <w:szCs w:val="44"/>
          <w:highlight w:val="none"/>
          <w:lang w:val="en-US" w:eastAsia="zh" w:bidi="ar-SA"/>
        </w:rPr>
        <w:t>幸福99丰裕固收386天26078期理财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w:t>
      </w:r>
      <w:r>
        <w:rPr>
          <w:rFonts w:hint="eastAsia" w:ascii="宋体" w:hAnsi="宋体" w:cs="宋体"/>
          <w:sz w:val="28"/>
          <w:szCs w:val="28"/>
          <w:highlight w:val="none"/>
          <w:lang w:eastAsia="zh-CN"/>
        </w:rPr>
        <w:t>202502</w:t>
      </w:r>
      <w:r>
        <w:rPr>
          <w:rFonts w:hint="eastAsia" w:ascii="宋体" w:hAnsi="宋体" w:cs="宋体"/>
          <w:sz w:val="28"/>
          <w:szCs w:val="28"/>
          <w:highlight w:val="none"/>
        </w:rPr>
        <w:t>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w:t>
      </w:r>
      <w:r>
        <w:rPr>
          <w:rFonts w:hint="eastAsia" w:ascii="宋体" w:hAnsi="宋体" w:eastAsia="宋体" w:cs="宋体"/>
          <w:bCs/>
          <w:kern w:val="2"/>
          <w:sz w:val="24"/>
          <w:szCs w:val="24"/>
          <w:highlight w:val="none"/>
          <w:lang w:val="en-US" w:eastAsia="zh-CN" w:bidi="ar-SA"/>
        </w:rPr>
        <w:t>Z7002226000171</w:t>
      </w:r>
      <w:r>
        <w:rPr>
          <w:rFonts w:hint="eastAsia" w:ascii="宋体" w:hAnsi="宋体" w:cs="宋体"/>
          <w:bCs/>
          <w:sz w:val="24"/>
          <w:highlight w:val="none"/>
        </w:rPr>
        <w:t>〗</w:t>
      </w:r>
    </w:p>
    <w:p>
      <w:pPr>
        <w:spacing w:line="360" w:lineRule="auto"/>
        <w:jc w:val="center"/>
        <w:rPr>
          <w:rFonts w:hint="eastAsia" w:ascii="宋体" w:hAnsi="宋体" w:cs="宋体"/>
          <w:bCs/>
          <w:sz w:val="24"/>
          <w:highlight w:val="none"/>
        </w:rPr>
      </w:pPr>
    </w:p>
    <w:p>
      <w:pPr>
        <w:numPr>
          <w:ilvl w:val="0"/>
          <w:numId w:val="9"/>
        </w:numPr>
        <w:spacing w:line="360" w:lineRule="auto"/>
        <w:jc w:val="left"/>
        <w:outlineLvl w:val="9"/>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jc w:val="left"/>
        <w:outlineLvl w:val="9"/>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jc w:val="left"/>
        <w:outlineLvl w:val="9"/>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jc w:val="left"/>
        <w:outlineLvl w:val="9"/>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jc w:val="left"/>
        <w:outlineLvl w:val="9"/>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jc w:val="left"/>
        <w:outlineLvl w:val="9"/>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理财计划投资协议书》《风险揭示书》《投资者权益须知》</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w:t>
      </w:r>
      <w:r>
        <w:rPr>
          <w:rFonts w:hint="eastAsia" w:ascii="宋体" w:hAnsi="宋体" w:cs="宋体"/>
          <w:bCs/>
          <w:sz w:val="24"/>
          <w:highlight w:val="none"/>
          <w:lang w:val="en-US" w:eastAsia="zh-CN"/>
        </w:rPr>
        <w:t>销售文件</w:t>
      </w:r>
      <w:r>
        <w:rPr>
          <w:rFonts w:hint="eastAsia" w:ascii="宋体" w:hAnsi="宋体" w:cs="宋体"/>
          <w:bCs/>
          <w:sz w:val="24"/>
          <w:highlight w:val="none"/>
        </w:rPr>
        <w:t>。</w:t>
      </w:r>
    </w:p>
    <w:p>
      <w:pPr>
        <w:numPr>
          <w:ilvl w:val="0"/>
          <w:numId w:val="10"/>
        </w:numPr>
        <w:spacing w:line="360" w:lineRule="auto"/>
        <w:jc w:val="left"/>
        <w:outlineLvl w:val="9"/>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jc w:val="left"/>
        <w:outlineLvl w:val="9"/>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jc w:val="left"/>
        <w:outlineLvl w:val="9"/>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jc w:val="left"/>
        <w:outlineLvl w:val="9"/>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jc w:val="left"/>
        <w:outlineLvl w:val="9"/>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jc w:val="left"/>
        <w:outlineLvl w:val="9"/>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在本理财计划存续期内，如因监管政策或法律法规发生变化，在不损害投资者利益的前提下，管理人有权对</w:t>
      </w:r>
      <w:r>
        <w:rPr>
          <w:rFonts w:hint="eastAsia" w:ascii="宋体" w:hAnsi="宋体" w:cs="宋体"/>
          <w:bCs/>
          <w:sz w:val="24"/>
          <w:highlight w:val="none"/>
          <w:lang w:val="en-US" w:eastAsia="zh-CN"/>
        </w:rPr>
        <w:t>因上述变化导致的</w:t>
      </w:r>
      <w:r>
        <w:rPr>
          <w:rFonts w:hint="eastAsia" w:ascii="宋体" w:hAnsi="宋体" w:cs="宋体"/>
          <w:bCs/>
          <w:sz w:val="24"/>
          <w:highlight w:val="none"/>
        </w:rPr>
        <w:t>本理财计划说明书条款</w:t>
      </w:r>
      <w:r>
        <w:rPr>
          <w:rFonts w:hint="eastAsia" w:ascii="宋体" w:hAnsi="宋体" w:cs="宋体"/>
          <w:bCs/>
          <w:sz w:val="24"/>
          <w:highlight w:val="none"/>
          <w:lang w:val="en-US" w:eastAsia="zh-CN"/>
        </w:rPr>
        <w:t>变化</w:t>
      </w:r>
      <w:r>
        <w:rPr>
          <w:rFonts w:hint="eastAsia" w:ascii="宋体" w:hAnsi="宋体" w:cs="宋体"/>
          <w:bCs/>
          <w:sz w:val="24"/>
          <w:highlight w:val="none"/>
        </w:rPr>
        <w:t>进行修订。</w:t>
      </w:r>
    </w:p>
    <w:p>
      <w:pPr>
        <w:numPr>
          <w:ilvl w:val="0"/>
          <w:numId w:val="10"/>
        </w:numPr>
        <w:spacing w:line="360" w:lineRule="auto"/>
        <w:jc w:val="left"/>
        <w:outlineLvl w:val="9"/>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jc w:val="left"/>
        <w:outlineLvl w:val="9"/>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spacing w:line="360" w:lineRule="auto"/>
        <w:jc w:val="left"/>
        <w:rPr>
          <w:rFonts w:hint="eastAsia" w:ascii="宋体" w:hAnsi="宋体" w:cs="宋体"/>
          <w:bCs/>
          <w:sz w:val="24"/>
          <w:highlight w:val="none"/>
        </w:rPr>
      </w:pPr>
    </w:p>
    <w:p>
      <w:pPr>
        <w:numPr>
          <w:ilvl w:val="0"/>
          <w:numId w:val="11"/>
        </w:numPr>
        <w:spacing w:line="360" w:lineRule="auto"/>
        <w:jc w:val="left"/>
        <w:outlineLvl w:val="9"/>
        <w:rPr>
          <w:rFonts w:ascii="宋体" w:hAnsi="宋体" w:cs="宋体"/>
          <w:b/>
          <w:sz w:val="24"/>
          <w:highlight w:val="none"/>
        </w:rPr>
      </w:pPr>
      <w:r>
        <w:rPr>
          <w:rFonts w:hint="eastAsia" w:ascii="宋体" w:hAnsi="宋体" w:cs="宋体"/>
          <w:b/>
          <w:sz w:val="24"/>
          <w:highlight w:val="none"/>
        </w:rPr>
        <w:t>释义</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7"/>
        <w:numPr>
          <w:ilvl w:val="0"/>
          <w:numId w:val="12"/>
        </w:numPr>
        <w:adjustRightInd/>
        <w:spacing w:line="360" w:lineRule="auto"/>
        <w:outlineLvl w:val="9"/>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7"/>
        <w:numPr>
          <w:ilvl w:val="0"/>
          <w:numId w:val="13"/>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lang w:eastAsia="zh-CN"/>
        </w:rPr>
        <w:t>，</w:t>
      </w:r>
      <w:r>
        <w:rPr>
          <w:rFonts w:hint="eastAsia" w:ascii="宋体" w:hAnsi="宋体" w:cs="宋体"/>
          <w:bCs/>
          <w:color w:val="auto"/>
          <w:kern w:val="2"/>
          <w:highlight w:val="none"/>
          <w:u w:val="none"/>
          <w:lang w:val="en-US" w:eastAsia="zh-CN"/>
        </w:rPr>
        <w:t>客服电话400-8950-999</w:t>
      </w:r>
      <w:r>
        <w:rPr>
          <w:rFonts w:hint="eastAsia" w:ascii="宋体" w:hAnsi="宋体" w:cs="宋体"/>
          <w:bCs/>
          <w:color w:val="auto"/>
          <w:kern w:val="2"/>
          <w:highlight w:val="none"/>
          <w:u w:val="none"/>
        </w:rPr>
        <w:t>。</w:t>
      </w:r>
    </w:p>
    <w:p>
      <w:pPr>
        <w:pStyle w:val="17"/>
        <w:numPr>
          <w:ilvl w:val="0"/>
          <w:numId w:val="13"/>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000000"/>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000000"/>
          <w:kern w:val="2"/>
          <w:highlight w:val="none"/>
          <w:u w:val="none"/>
        </w:rPr>
        <w:fldChar w:fldCharType="begin"/>
      </w:r>
      <w:r>
        <w:rPr>
          <w:rFonts w:hint="eastAsia" w:ascii="宋体" w:hAnsi="宋体" w:cs="宋体"/>
          <w:bCs/>
          <w:color w:val="000000"/>
          <w:kern w:val="2"/>
          <w:highlight w:val="none"/>
          <w:u w:val="none"/>
        </w:rPr>
        <w:instrText xml:space="preserve"> HYPERLINK "http://www.hzbank.com.cn" </w:instrText>
      </w:r>
      <w:r>
        <w:rPr>
          <w:rFonts w:hint="eastAsia" w:ascii="宋体" w:hAnsi="宋体" w:cs="宋体"/>
          <w:bCs/>
          <w:color w:val="000000"/>
          <w:kern w:val="2"/>
          <w:highlight w:val="none"/>
          <w:u w:val="none"/>
        </w:rPr>
        <w:fldChar w:fldCharType="separate"/>
      </w:r>
      <w:r>
        <w:rPr>
          <w:rFonts w:hint="eastAsia" w:ascii="宋体" w:hAnsi="宋体" w:cs="宋体"/>
          <w:bCs/>
          <w:color w:val="000000"/>
          <w:kern w:val="2"/>
          <w:highlight w:val="none"/>
          <w:u w:val="none"/>
        </w:rPr>
        <w:t>www.hzbank.com.cn</w:t>
      </w:r>
      <w:r>
        <w:rPr>
          <w:rFonts w:hint="eastAsia" w:ascii="宋体" w:hAnsi="宋体" w:cs="宋体"/>
          <w:bCs/>
          <w:color w:val="000000"/>
          <w:kern w:val="2"/>
          <w:highlight w:val="none"/>
          <w:u w:val="none"/>
        </w:rPr>
        <w:fldChar w:fldCharType="end"/>
      </w:r>
      <w:r>
        <w:rPr>
          <w:rFonts w:hint="eastAsia" w:ascii="宋体" w:hAnsi="宋体" w:cs="宋体"/>
          <w:bCs/>
          <w:color w:val="000000"/>
          <w:kern w:val="2"/>
          <w:highlight w:val="none"/>
        </w:rPr>
        <w:t>，客服热线为95398。</w:t>
      </w:r>
    </w:p>
    <w:p>
      <w:pPr>
        <w:pStyle w:val="17"/>
        <w:numPr>
          <w:ilvl w:val="0"/>
          <w:numId w:val="13"/>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eastAsia="宋体" w:cs="宋体"/>
          <w:color w:val="000000"/>
          <w:sz w:val="24"/>
          <w:szCs w:val="24"/>
          <w:highlight w:val="none"/>
          <w:lang w:val="en-US" w:eastAsia="zh-CN" w:bidi="ar-SA"/>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7"/>
        <w:numPr>
          <w:ilvl w:val="0"/>
          <w:numId w:val="13"/>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7"/>
        <w:numPr>
          <w:ilvl w:val="0"/>
          <w:numId w:val="13"/>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7"/>
        <w:numPr>
          <w:ilvl w:val="0"/>
          <w:numId w:val="13"/>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指对管理人（包括本理财计划管理人、所投资的信托计划/资管计划的管理人/受托人、相关投资顾问等）实施监督管理的机构，包括但不限于中国人民银行、</w:t>
      </w:r>
      <w:r>
        <w:rPr>
          <w:rFonts w:hint="eastAsia" w:ascii="宋体" w:hAnsi="宋体" w:cs="宋体"/>
          <w:bCs/>
          <w:color w:val="auto"/>
          <w:kern w:val="2"/>
          <w:highlight w:val="none"/>
          <w:lang w:eastAsia="zh-CN"/>
        </w:rPr>
        <w:t>国家金融监督管理总局</w:t>
      </w:r>
      <w:r>
        <w:rPr>
          <w:rFonts w:hint="eastAsia" w:ascii="宋体" w:hAnsi="宋体" w:cs="宋体"/>
          <w:bCs/>
          <w:color w:val="auto"/>
          <w:kern w:val="2"/>
          <w:highlight w:val="none"/>
        </w:rPr>
        <w:t>、中国证券监督管理委员会、外汇管理局、银行业理财登记托管中心等。</w:t>
      </w:r>
    </w:p>
    <w:p>
      <w:pPr>
        <w:pStyle w:val="17"/>
        <w:numPr>
          <w:ilvl w:val="0"/>
          <w:numId w:val="12"/>
        </w:numPr>
        <w:adjustRightInd/>
        <w:spacing w:line="360" w:lineRule="auto"/>
        <w:outlineLvl w:val="9"/>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7"/>
        <w:numPr>
          <w:ilvl w:val="0"/>
          <w:numId w:val="14"/>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理财</w:t>
      </w:r>
      <w:r>
        <w:rPr>
          <w:rFonts w:hint="eastAsia" w:ascii="宋体" w:hAnsi="宋体" w:cs="宋体"/>
          <w:b/>
          <w:color w:val="auto"/>
          <w:kern w:val="2"/>
          <w:highlight w:val="none"/>
          <w:lang w:val="en-US" w:eastAsia="zh-CN"/>
        </w:rPr>
        <w:t>计划</w:t>
      </w:r>
      <w:r>
        <w:rPr>
          <w:rFonts w:hint="eastAsia" w:ascii="宋体" w:hAnsi="宋体" w:cs="宋体"/>
          <w:b/>
          <w:color w:val="auto"/>
          <w:kern w:val="2"/>
          <w:highlight w:val="none"/>
        </w:rPr>
        <w:t>说明书/产品说明书：</w:t>
      </w:r>
      <w:r>
        <w:rPr>
          <w:rFonts w:hint="eastAsia" w:ascii="宋体" w:hAnsi="宋体" w:cs="宋体"/>
          <w:bCs/>
          <w:color w:val="auto"/>
          <w:kern w:val="2"/>
          <w:highlight w:val="none"/>
        </w:rPr>
        <w:t>指《</w:t>
      </w:r>
      <w:r>
        <w:rPr>
          <w:rFonts w:hint="eastAsia" w:ascii="宋体" w:hAnsi="宋体" w:eastAsia="宋体" w:cs="宋体"/>
          <w:bCs/>
          <w:color w:val="auto"/>
          <w:kern w:val="2"/>
          <w:sz w:val="24"/>
          <w:szCs w:val="24"/>
          <w:highlight w:val="none"/>
          <w:lang w:val="en-US" w:eastAsia="zh-CN" w:bidi="ar-SA"/>
        </w:rPr>
        <w:t>幸福99丰裕固收386天26078期理财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w:t>
      </w:r>
      <w:r>
        <w:rPr>
          <w:rFonts w:hint="eastAsia" w:ascii="宋体" w:hAnsi="宋体" w:eastAsia="宋体" w:cs="宋体"/>
          <w:bCs/>
          <w:color w:val="auto"/>
          <w:kern w:val="2"/>
          <w:sz w:val="24"/>
          <w:szCs w:val="24"/>
          <w:highlight w:val="none"/>
          <w:lang w:val="en-US" w:eastAsia="zh-CN" w:bidi="ar-SA"/>
        </w:rPr>
        <w:t>幸福99丰裕固收386天26078期理财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w:t>
      </w:r>
      <w:r>
        <w:rPr>
          <w:rFonts w:hint="eastAsia" w:ascii="宋体" w:hAnsi="宋体" w:eastAsia="宋体" w:cs="宋体"/>
          <w:bCs/>
          <w:color w:val="auto"/>
          <w:kern w:val="2"/>
          <w:sz w:val="24"/>
          <w:szCs w:val="24"/>
          <w:highlight w:val="none"/>
          <w:lang w:val="en-US" w:eastAsia="zh-CN" w:bidi="ar-SA"/>
        </w:rPr>
        <w:t>幸福99丰裕固收386天26078期理财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理财</w:t>
      </w:r>
      <w:r>
        <w:rPr>
          <w:rFonts w:hint="eastAsia" w:ascii="宋体" w:hAnsi="宋体" w:cs="宋体"/>
          <w:b/>
          <w:color w:val="auto"/>
          <w:kern w:val="2"/>
          <w:highlight w:val="none"/>
          <w:lang w:val="en-US" w:eastAsia="zh-CN"/>
        </w:rPr>
        <w:t>计划</w:t>
      </w:r>
      <w:r>
        <w:rPr>
          <w:rFonts w:hint="eastAsia" w:ascii="宋体" w:hAnsi="宋体" w:cs="宋体"/>
          <w:b/>
          <w:color w:val="auto"/>
          <w:kern w:val="2"/>
          <w:highlight w:val="none"/>
        </w:rPr>
        <w:t>投资协议书：</w:t>
      </w:r>
      <w:r>
        <w:rPr>
          <w:rFonts w:hint="eastAsia" w:ascii="宋体" w:hAnsi="宋体" w:cs="宋体"/>
          <w:bCs/>
          <w:color w:val="auto"/>
          <w:kern w:val="2"/>
          <w:highlight w:val="none"/>
        </w:rPr>
        <w:t>指作为</w:t>
      </w:r>
      <w:r>
        <w:rPr>
          <w:rFonts w:hint="eastAsia" w:ascii="宋体" w:hAnsi="宋体" w:eastAsia="宋体" w:cs="宋体"/>
          <w:bCs/>
          <w:color w:val="auto"/>
          <w:kern w:val="2"/>
          <w:sz w:val="24"/>
          <w:szCs w:val="24"/>
          <w:highlight w:val="none"/>
          <w:lang w:val="en-US" w:eastAsia="zh-CN" w:bidi="ar-SA"/>
        </w:rPr>
        <w:t>幸福99丰裕固收386天26078期理财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w:t>
      </w:r>
      <w:r>
        <w:rPr>
          <w:rFonts w:hint="eastAsia" w:ascii="宋体" w:hAnsi="宋体" w:cs="宋体"/>
          <w:b/>
          <w:bCs w:val="0"/>
          <w:color w:val="auto"/>
          <w:kern w:val="2"/>
          <w:highlight w:val="none"/>
          <w:lang w:val="en-US" w:eastAsia="zh-CN"/>
        </w:rPr>
        <w:t>计划</w:t>
      </w:r>
      <w:r>
        <w:rPr>
          <w:rFonts w:hint="eastAsia" w:ascii="宋体" w:hAnsi="宋体" w:cs="宋体"/>
          <w:b/>
          <w:bCs w:val="0"/>
          <w:color w:val="auto"/>
          <w:kern w:val="2"/>
          <w:highlight w:val="none"/>
          <w:lang w:eastAsia="zh-CN"/>
        </w:rPr>
        <w:t>销售协议书：</w:t>
      </w:r>
      <w:r>
        <w:rPr>
          <w:rFonts w:hint="eastAsia" w:ascii="宋体" w:hAnsi="宋体" w:cs="宋体"/>
          <w:bCs/>
          <w:color w:val="auto"/>
          <w:kern w:val="2"/>
          <w:highlight w:val="none"/>
          <w:lang w:eastAsia="zh-CN"/>
        </w:rPr>
        <w:t>指作为</w:t>
      </w:r>
      <w:r>
        <w:rPr>
          <w:rFonts w:hint="eastAsia" w:ascii="宋体" w:hAnsi="宋体" w:eastAsia="宋体" w:cs="宋体"/>
          <w:bCs/>
          <w:color w:val="auto"/>
          <w:kern w:val="2"/>
          <w:sz w:val="24"/>
          <w:szCs w:val="24"/>
          <w:highlight w:val="none"/>
          <w:lang w:val="en-US" w:eastAsia="zh-CN" w:bidi="ar-SA"/>
        </w:rPr>
        <w:t>幸福99丰裕固收386天26078期理财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7"/>
        <w:numPr>
          <w:ilvl w:val="0"/>
          <w:numId w:val="14"/>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理财</w:t>
      </w:r>
      <w:r>
        <w:rPr>
          <w:rFonts w:hint="eastAsia" w:ascii="宋体" w:hAnsi="宋体" w:cs="宋体"/>
          <w:b/>
          <w:color w:val="auto"/>
          <w:kern w:val="2"/>
          <w:highlight w:val="none"/>
          <w:lang w:val="en-US" w:eastAsia="zh-CN"/>
        </w:rPr>
        <w:t>计划</w:t>
      </w:r>
      <w:r>
        <w:rPr>
          <w:rFonts w:hint="eastAsia" w:ascii="宋体" w:hAnsi="宋体" w:cs="宋体"/>
          <w:b/>
          <w:color w:val="auto"/>
          <w:kern w:val="2"/>
          <w:highlight w:val="none"/>
        </w:rPr>
        <w:t>合同/销售文件：</w:t>
      </w:r>
      <w:r>
        <w:rPr>
          <w:rFonts w:hint="eastAsia" w:ascii="宋体" w:hAnsi="宋体" w:cs="宋体"/>
          <w:bCs/>
          <w:color w:val="auto"/>
          <w:kern w:val="2"/>
          <w:highlight w:val="none"/>
        </w:rPr>
        <w:t>指《理财</w:t>
      </w:r>
      <w:r>
        <w:rPr>
          <w:rFonts w:hint="eastAsia" w:ascii="宋体" w:hAnsi="宋体" w:cs="宋体"/>
          <w:bCs/>
          <w:color w:val="auto"/>
          <w:kern w:val="2"/>
          <w:highlight w:val="none"/>
          <w:lang w:val="en-US" w:eastAsia="zh-CN"/>
        </w:rPr>
        <w:t>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w:t>
      </w:r>
      <w:r>
        <w:rPr>
          <w:rFonts w:hint="eastAsia" w:ascii="宋体" w:hAnsi="宋体" w:cs="宋体"/>
          <w:bCs/>
          <w:color w:val="auto"/>
          <w:kern w:val="2"/>
          <w:highlight w:val="none"/>
          <w:lang w:val="en-US" w:eastAsia="zh-CN"/>
        </w:rPr>
        <w:t>计划</w:t>
      </w:r>
      <w:r>
        <w:rPr>
          <w:rFonts w:hint="eastAsia" w:ascii="宋体" w:hAnsi="宋体" w:cs="宋体"/>
          <w:bCs/>
          <w:color w:val="auto"/>
          <w:kern w:val="2"/>
          <w:highlight w:val="none"/>
          <w:lang w:eastAsia="zh-CN"/>
        </w:rPr>
        <w:t>产品说明</w:t>
      </w:r>
      <w:r>
        <w:rPr>
          <w:rFonts w:hint="eastAsia" w:ascii="宋体" w:hAnsi="宋体" w:cs="宋体"/>
          <w:bCs/>
          <w:color w:val="auto"/>
          <w:kern w:val="2"/>
          <w:highlight w:val="none"/>
        </w:rPr>
        <w:t>书》《投资者权益须知》《理财</w:t>
      </w:r>
      <w:r>
        <w:rPr>
          <w:rFonts w:hint="eastAsia" w:ascii="宋体" w:hAnsi="宋体" w:cs="宋体"/>
          <w:bCs/>
          <w:color w:val="auto"/>
          <w:kern w:val="2"/>
          <w:highlight w:val="none"/>
          <w:lang w:val="en-US" w:eastAsia="zh-CN"/>
        </w:rPr>
        <w:t>计划</w:t>
      </w:r>
      <w:r>
        <w:rPr>
          <w:rFonts w:hint="eastAsia" w:ascii="宋体" w:hAnsi="宋体" w:cs="宋体"/>
          <w:bCs/>
          <w:color w:val="auto"/>
          <w:kern w:val="2"/>
          <w:highlight w:val="none"/>
        </w:rPr>
        <w:t>投资协议书》</w:t>
      </w:r>
      <w:r>
        <w:rPr>
          <w:rFonts w:hint="eastAsia" w:ascii="宋体" w:hAnsi="宋体" w:cs="宋体"/>
          <w:bCs/>
          <w:color w:val="auto"/>
          <w:kern w:val="2"/>
          <w:highlight w:val="none"/>
          <w:lang w:eastAsia="zh-CN"/>
        </w:rPr>
        <w:t>《理财</w:t>
      </w:r>
      <w:r>
        <w:rPr>
          <w:rFonts w:hint="eastAsia" w:ascii="宋体" w:hAnsi="宋体" w:cs="宋体"/>
          <w:bCs/>
          <w:color w:val="auto"/>
          <w:kern w:val="2"/>
          <w:highlight w:val="none"/>
          <w:lang w:val="en-US" w:eastAsia="zh-CN"/>
        </w:rPr>
        <w:t>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17"/>
        <w:numPr>
          <w:ilvl w:val="0"/>
          <w:numId w:val="12"/>
        </w:numPr>
        <w:adjustRightInd/>
        <w:spacing w:line="360" w:lineRule="auto"/>
        <w:outlineLvl w:val="9"/>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w:t>
      </w:r>
      <w:r>
        <w:rPr>
          <w:rFonts w:hint="eastAsia" w:ascii="宋体" w:hAnsi="宋体" w:eastAsia="宋体" w:cs="宋体"/>
          <w:bCs/>
          <w:color w:val="auto"/>
          <w:kern w:val="2"/>
          <w:sz w:val="24"/>
          <w:szCs w:val="24"/>
          <w:highlight w:val="none"/>
          <w:lang w:val="en-US" w:eastAsia="zh-CN" w:bidi="ar-SA"/>
        </w:rPr>
        <w:t>幸福99丰裕固收386天26078期理财</w:t>
      </w:r>
      <w:r>
        <w:rPr>
          <w:rFonts w:hint="eastAsia" w:ascii="宋体" w:hAnsi="宋体" w:cs="宋体"/>
          <w:bCs/>
          <w:highlight w:val="none"/>
        </w:rPr>
        <w:t>。</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highlight w:val="none"/>
        </w:rPr>
        <w:t>指理财计划份额的单位净值，即每1份理财计划份额以人民币或外币（以产品说明书交易币种为准）计价的价格。</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7"/>
        <w:numPr>
          <w:ilvl w:val="0"/>
          <w:numId w:val="15"/>
        </w:numPr>
        <w:adjustRightInd/>
        <w:spacing w:line="360" w:lineRule="auto"/>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7"/>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w:t>
      </w:r>
      <w:r>
        <w:rPr>
          <w:rFonts w:hint="eastAsia" w:ascii="宋体" w:hAnsi="宋体" w:cs="宋体"/>
          <w:szCs w:val="21"/>
          <w:highlight w:val="none"/>
        </w:rPr>
        <w:t>〖</w:t>
      </w:r>
      <w:r>
        <w:rPr>
          <w:rFonts w:hint="eastAsia" w:ascii="宋体" w:hAnsi="宋体" w:cs="宋体"/>
          <w:bCs/>
          <w:color w:val="000000"/>
          <w:highlight w:val="none"/>
        </w:rPr>
        <w:t>上海证券交易所、深圳证券交易所</w:t>
      </w:r>
      <w:r>
        <w:rPr>
          <w:rFonts w:hint="eastAsia" w:ascii="宋体" w:hAnsi="宋体" w:cs="宋体"/>
          <w:szCs w:val="21"/>
          <w:highlight w:val="none"/>
        </w:rPr>
        <w:t>〗</w:t>
      </w:r>
      <w:r>
        <w:rPr>
          <w:rFonts w:hint="eastAsia" w:ascii="宋体" w:hAnsi="宋体" w:cs="宋体"/>
          <w:bCs/>
          <w:highlight w:val="none"/>
        </w:rPr>
        <w:t>的正常交易日。</w:t>
      </w:r>
      <w:r>
        <w:rPr>
          <w:rFonts w:hint="eastAsia" w:ascii="宋体" w:hAnsi="宋体" w:cs="宋体"/>
          <w:bCs/>
          <w:highlight w:val="none"/>
          <w:lang w:val="en-US" w:eastAsia="zh-CN"/>
        </w:rPr>
        <w:t>如涉及到监管条例部分，统一以监管条例表述替代。</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如因国家相关主管部门临时调整节假日安排，导致原定成立日、到期日、估值日等日期安排发生变化的，原则上采用顺延方式对原定日期进行调整，如有特殊安排，以管理人对外披露的公告为准。</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7"/>
        <w:numPr>
          <w:ilvl w:val="0"/>
          <w:numId w:val="15"/>
        </w:numPr>
        <w:adjustRightInd/>
        <w:spacing w:line="360" w:lineRule="auto"/>
        <w:rPr>
          <w:rFonts w:hint="eastAsia" w:ascii="宋体" w:hAnsi="宋体" w:cs="宋体"/>
          <w:b/>
          <w:bCs w:val="0"/>
          <w:color w:val="auto"/>
          <w:kern w:val="2"/>
          <w:highlight w:val="none"/>
        </w:rPr>
      </w:pPr>
      <w:r>
        <w:rPr>
          <w:rFonts w:hint="eastAsia" w:ascii="宋体" w:hAnsi="宋体" w:cs="宋体"/>
          <w:b/>
          <w:bCs w:val="0"/>
          <w:color w:val="auto"/>
          <w:kern w:val="2"/>
          <w:highlight w:val="none"/>
          <w:lang w:val="en-US" w:eastAsia="zh-CN"/>
        </w:rPr>
        <w:t>流动性</w:t>
      </w:r>
      <w:r>
        <w:rPr>
          <w:rFonts w:hint="eastAsia"/>
          <w:b/>
          <w:bCs w:val="0"/>
          <w:highlight w:val="none"/>
          <w:lang w:val="en-US" w:eastAsia="zh-CN"/>
        </w:rPr>
        <w:t>受限资产：</w:t>
      </w:r>
      <w:r>
        <w:rPr>
          <w:rFonts w:hint="eastAsia"/>
          <w:highlight w:val="none"/>
          <w:lang w:val="en-US" w:eastAsia="zh-CN"/>
        </w:rPr>
        <w:t>是指由于法律法规、监管、合同或操作障碍等原因无法以合理价格予以变现的资产，包括到期日在</w:t>
      </w:r>
      <w:r>
        <w:rPr>
          <w:rFonts w:hint="eastAsia" w:ascii="宋体" w:hAnsi="宋体" w:eastAsia="宋体" w:cs="宋体"/>
          <w:highlight w:val="none"/>
          <w:lang w:val="en-US" w:eastAsia="zh-CN"/>
        </w:rPr>
        <w:t>10</w:t>
      </w:r>
      <w:r>
        <w:rPr>
          <w:rFonts w:hint="eastAsia"/>
          <w:highlight w:val="none"/>
          <w:lang w:val="en-US" w:eastAsia="zh-CN"/>
        </w:rPr>
        <w:t>个交易日以上的逆回购与银行定期存款（含协议约定有条件提前支取的银行存款）、距可赎回日在</w:t>
      </w:r>
      <w:r>
        <w:rPr>
          <w:rFonts w:hint="eastAsia" w:ascii="宋体" w:hAnsi="宋体" w:eastAsia="宋体" w:cs="宋体"/>
          <w:highlight w:val="none"/>
          <w:lang w:val="en-US" w:eastAsia="zh-CN"/>
        </w:rPr>
        <w:t>10</w:t>
      </w:r>
      <w:r>
        <w:rPr>
          <w:rFonts w:hint="eastAsia"/>
          <w:highlight w:val="none"/>
          <w:lang w:val="en-US" w:eastAsia="zh-CN"/>
        </w:rPr>
        <w:t>个交易日以上的资产管理产品、停牌股票、流通受限的新股及非公开发行股票、资产支持证券（票据），因发行人债务违约无法进行转让或交易的债券和非金融企业债务融资工具，以及其他流动性受限资产。</w:t>
      </w:r>
    </w:p>
    <w:p>
      <w:pPr>
        <w:pStyle w:val="17"/>
        <w:numPr>
          <w:ilvl w:val="0"/>
          <w:numId w:val="15"/>
        </w:numPr>
        <w:adjustRightInd/>
        <w:spacing w:line="360" w:lineRule="auto"/>
        <w:rPr>
          <w:rFonts w:hint="eastAsia" w:ascii="宋体" w:hAnsi="宋体" w:cs="宋体"/>
          <w:b/>
          <w:bCs w:val="0"/>
          <w:color w:val="auto"/>
          <w:kern w:val="2"/>
          <w:highlight w:val="none"/>
        </w:rPr>
      </w:pPr>
      <w:r>
        <w:rPr>
          <w:rFonts w:hint="eastAsia"/>
          <w:b/>
          <w:bCs/>
          <w:highlight w:val="none"/>
          <w:lang w:val="en-US" w:eastAsia="zh-CN"/>
        </w:rPr>
        <w:t>投资退出期：</w:t>
      </w:r>
      <w:r>
        <w:rPr>
          <w:rFonts w:hint="eastAsia" w:ascii="Times New Roman" w:hAnsi="Times New Roman" w:eastAsia="宋体" w:cs="Times New Roman"/>
          <w:highlight w:val="none"/>
          <w:lang w:val="en-US" w:eastAsia="zh-CN"/>
        </w:rPr>
        <w:t>是指理财计划临近到期前，管理人通过资产变现用以进行资金交割清算的准备期。</w:t>
      </w:r>
    </w:p>
    <w:p>
      <w:pPr>
        <w:pStyle w:val="17"/>
        <w:numPr>
          <w:ilvl w:val="0"/>
          <w:numId w:val="12"/>
        </w:numPr>
        <w:adjustRightInd/>
        <w:spacing w:line="360" w:lineRule="auto"/>
        <w:outlineLvl w:val="9"/>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7"/>
        <w:numPr>
          <w:ilvl w:val="0"/>
          <w:numId w:val="16"/>
        </w:numPr>
        <w:adjustRightInd/>
        <w:spacing w:line="360" w:lineRule="auto"/>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7"/>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7"/>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7"/>
        <w:numPr>
          <w:ilvl w:val="0"/>
          <w:numId w:val="17"/>
        </w:numPr>
        <w:adjustRightInd/>
        <w:spacing w:line="360" w:lineRule="auto"/>
        <w:ind w:firstLine="482" w:firstLineChars="200"/>
        <w:rPr>
          <w:rFonts w:hint="eastAsia" w:ascii="宋体" w:hAnsi="宋体" w:cs="宋体"/>
          <w:b/>
          <w:bCs w:val="0"/>
          <w:color w:val="auto"/>
          <w:kern w:val="2"/>
          <w:highlight w:val="none"/>
        </w:rPr>
      </w:pPr>
      <w:r>
        <w:rPr>
          <w:rFonts w:hint="eastAsia" w:ascii="宋体" w:hAnsi="宋体" w:cs="宋体"/>
          <w:b/>
          <w:bCs w:val="0"/>
          <w:color w:val="auto"/>
          <w:kern w:val="2"/>
          <w:highlight w:val="none"/>
          <w:lang w:val="en-US" w:eastAsia="zh-CN"/>
        </w:rPr>
        <w:t>摆动定价机制：</w:t>
      </w:r>
      <w:r>
        <w:rPr>
          <w:rFonts w:hint="eastAsia" w:ascii="宋体" w:hAnsi="宋体" w:cs="宋体"/>
          <w:b w:val="0"/>
          <w:bCs/>
          <w:color w:val="auto"/>
          <w:kern w:val="2"/>
          <w:highlight w:val="none"/>
          <w:lang w:val="en-US" w:eastAsia="zh-CN"/>
        </w:rPr>
        <w:t>指当开放式公募理财计划遭遇大额申购或赎回时，通过调整理财计划份额净值的方式，将理财计划调整投资组合的市场冲击成本分配给实际认购、赎回的投资者，从而减少对存量理财计划份额持有人利益的不利影响。</w:t>
      </w:r>
    </w:p>
    <w:p>
      <w:pPr>
        <w:pStyle w:val="17"/>
        <w:numPr>
          <w:ilvl w:val="0"/>
          <w:numId w:val="17"/>
        </w:numPr>
        <w:adjustRightInd/>
        <w:spacing w:line="360" w:lineRule="auto"/>
        <w:ind w:firstLine="482" w:firstLineChars="200"/>
        <w:rPr>
          <w:rFonts w:hint="eastAsia" w:ascii="宋体" w:hAnsi="宋体" w:cs="宋体"/>
          <w:b/>
          <w:bCs w:val="0"/>
          <w:color w:val="auto"/>
          <w:kern w:val="2"/>
          <w:highlight w:val="none"/>
        </w:rPr>
      </w:pPr>
      <w:r>
        <w:rPr>
          <w:rFonts w:hint="eastAsia" w:ascii="宋体" w:hAnsi="宋体" w:cs="宋体"/>
          <w:b/>
          <w:bCs w:val="0"/>
          <w:color w:val="auto"/>
          <w:kern w:val="2"/>
          <w:highlight w:val="none"/>
          <w:lang w:val="en-US" w:eastAsia="zh-CN"/>
        </w:rPr>
        <w:t>短期赎回费机制：</w:t>
      </w:r>
      <w:r>
        <w:rPr>
          <w:rFonts w:hint="eastAsia" w:ascii="宋体" w:hAnsi="宋体" w:cs="宋体"/>
          <w:b w:val="0"/>
          <w:bCs/>
          <w:color w:val="auto"/>
          <w:kern w:val="2"/>
          <w:highlight w:val="none"/>
          <w:lang w:val="en-US" w:eastAsia="zh-CN"/>
        </w:rPr>
        <w:t>指当理财计划发生巨额赎回或管理人认为可能导致理财计划流动性风险的其他情形下，理财计划管理人可临时性收取短期赎回费以应对流动性风险事件，并将上述产生费用全额计入理财计划财产。</w:t>
      </w:r>
    </w:p>
    <w:p>
      <w:pPr>
        <w:pStyle w:val="17"/>
        <w:adjustRightInd/>
        <w:spacing w:line="360" w:lineRule="auto"/>
        <w:rPr>
          <w:rFonts w:hint="eastAsia" w:ascii="宋体" w:hAnsi="宋体" w:cs="宋体"/>
          <w:bCs/>
          <w:color w:val="auto"/>
          <w:kern w:val="2"/>
          <w:highlight w:val="none"/>
        </w:rPr>
      </w:pPr>
    </w:p>
    <w:p>
      <w:pPr>
        <w:pStyle w:val="17"/>
        <w:numPr>
          <w:ilvl w:val="0"/>
          <w:numId w:val="18"/>
        </w:numPr>
        <w:adjustRightInd/>
        <w:spacing w:line="360" w:lineRule="auto"/>
        <w:outlineLvl w:val="9"/>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w:t>
      </w:r>
      <w:r>
        <w:rPr>
          <w:rFonts w:hint="eastAsia" w:ascii="宋体" w:hAnsi="宋体" w:eastAsia="宋体" w:cs="宋体"/>
          <w:b/>
          <w:color w:val="auto"/>
          <w:kern w:val="2"/>
          <w:sz w:val="24"/>
          <w:szCs w:val="24"/>
          <w:highlight w:val="none"/>
          <w:lang w:val="en-US" w:eastAsia="zh-CN" w:bidi="ar-SA"/>
        </w:rPr>
        <w:t>R2</w:t>
      </w:r>
      <w:r>
        <w:rPr>
          <w:rFonts w:hint="eastAsia" w:ascii="宋体" w:hAnsi="宋体" w:cs="宋体"/>
          <w:b/>
          <w:color w:val="auto"/>
          <w:kern w:val="2"/>
          <w:highlight w:val="none"/>
        </w:rPr>
        <w:t>〗，〖</w:t>
      </w:r>
      <w:r>
        <w:rPr>
          <w:rFonts w:hint="eastAsia" w:ascii="宋体" w:hAnsi="宋体" w:eastAsia="宋体" w:cs="宋体"/>
          <w:b/>
          <w:color w:val="auto"/>
          <w:kern w:val="2"/>
          <w:sz w:val="24"/>
          <w:szCs w:val="24"/>
          <w:highlight w:val="none"/>
          <w:lang w:val="en-US" w:eastAsia="zh-CN" w:bidi="ar-SA"/>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8"/>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R2</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中低</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R3</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中</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7"/>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17"/>
        <w:adjustRightInd/>
        <w:spacing w:line="360" w:lineRule="auto"/>
        <w:rPr>
          <w:rFonts w:hint="eastAsia" w:ascii="宋体" w:hAnsi="宋体" w:cs="宋体"/>
          <w:bCs/>
          <w:color w:val="auto"/>
          <w:kern w:val="2"/>
          <w:highlight w:val="none"/>
          <w:lang w:eastAsia="zh-CN"/>
        </w:rPr>
      </w:pPr>
    </w:p>
    <w:p>
      <w:pPr>
        <w:pStyle w:val="17"/>
        <w:numPr>
          <w:ilvl w:val="0"/>
          <w:numId w:val="18"/>
        </w:numPr>
        <w:adjustRightInd/>
        <w:spacing w:line="360" w:lineRule="auto"/>
        <w:outlineLvl w:val="9"/>
        <w:rPr>
          <w:rFonts w:hint="eastAsia" w:ascii="宋体" w:hAnsi="宋体" w:cs="宋体"/>
          <w:b/>
          <w:color w:val="auto"/>
          <w:kern w:val="2"/>
          <w:highlight w:val="none"/>
        </w:rPr>
      </w:pPr>
      <w:r>
        <w:rPr>
          <w:rFonts w:hint="eastAsia" w:ascii="宋体" w:hAnsi="宋体" w:cs="宋体"/>
          <w:b/>
          <w:color w:val="auto"/>
          <w:kern w:val="2"/>
          <w:highlight w:val="none"/>
        </w:rPr>
        <w:t>产品要素</w:t>
      </w:r>
    </w:p>
    <w:tbl>
      <w:tblPr>
        <w:tblStyle w:val="8"/>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产品名称</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eastAsia="宋体" w:cs="宋体"/>
                <w:color w:val="000000"/>
                <w:kern w:val="2"/>
                <w:sz w:val="21"/>
                <w:szCs w:val="21"/>
                <w:highlight w:val="none"/>
                <w:lang w:val="en-US" w:eastAsia="zh-CN" w:bidi="ar-SA"/>
              </w:rPr>
              <w:t>幸福99丰裕固收386天26078期理财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szCs w:val="21"/>
                <w:highlight w:val="none"/>
              </w:rPr>
            </w:pPr>
            <w:r>
              <w:rPr>
                <w:rFonts w:hint="eastAsia" w:ascii="宋体" w:hAnsi="宋体" w:cs="宋体"/>
                <w:szCs w:val="21"/>
                <w:highlight w:val="none"/>
                <w:lang w:eastAsia="zh-CN"/>
              </w:rPr>
              <w:t>产品简称</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szCs w:val="21"/>
                <w:highlight w:val="none"/>
              </w:rPr>
            </w:pPr>
            <w:r>
              <w:rPr>
                <w:rFonts w:hint="eastAsia" w:ascii="宋体" w:hAnsi="宋体" w:eastAsia="宋体" w:cs="宋体"/>
                <w:kern w:val="2"/>
                <w:sz w:val="21"/>
                <w:szCs w:val="21"/>
                <w:highlight w:val="none"/>
                <w:lang w:val="en-US" w:eastAsia="zh-CN" w:bidi="ar-SA"/>
              </w:rPr>
              <w:t>丰裕固收26078期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szCs w:val="21"/>
                <w:highlight w:val="none"/>
              </w:rPr>
            </w:pPr>
            <w:r>
              <w:rPr>
                <w:rFonts w:hint="eastAsia" w:ascii="宋体" w:hAnsi="宋体" w:cs="宋体"/>
                <w:szCs w:val="21"/>
                <w:highlight w:val="none"/>
              </w:rPr>
              <w:t>产品编号</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Cs w:val="21"/>
                <w:highlight w:val="none"/>
              </w:rPr>
            </w:pPr>
            <w:r>
              <w:rPr>
                <w:rFonts w:hint="eastAsia" w:ascii="宋体" w:hAnsi="宋体" w:cs="宋体"/>
                <w:szCs w:val="21"/>
                <w:highlight w:val="none"/>
              </w:rPr>
              <w:t>〖</w:t>
            </w:r>
            <w:r>
              <w:rPr>
                <w:rFonts w:hint="eastAsia" w:ascii="宋体" w:hAnsi="宋体" w:eastAsia="宋体" w:cs="宋体"/>
                <w:kern w:val="2"/>
                <w:sz w:val="21"/>
                <w:szCs w:val="21"/>
                <w:highlight w:val="none"/>
                <w:lang w:val="en-US" w:eastAsia="zh-CN" w:bidi="ar-SA"/>
              </w:rPr>
              <w:t>FYG26078</w:t>
            </w:r>
            <w:r>
              <w:rPr>
                <w:rFonts w:hint="eastAsia" w:ascii="宋体" w:hAnsi="宋体" w:cs="宋体"/>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登记编码</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本理财计划在全国银行业理财信息登记系统的登记编码是〖</w:t>
            </w:r>
            <w:r>
              <w:rPr>
                <w:rFonts w:hint="eastAsia" w:ascii="宋体" w:hAnsi="宋体" w:eastAsia="宋体" w:cs="宋体"/>
                <w:color w:val="000000"/>
                <w:kern w:val="2"/>
                <w:sz w:val="21"/>
                <w:szCs w:val="21"/>
                <w:highlight w:val="none"/>
                <w:lang w:val="en-US" w:eastAsia="zh-CN" w:bidi="ar-SA"/>
              </w:rPr>
              <w:t>Z7002226000171</w:t>
            </w:r>
            <w:r>
              <w:rPr>
                <w:rFonts w:hint="eastAsia" w:ascii="宋体" w:hAnsi="宋体" w:cs="宋体"/>
                <w:color w:val="000000"/>
                <w:szCs w:val="21"/>
                <w:highlight w:val="none"/>
              </w:rPr>
              <w:t>〗，投资者可依据该编码在“中国理财网（www.chinawealth.com.cn）”查询本理财计划信息。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发行对象</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b/>
                <w:color w:val="000000"/>
                <w:szCs w:val="21"/>
                <w:highlight w:val="none"/>
              </w:rPr>
            </w:pPr>
            <w:r>
              <w:rPr>
                <w:rFonts w:hint="eastAsia" w:ascii="宋体" w:hAnsi="宋体" w:cs="宋体"/>
                <w:color w:val="000000"/>
                <w:szCs w:val="21"/>
                <w:highlight w:val="none"/>
              </w:rPr>
              <w:t>本理财计划适合</w:t>
            </w:r>
            <w:r>
              <w:rPr>
                <w:rFonts w:hint="eastAsia" w:ascii="宋体" w:hAnsi="宋体" w:eastAsia="宋体" w:cs="宋体"/>
                <w:b/>
                <w:bCs/>
                <w:color w:val="000000"/>
                <w:kern w:val="2"/>
                <w:sz w:val="21"/>
                <w:szCs w:val="21"/>
                <w:highlight w:val="none"/>
                <w:lang w:val="en-US" w:eastAsia="zh-CN" w:bidi="ar-SA"/>
              </w:rPr>
              <w:t>〖机构投资者〗以及〖稳健型、平衡型、成长型、进取型〗的个人投资者</w:t>
            </w:r>
            <w:r>
              <w:rPr>
                <w:rFonts w:hint="eastAsia" w:ascii="宋体" w:hAnsi="宋体" w:cs="宋体"/>
                <w:b/>
                <w:color w:val="000000"/>
                <w:szCs w:val="21"/>
                <w:highlight w:val="none"/>
              </w:rPr>
              <w:t>。</w:t>
            </w:r>
            <w:r>
              <w:rPr>
                <w:rFonts w:hint="eastAsia" w:ascii="宋体" w:hAnsi="宋体" w:cs="宋体"/>
                <w:bCs/>
                <w:color w:val="auto"/>
                <w:kern w:val="2"/>
                <w:highlight w:val="none"/>
                <w:lang w:eastAsia="zh-CN"/>
              </w:rPr>
              <w:t>投资者风险承受能力评级水平以销售机构评估为准。</w:t>
            </w:r>
          </w:p>
          <w:p>
            <w:pPr>
              <w:keepNext w:val="0"/>
              <w:keepLines w:val="0"/>
              <w:pageBreakBefore w:val="0"/>
              <w:suppressLineNumbers w:val="0"/>
              <w:spacing w:before="0" w:beforeAutospacing="0" w:after="0" w:afterAutospacing="0" w:line="360" w:lineRule="auto"/>
              <w:ind w:left="0" w:right="0" w:hanging="1"/>
              <w:jc w:val="left"/>
              <w:textAlignment w:val="auto"/>
              <w:rPr>
                <w:rFonts w:hint="default"/>
              </w:rPr>
            </w:pP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其中：</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A份额（销售代码〖FYG26078A〗）：普通个人投资者和机构客户。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B份额（销售代码〖FYG26078B〗）：普通个人投资者和机构客户。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C份额（销售代码〖FYG26078C〗）：普通个人投资者和机构客户。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D份额（销售代码〖FYG26078D〗）：普通个人投资者和机构客户。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E份额（公司专属）（销售代码〖FYG26078E〗）：普通个人投资者和机构客户。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G份额（销售代码〖FYG26078G〗）：普通个人投资者和机构客户。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H份额（北行专属）（销售代码〖FYG26078H〗）：普通个人投资者和机构客户。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I份额（爽盈优选）（销售代码〖FYG26078I〗）：普通个人投资者和机构客户。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J份额（销售代码〖FYG26078J〗）：普通个人投资者和机构客户。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K份额（鲲鹏优选）（销售代码〖FYG26078K〗）：普通个人投资者和机构客户。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M份额（天府·优选）（销售代码〖FYG26078M〗）：普通个人投资者和机构客户。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N份额惠享款（长长财富·鑫享）（销售代码〖FYG26078N〗）：普通个人投资者和机构客户。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O份额（销售代码〖FYG26078O〗）：普通个人投资者和机构客户。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P份额（芙蓉锦程·优选）（销售代码〖FYG26078P〗）：普通个人投资者和机构客户。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Q份额（销售代码〖FYG26078Q〗）：普通个人投资者和机构客户。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R份额惠享款吉行十二号（销售代码〖FYG26078R〗）：普通个人投资者和机构客户。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T份额惠享款（齐鲁-逢六有约）（销售代码〖FYG26078T〗）：普通个人投资者和机构客户。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U份额（兰马专属）（销售代码〖FYG26078U〗）：普通个人投资者和机构客户。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V份额（金芙蓉专属）（销售代码〖FYG26078V〗）：普通个人投资者和机构客户。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W份额惠享款（销售代码〖FYG26078W〗）：普通个人投资者和机构客户。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X份额（销售代码〖FYG26078X〗）：普通个人投资者。</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Y份额惠享款（销售代码〖FYG26078Y〗）：普通个人投资者和机构客户。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Z份额惠享款（销售代码〖FYG26078Z〗）：普通个人投资者和机构客户。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ZA份额惠享款（销售代码〖FYG26078ZA〗）：普通个人投资者和机构客户。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ZB份额（吉林农商工薪代发专属）（销售代码〖FYG26078ZB〗）：普通个人投资者和机构客户。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ZC份额惠享款（长长财富·臻享）（销售代码〖FYG26078ZC〗）：普通个人投资者和机构客户。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ZD份额惠享款（湖北银行专属）（销售代码〖FYG26078ZD〗）：普通个人投资者和机构客户。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ZE份额（桂银优选）（销售代码〖FYG26078ZE〗）：普通个人投资者和机构客户。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ZF份额（桂银优选）（销售代码〖FYG26078ZF〗）：普通个人投资者和机构客户。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发行方式</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产品类型</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Cs w:val="21"/>
                <w:highlight w:val="none"/>
              </w:rPr>
            </w:pPr>
            <w:r>
              <w:rPr>
                <w:rFonts w:hint="eastAsia" w:ascii="宋体" w:hAnsi="宋体" w:cs="宋体"/>
                <w:szCs w:val="21"/>
                <w:highlight w:val="none"/>
              </w:rPr>
              <w:t>〖</w:t>
            </w:r>
            <w:r>
              <w:rPr>
                <w:rFonts w:hint="eastAsia" w:ascii="宋体" w:hAnsi="宋体" w:eastAsia="宋体" w:cs="宋体"/>
                <w:kern w:val="2"/>
                <w:sz w:val="21"/>
                <w:szCs w:val="21"/>
                <w:highlight w:val="none"/>
                <w:lang w:val="en-US" w:eastAsia="zh-CN" w:bidi="ar-SA"/>
              </w:rPr>
              <w:t>固定收益类</w:t>
            </w:r>
            <w:r>
              <w:rPr>
                <w:rFonts w:hint="eastAsia" w:ascii="宋体" w:hAnsi="宋体" w:cs="宋体"/>
                <w:szCs w:val="21"/>
                <w:highlight w:val="none"/>
              </w:rPr>
              <w:t>〗</w:t>
            </w:r>
            <w:r>
              <w:rPr>
                <w:rFonts w:hint="eastAsia" w:ascii="宋体" w:hAnsi="宋体" w:cs="宋体"/>
                <w:color w:val="000000"/>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Cs w:val="21"/>
                <w:highlight w:val="none"/>
              </w:rPr>
            </w:pPr>
            <w:r>
              <w:rPr>
                <w:rFonts w:hint="eastAsia" w:ascii="宋体" w:hAnsi="宋体" w:cs="宋体"/>
                <w:color w:val="000000"/>
                <w:szCs w:val="21"/>
                <w:highlight w:val="none"/>
              </w:rPr>
              <w:t>运作模式</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Cs w:val="21"/>
                <w:highlight w:val="none"/>
              </w:rPr>
            </w:pPr>
            <w:r>
              <w:rPr>
                <w:rFonts w:hint="eastAsia" w:ascii="宋体" w:hAnsi="宋体" w:cs="宋体"/>
                <w:color w:val="000000"/>
                <w:szCs w:val="21"/>
                <w:highlight w:val="none"/>
              </w:rPr>
              <w:t>封闭式净值型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eastAsia="宋体" w:cs="宋体"/>
                <w:color w:val="000000"/>
                <w:szCs w:val="21"/>
                <w:highlight w:val="none"/>
                <w:lang w:val="en-US" w:eastAsia="zh-CN"/>
              </w:rPr>
            </w:pPr>
            <w:r>
              <w:rPr>
                <w:rFonts w:hint="eastAsia" w:ascii="宋体" w:hAnsi="宋体" w:cs="宋体"/>
                <w:color w:val="000000"/>
                <w:szCs w:val="21"/>
                <w:highlight w:val="none"/>
                <w:lang w:val="en-US" w:eastAsia="zh-CN"/>
              </w:rPr>
              <w:t>分级产品</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szCs w:val="21"/>
                <w:highlight w:val="none"/>
              </w:rPr>
            </w:pPr>
            <w:r>
              <w:rPr>
                <w:rFonts w:hint="eastAsia" w:ascii="宋体" w:hAnsi="宋体" w:cs="宋体"/>
                <w:szCs w:val="21"/>
                <w:highlight w:val="none"/>
              </w:rPr>
              <w:t>〖</w:t>
            </w:r>
            <w:r>
              <w:rPr>
                <w:rFonts w:hint="eastAsia" w:ascii="宋体" w:hAnsi="宋体" w:eastAsia="宋体" w:cs="宋体"/>
                <w:kern w:val="2"/>
                <w:sz w:val="21"/>
                <w:szCs w:val="21"/>
                <w:highlight w:val="none"/>
                <w:lang w:val="en-US" w:eastAsia="zh-CN" w:bidi="ar-SA"/>
              </w:rPr>
              <w:t>否</w:t>
            </w:r>
            <w:r>
              <w:rPr>
                <w:rFonts w:hint="eastAsia" w:ascii="宋体" w:hAnsi="宋体" w:cs="宋体"/>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销售范围</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szCs w:val="21"/>
                <w:highlight w:val="none"/>
              </w:rPr>
              <w:t>〖</w:t>
            </w:r>
            <w:r>
              <w:rPr>
                <w:rFonts w:hint="eastAsia" w:ascii="宋体" w:hAnsi="宋体" w:cs="宋体"/>
                <w:color w:val="000000"/>
                <w:szCs w:val="21"/>
                <w:highlight w:val="none"/>
              </w:rPr>
              <w:t>全国</w:t>
            </w:r>
            <w:r>
              <w:rPr>
                <w:rFonts w:hint="eastAsia" w:ascii="宋体" w:hAnsi="宋体" w:cs="宋体"/>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销售渠道</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jc w:val="left"/>
              <w:rPr>
                <w:rFonts w:hint="eastAsia" w:ascii="宋体" w:hAnsi="宋体" w:eastAsia="宋体" w:cs="宋体"/>
                <w:color w:val="000000"/>
                <w:szCs w:val="21"/>
                <w:highlight w:val="none"/>
                <w:lang w:eastAsia="zh-CN"/>
              </w:rPr>
            </w:pPr>
            <w:r>
              <w:rPr>
                <w:rFonts w:hint="eastAsia" w:ascii="宋体" w:hAnsi="宋体" w:cs="宋体"/>
                <w:color w:val="000000"/>
                <w:szCs w:val="21"/>
                <w:highlight w:val="none"/>
              </w:rPr>
              <w:t>可通过</w:t>
            </w:r>
            <w:r>
              <w:rPr>
                <w:rFonts w:hint="eastAsia" w:ascii="宋体" w:hAnsi="宋体" w:cs="宋体"/>
                <w:color w:val="000000"/>
                <w:szCs w:val="21"/>
                <w:highlight w:val="none"/>
                <w:lang w:eastAsia="zh-CN"/>
              </w:rPr>
              <w:t>杭银理财直销渠道和代理</w:t>
            </w:r>
            <w:r>
              <w:rPr>
                <w:rFonts w:hint="eastAsia" w:ascii="宋体" w:hAnsi="宋体" w:cs="宋体"/>
                <w:color w:val="000000"/>
                <w:szCs w:val="21"/>
                <w:highlight w:val="none"/>
              </w:rPr>
              <w:t>销售机构的〖营业网点、网上银行、手机银行〗等渠道购买</w:t>
            </w:r>
            <w:r>
              <w:rPr>
                <w:rFonts w:hint="eastAsia" w:ascii="宋体" w:hAnsi="宋体" w:cs="宋体"/>
                <w:color w:val="000000"/>
                <w:szCs w:val="21"/>
                <w:highlight w:val="none"/>
                <w:lang w:eastAsia="zh-CN"/>
              </w:rPr>
              <w:t>，通过</w:t>
            </w:r>
            <w:r>
              <w:rPr>
                <w:rFonts w:hint="eastAsia" w:ascii="宋体" w:hAnsi="宋体" w:cs="宋体"/>
                <w:color w:val="000000"/>
                <w:sz w:val="21"/>
                <w:szCs w:val="21"/>
                <w:highlight w:val="none"/>
                <w:lang w:val="en-US" w:eastAsia="zh-CN"/>
              </w:rPr>
              <w:t>代理销售机构购买的，具体销售渠道以代理销售机构披露为准</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交易币种</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szCs w:val="21"/>
                <w:highlight w:val="none"/>
              </w:rPr>
              <w:t>〖</w:t>
            </w:r>
            <w:r>
              <w:rPr>
                <w:rFonts w:hint="eastAsia" w:ascii="宋体" w:hAnsi="宋体" w:eastAsia="宋体" w:cs="宋体"/>
                <w:kern w:val="2"/>
                <w:sz w:val="21"/>
                <w:szCs w:val="21"/>
                <w:highlight w:val="none"/>
                <w:lang w:val="en-US" w:eastAsia="zh-CN" w:bidi="ar-SA"/>
              </w:rPr>
              <w:t>人民币</w:t>
            </w:r>
            <w:r>
              <w:rPr>
                <w:rFonts w:hint="eastAsia" w:ascii="宋体" w:hAnsi="宋体" w:cs="宋体"/>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发行规模上限</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eastAsia="宋体" w:cs="宋体"/>
                <w:color w:val="000000"/>
                <w:kern w:val="2"/>
                <w:sz w:val="21"/>
                <w:szCs w:val="21"/>
                <w:highlight w:val="none"/>
                <w:lang w:val="en-US" w:eastAsia="zh-CN" w:bidi="ar-SA"/>
              </w:rPr>
              <w:t>〖40〗亿元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认购期</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2026</w:t>
            </w:r>
            <w:r>
              <w:rPr>
                <w:rFonts w:hint="eastAsia" w:ascii="宋体" w:hAnsi="宋体" w:cs="宋体"/>
                <w:color w:val="000000"/>
                <w:szCs w:val="21"/>
                <w:highlight w:val="none"/>
              </w:rPr>
              <w:t>〗年〖</w:t>
            </w:r>
            <w:r>
              <w:rPr>
                <w:rFonts w:hint="eastAsia" w:ascii="宋体" w:hAnsi="宋体" w:eastAsia="宋体" w:cs="宋体"/>
                <w:color w:val="000000"/>
                <w:kern w:val="2"/>
                <w:sz w:val="21"/>
                <w:szCs w:val="21"/>
                <w:highlight w:val="none"/>
                <w:lang w:val="en-US" w:eastAsia="zh-CN" w:bidi="ar-SA"/>
              </w:rPr>
              <w:t>5</w:t>
            </w:r>
            <w:r>
              <w:rPr>
                <w:rFonts w:hint="eastAsia" w:ascii="宋体" w:hAnsi="宋体" w:cs="宋体"/>
                <w:color w:val="000000"/>
                <w:szCs w:val="21"/>
                <w:highlight w:val="none"/>
              </w:rPr>
              <w:t>〗月〖</w:t>
            </w:r>
            <w:r>
              <w:rPr>
                <w:rFonts w:hint="eastAsia" w:ascii="宋体" w:hAnsi="宋体" w:eastAsia="宋体" w:cs="宋体"/>
                <w:color w:val="000000"/>
                <w:kern w:val="2"/>
                <w:sz w:val="21"/>
                <w:szCs w:val="21"/>
                <w:highlight w:val="none"/>
                <w:lang w:val="en-US" w:eastAsia="zh-CN" w:bidi="ar-SA"/>
              </w:rPr>
              <w:t>19</w:t>
            </w:r>
            <w:r>
              <w:rPr>
                <w:rFonts w:hint="eastAsia" w:ascii="宋体" w:hAnsi="宋体" w:cs="宋体"/>
                <w:color w:val="000000"/>
                <w:szCs w:val="21"/>
                <w:highlight w:val="none"/>
              </w:rPr>
              <w:t>〗日-〖</w:t>
            </w:r>
            <w:r>
              <w:rPr>
                <w:rFonts w:hint="eastAsia" w:ascii="宋体" w:hAnsi="宋体" w:eastAsia="宋体" w:cs="宋体"/>
                <w:color w:val="000000"/>
                <w:kern w:val="2"/>
                <w:sz w:val="21"/>
                <w:szCs w:val="21"/>
                <w:highlight w:val="none"/>
                <w:lang w:val="en-US" w:eastAsia="zh-CN" w:bidi="ar-SA"/>
              </w:rPr>
              <w:t>2026</w:t>
            </w:r>
            <w:r>
              <w:rPr>
                <w:rFonts w:hint="eastAsia" w:ascii="宋体" w:hAnsi="宋体" w:cs="宋体"/>
                <w:color w:val="000000"/>
                <w:szCs w:val="21"/>
                <w:highlight w:val="none"/>
              </w:rPr>
              <w:t>〗年〖</w:t>
            </w:r>
            <w:r>
              <w:rPr>
                <w:rFonts w:hint="eastAsia" w:ascii="宋体" w:hAnsi="宋体" w:eastAsia="宋体" w:cs="宋体"/>
                <w:color w:val="000000"/>
                <w:kern w:val="2"/>
                <w:sz w:val="21"/>
                <w:szCs w:val="21"/>
                <w:highlight w:val="none"/>
                <w:lang w:val="en-US" w:eastAsia="zh-CN" w:bidi="ar-SA"/>
              </w:rPr>
              <w:t>5</w:t>
            </w:r>
            <w:r>
              <w:rPr>
                <w:rFonts w:hint="eastAsia" w:ascii="宋体" w:hAnsi="宋体" w:cs="宋体"/>
                <w:color w:val="000000"/>
                <w:szCs w:val="21"/>
                <w:highlight w:val="none"/>
              </w:rPr>
              <w:t>〗月〖</w:t>
            </w:r>
            <w:r>
              <w:rPr>
                <w:rFonts w:hint="eastAsia" w:ascii="宋体" w:hAnsi="宋体" w:eastAsia="宋体" w:cs="宋体"/>
                <w:color w:val="000000"/>
                <w:kern w:val="2"/>
                <w:sz w:val="21"/>
                <w:szCs w:val="21"/>
                <w:highlight w:val="none"/>
                <w:lang w:val="en-US" w:eastAsia="zh-CN" w:bidi="ar-SA"/>
              </w:rPr>
              <w:t>25</w:t>
            </w:r>
            <w:r>
              <w:rPr>
                <w:rFonts w:hint="eastAsia" w:ascii="宋体" w:hAnsi="宋体" w:cs="宋体"/>
                <w:color w:val="000000"/>
                <w:szCs w:val="21"/>
                <w:highlight w:val="none"/>
              </w:rPr>
              <w:t>〗日</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kern w:val="0"/>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认购时间</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认购期首日〖9：00〗至认购结束日〖17：00〗</w:t>
            </w:r>
            <w:r>
              <w:rPr>
                <w:rFonts w:hint="eastAsia" w:ascii="宋体" w:hAnsi="宋体" w:cs="宋体"/>
                <w:color w:val="000000"/>
                <w:kern w:val="0"/>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成立日</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2026</w:t>
            </w:r>
            <w:r>
              <w:rPr>
                <w:rFonts w:hint="eastAsia" w:ascii="宋体" w:hAnsi="宋体" w:cs="宋体"/>
                <w:color w:val="000000"/>
                <w:szCs w:val="21"/>
                <w:highlight w:val="none"/>
              </w:rPr>
              <w:t>〗年〖</w:t>
            </w:r>
            <w:r>
              <w:rPr>
                <w:rFonts w:hint="eastAsia" w:ascii="宋体" w:hAnsi="宋体" w:eastAsia="宋体" w:cs="宋体"/>
                <w:color w:val="000000"/>
                <w:kern w:val="2"/>
                <w:sz w:val="21"/>
                <w:szCs w:val="21"/>
                <w:highlight w:val="none"/>
                <w:lang w:val="en-US" w:eastAsia="zh-CN" w:bidi="ar-SA"/>
              </w:rPr>
              <w:t>5</w:t>
            </w:r>
            <w:r>
              <w:rPr>
                <w:rFonts w:hint="eastAsia" w:ascii="宋体" w:hAnsi="宋体" w:cs="宋体"/>
                <w:color w:val="000000"/>
                <w:szCs w:val="21"/>
                <w:highlight w:val="none"/>
              </w:rPr>
              <w:t>〗月〖</w:t>
            </w:r>
            <w:r>
              <w:rPr>
                <w:rFonts w:hint="eastAsia" w:ascii="宋体" w:hAnsi="宋体" w:eastAsia="宋体" w:cs="宋体"/>
                <w:color w:val="000000"/>
                <w:kern w:val="2"/>
                <w:sz w:val="21"/>
                <w:szCs w:val="21"/>
                <w:highlight w:val="none"/>
                <w:lang w:val="en-US" w:eastAsia="zh-CN" w:bidi="ar-SA"/>
              </w:rPr>
              <w:t>26</w:t>
            </w:r>
            <w:r>
              <w:rPr>
                <w:rFonts w:hint="eastAsia" w:ascii="宋体" w:hAnsi="宋体" w:cs="宋体"/>
                <w:color w:val="000000"/>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到期日</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2027</w:t>
            </w:r>
            <w:r>
              <w:rPr>
                <w:rFonts w:hint="eastAsia" w:ascii="宋体" w:hAnsi="宋体" w:cs="宋体"/>
                <w:color w:val="000000"/>
                <w:szCs w:val="21"/>
                <w:highlight w:val="none"/>
              </w:rPr>
              <w:t>〗年〖</w:t>
            </w:r>
            <w:r>
              <w:rPr>
                <w:rFonts w:hint="eastAsia" w:ascii="宋体" w:hAnsi="宋体" w:eastAsia="宋体" w:cs="宋体"/>
                <w:color w:val="000000"/>
                <w:kern w:val="2"/>
                <w:sz w:val="21"/>
                <w:szCs w:val="21"/>
                <w:highlight w:val="none"/>
                <w:lang w:val="en-US" w:eastAsia="zh-CN" w:bidi="ar-SA"/>
              </w:rPr>
              <w:t>6</w:t>
            </w:r>
            <w:r>
              <w:rPr>
                <w:rFonts w:hint="eastAsia" w:ascii="宋体" w:hAnsi="宋体" w:cs="宋体"/>
                <w:color w:val="000000"/>
                <w:szCs w:val="21"/>
                <w:highlight w:val="none"/>
              </w:rPr>
              <w:t>〗月〖</w:t>
            </w:r>
            <w:r>
              <w:rPr>
                <w:rFonts w:hint="eastAsia" w:ascii="宋体" w:hAnsi="宋体" w:eastAsia="宋体" w:cs="宋体"/>
                <w:color w:val="000000"/>
                <w:kern w:val="2"/>
                <w:sz w:val="21"/>
                <w:szCs w:val="21"/>
                <w:highlight w:val="none"/>
                <w:lang w:val="en-US" w:eastAsia="zh-CN" w:bidi="ar-SA"/>
              </w:rPr>
              <w:t>16</w:t>
            </w:r>
            <w:r>
              <w:rPr>
                <w:rFonts w:hint="eastAsia" w:ascii="宋体" w:hAnsi="宋体" w:cs="宋体"/>
                <w:color w:val="000000"/>
                <w:szCs w:val="21"/>
                <w:highlight w:val="none"/>
              </w:rPr>
              <w:t>〗日，若到期日为非工作日则顺延至下一个</w:t>
            </w:r>
            <w:r>
              <w:rPr>
                <w:rFonts w:hint="eastAsia" w:ascii="宋体" w:hAnsi="宋体" w:eastAsia="宋体" w:cs="宋体"/>
                <w:color w:val="000000"/>
                <w:kern w:val="2"/>
                <w:sz w:val="21"/>
                <w:szCs w:val="21"/>
                <w:highlight w:val="none"/>
                <w:lang w:val="en-US" w:eastAsia="zh-CN" w:bidi="ar-SA"/>
              </w:rPr>
              <w:t>工作日</w:t>
            </w:r>
            <w:r>
              <w:rPr>
                <w:rFonts w:hint="eastAsia" w:ascii="宋体" w:hAnsi="宋体" w:cs="宋体"/>
                <w:color w:val="00000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理财期限</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386</w:t>
            </w:r>
            <w:r>
              <w:rPr>
                <w:rFonts w:hint="eastAsia" w:ascii="宋体" w:hAnsi="宋体" w:cs="宋体"/>
                <w:color w:val="000000"/>
                <w:szCs w:val="21"/>
                <w:highlight w:val="none"/>
              </w:rPr>
              <w:t>〗天（实际理财期限受制于管理人提前终止权等条款）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认购起点金额</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eastAsia="宋体" w:cs="宋体"/>
                <w:color w:val="000000"/>
                <w:kern w:val="0"/>
                <w:sz w:val="21"/>
                <w:szCs w:val="21"/>
                <w:highlight w:val="none"/>
                <w:lang w:val="en-US" w:eastAsia="zh-CN" w:bidi="ar-SA"/>
              </w:rPr>
              <w:t>〖A份额〗起点〖1〗元整，超过认购起点部分，应为〖1〗元的整数倍。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〖B份额〗起点〖1〗元整，超过认购起点部分，应为〖1〗元的整数倍。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〖C份额〗起点〖1〗元整，超过认购起点部分，应为〖1〗元的整数倍。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〖D份额〗起点〖1〗元整，超过认购起点部分，应为〖1〗元的整数倍。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〖E份额〗起点〖1〗元整，超过认购起点部分，应为〖1〗元的整数倍。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〖G份额〗起点〖20〗万元整，超过认购起点部分，应为〖1〗元的整数倍。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〖H份额〗起点〖1〗元整，超过认购起点部分，应为〖1〗元的整数倍。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〖I份额〗起点〖1〗元整，超过认购起点部分，应为〖1〗元的整数倍。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〖J份额〗起点〖1〗元整，超过认购起点部分，应为〖1〗元的整数倍。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〖K份额〗起点〖1〗元整，超过认购起点部分，应为〖1〗元的整数倍。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〖M份额〗起点〖1〗元整，超过认购起点部分，应为〖1〗元的整数倍。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〖N份额〗起点〖1〗元整，超过认购起点部分，应为〖1〗元的整数倍。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〖O份额〗起点〖1〗元整，超过认购起点部分，应为〖1〗元的整数倍。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〖P份额〗起点〖1〗元整，超过认购起点部分，应为〖1〗元的整数倍。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〖Q份额〗起点〖1〗元整，超过认购起点部分，应为〖1〗元的整数倍。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〖R份额〗起点〖1〗元整，超过认购起点部分，应为〖1〗元的整数倍。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〖T份额〗起点〖1〗元整，超过认购起点部分，应为〖1〗元的整数倍。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〖U份额〗起点〖1〗元整，超过认购起点部分，应为〖1〗元的整数倍。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〖V份额〗起点〖20〗万元整，超过认购起点部分，应为〖1〗元的整数倍。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〖W份额〗起点〖1〗元整，超过认购起点部分，应为〖1〗元的整数倍。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〖X份额〗起点〖1〗元整，超过认购起点部分，应为〖1〗元的整数倍。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〖Y份额〗起点〖1〗元整，超过认购起点部分，应为〖1〗元的整数倍。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〖ZA份额〗起点〖1〗元整，超过认购起点部分，应为〖1〗元的整数倍。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〖ZB份额〗起点〖1〗元整，超过认购起点部分，应为〖1〗元的整数倍。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〖ZC份额〗起点〖30〗万元整，超过认购起点部分，应为〖1〗元的整数倍。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〖ZD份额〗起点〖20〗万元整，超过认购起点部分，应为〖1〗元的整数倍。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〖ZE份额〗起点〖1〗元整，超过认购起点部分，应为〖1〗元的整数倍。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〖ZF份额〗起点〖1〗元整，超过认购起点部分，应为〖1〗元的整数倍。</w:t>
            </w:r>
            <w:r>
              <w:rPr>
                <w:rFonts w:hint="eastAsia" w:ascii="宋体" w:hAnsi="宋体" w:cs="宋体"/>
                <w:color w:val="000000"/>
                <w:kern w:val="0"/>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认购份额</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认购份额=认购金额</w:t>
            </w:r>
            <w:r>
              <w:rPr>
                <w:rFonts w:hint="eastAsia" w:ascii="宋体" w:hAnsi="宋体" w:cs="宋体"/>
                <w:bCs/>
                <w:color w:val="000000"/>
                <w:sz w:val="21"/>
                <w:szCs w:val="21"/>
                <w:highlight w:val="none"/>
              </w:rPr>
              <w:t>÷</w:t>
            </w:r>
            <w:r>
              <w:rPr>
                <w:rFonts w:hint="eastAsia" w:ascii="宋体" w:hAnsi="宋体" w:cs="宋体"/>
                <w:color w:val="000000"/>
                <w:szCs w:val="21"/>
                <w:highlight w:val="none"/>
              </w:rPr>
              <w:t>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产品成立</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eastAsia="宋体" w:cs="宋体"/>
                <w:color w:val="000000"/>
                <w:kern w:val="2"/>
                <w:sz w:val="21"/>
                <w:szCs w:val="21"/>
                <w:highlight w:val="none"/>
                <w:lang w:val="en-US" w:eastAsia="zh-CN" w:bidi="ar-SA"/>
              </w:rPr>
              <w:t>〖3〗千万元</w:t>
            </w:r>
            <w:r>
              <w:rPr>
                <w:rFonts w:hint="eastAsia" w:ascii="宋体" w:hAnsi="宋体" w:cs="宋体"/>
                <w:color w:val="000000"/>
                <w:szCs w:val="21"/>
                <w:highlight w:val="none"/>
              </w:rPr>
              <w:t>，则管理人可宣布本理财计划不成立并在原定理财计划成立日后</w:t>
            </w:r>
            <w:r>
              <w:rPr>
                <w:rFonts w:hint="eastAsia" w:ascii="宋体" w:hAnsi="宋体" w:cs="宋体"/>
                <w:szCs w:val="21"/>
                <w:highlight w:val="none"/>
              </w:rPr>
              <w:t>〖</w:t>
            </w:r>
            <w:r>
              <w:rPr>
                <w:rFonts w:hint="eastAsia" w:ascii="宋体" w:hAnsi="宋体" w:cs="宋体"/>
                <w:color w:val="000000"/>
                <w:szCs w:val="21"/>
                <w:highlight w:val="none"/>
              </w:rPr>
              <w:t>2</w:t>
            </w:r>
            <w:r>
              <w:rPr>
                <w:rFonts w:hint="eastAsia" w:ascii="宋体" w:hAnsi="宋体" w:cs="宋体"/>
                <w:szCs w:val="21"/>
                <w:highlight w:val="none"/>
              </w:rPr>
              <w:t>〗</w:t>
            </w:r>
            <w:r>
              <w:rPr>
                <w:rFonts w:hint="eastAsia" w:ascii="宋体" w:hAnsi="宋体" w:cs="宋体"/>
                <w:color w:val="000000"/>
                <w:szCs w:val="21"/>
                <w:highlight w:val="none"/>
              </w:rPr>
              <w:t>个工作日内通过管理人或销售机构发布不成立信息，投资者购买的理财资金将在原定成立日后2个工作日内划转至投资者指定理财账户，</w:t>
            </w:r>
            <w:r>
              <w:rPr>
                <w:rFonts w:hint="eastAsia" w:ascii="宋体" w:hAnsi="宋体" w:cs="宋体"/>
                <w:b/>
                <w:color w:val="000000"/>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eastAsia="宋体" w:cs="宋体"/>
                <w:color w:val="000000"/>
                <w:szCs w:val="21"/>
                <w:highlight w:val="none"/>
                <w:lang w:val="en-US" w:eastAsia="zh"/>
              </w:rPr>
            </w:pPr>
            <w:r>
              <w:rPr>
                <w:rFonts w:hint="eastAsia" w:ascii="宋体" w:hAnsi="宋体" w:cs="宋体"/>
                <w:color w:val="000000"/>
                <w:sz w:val="21"/>
                <w:szCs w:val="21"/>
                <w:highlight w:val="none"/>
                <w:lang w:val="en-US" w:eastAsia="zh-CN"/>
              </w:rPr>
              <w:t>单户持有份额不得超过理财计划总份额的50%。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单位净值</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单位净值=理财计划估值日理财计划总净值</w:t>
            </w:r>
            <w:r>
              <w:rPr>
                <w:rFonts w:hint="eastAsia" w:ascii="宋体" w:hAnsi="宋体" w:cs="宋体"/>
                <w:bCs/>
                <w:color w:val="000000"/>
                <w:sz w:val="21"/>
                <w:szCs w:val="21"/>
                <w:highlight w:val="none"/>
              </w:rPr>
              <w:t>÷</w:t>
            </w:r>
            <w:r>
              <w:rPr>
                <w:rFonts w:hint="eastAsia" w:ascii="宋体" w:hAnsi="宋体" w:cs="宋体"/>
                <w:color w:val="000000"/>
                <w:szCs w:val="21"/>
                <w:highlight w:val="none"/>
              </w:rPr>
              <w:t>理财计划总份额，单位净值</w:t>
            </w:r>
            <w:r>
              <w:rPr>
                <w:rFonts w:hint="eastAsia" w:ascii="宋体" w:hAnsi="宋体" w:cs="宋体"/>
                <w:szCs w:val="21"/>
                <w:highlight w:val="none"/>
              </w:rPr>
              <w:t>〖</w:t>
            </w:r>
            <w:r>
              <w:rPr>
                <w:rFonts w:hint="eastAsia" w:ascii="宋体" w:hAnsi="宋体" w:cs="宋体"/>
                <w:color w:val="000000"/>
                <w:szCs w:val="21"/>
                <w:highlight w:val="none"/>
              </w:rPr>
              <w:t>保留小数点后四位</w:t>
            </w:r>
            <w:r>
              <w:rPr>
                <w:rFonts w:hint="eastAsia" w:ascii="宋体" w:hAnsi="宋体" w:cs="宋体"/>
                <w:szCs w:val="21"/>
                <w:highlight w:val="none"/>
              </w:rPr>
              <w:t>〗</w:t>
            </w:r>
            <w:r>
              <w:rPr>
                <w:rFonts w:hint="eastAsia" w:ascii="宋体" w:hAnsi="宋体" w:cs="宋体"/>
                <w:color w:val="000000"/>
                <w:szCs w:val="21"/>
                <w:highlight w:val="none"/>
                <w:lang w:val="en-US" w:eastAsia="zh-CN"/>
              </w:rPr>
              <w:t>,</w:t>
            </w:r>
            <w:r>
              <w:rPr>
                <w:rFonts w:hint="eastAsia" w:ascii="宋体" w:hAnsi="宋体" w:cs="宋体"/>
                <w:szCs w:val="21"/>
                <w:highlight w:val="none"/>
              </w:rPr>
              <w:t>〖</w:t>
            </w:r>
            <w:r>
              <w:rPr>
                <w:rFonts w:hint="eastAsia" w:ascii="宋体" w:hAnsi="宋体" w:cs="宋体"/>
                <w:kern w:val="2"/>
                <w:sz w:val="21"/>
                <w:szCs w:val="21"/>
                <w:highlight w:val="none"/>
                <w:lang w:val="en-US" w:eastAsia="zh" w:bidi="ar-SA"/>
              </w:rPr>
              <w:t>四舍五入</w:t>
            </w:r>
            <w:r>
              <w:rPr>
                <w:rFonts w:hint="eastAsia" w:ascii="宋体" w:hAnsi="宋体" w:cs="宋体"/>
                <w:szCs w:val="21"/>
                <w:highlight w:val="none"/>
              </w:rPr>
              <w:t>〗</w:t>
            </w:r>
            <w:r>
              <w:rPr>
                <w:rFonts w:hint="eastAsia" w:ascii="宋体" w:hAnsi="宋体" w:cs="宋体"/>
                <w:color w:val="000000"/>
                <w:szCs w:val="21"/>
                <w:highlight w:val="none"/>
              </w:rPr>
              <w:t>。</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b/>
                <w:color w:val="000000"/>
                <w:szCs w:val="21"/>
                <w:highlight w:val="none"/>
              </w:rPr>
            </w:pPr>
            <w:r>
              <w:rPr>
                <w:rFonts w:hint="eastAsia" w:ascii="宋体" w:hAnsi="宋体" w:cs="宋体"/>
                <w:color w:val="000000"/>
                <w:szCs w:val="21"/>
                <w:highlight w:val="none"/>
              </w:rPr>
              <w:t>理财计划总净值=理财计划认购总额+理财计划所获总收益-理财计划总费用（包括但不限于管理费、托管费、</w:t>
            </w:r>
            <w:r>
              <w:rPr>
                <w:rFonts w:hint="eastAsia" w:ascii="宋体" w:hAnsi="宋体" w:cs="宋体"/>
                <w:color w:val="000000"/>
                <w:szCs w:val="21"/>
                <w:highlight w:val="none"/>
                <w:lang w:eastAsia="zh-CN"/>
              </w:rPr>
              <w:t>销售服务费</w:t>
            </w:r>
            <w:r>
              <w:rPr>
                <w:rFonts w:hint="eastAsia" w:ascii="宋体" w:hAnsi="宋体" w:cs="宋体"/>
                <w:color w:val="000000"/>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资金与收益支付方式</w:t>
            </w:r>
          </w:p>
        </w:tc>
        <w:tc>
          <w:tcPr>
            <w:tcW w:w="7185" w:type="dxa"/>
            <w:noWrap w:val="0"/>
            <w:vAlign w:val="center"/>
          </w:tcPr>
          <w:p>
            <w:pPr>
              <w:keepNext w:val="0"/>
              <w:keepLines w:val="0"/>
              <w:widowControl w:val="0"/>
              <w:suppressLineNumbers w:val="0"/>
              <w:spacing w:before="0" w:beforeAutospacing="0" w:after="0" w:afterAutospacing="0" w:line="360" w:lineRule="auto"/>
              <w:ind w:left="0" w:right="0"/>
              <w:contextualSpacing/>
              <w:jc w:val="both"/>
              <w:rPr>
                <w:rFonts w:hint="eastAsia" w:ascii="宋体" w:hAnsi="宋体" w:cs="宋体"/>
                <w:color w:val="000000"/>
                <w:szCs w:val="21"/>
                <w:highlight w:val="none"/>
              </w:rPr>
            </w:pPr>
            <w:r>
              <w:rPr>
                <w:rFonts w:hint="eastAsia" w:ascii="宋体" w:hAnsi="宋体" w:cs="宋体"/>
                <w:color w:val="000000"/>
                <w:szCs w:val="21"/>
                <w:highlight w:val="none"/>
              </w:rPr>
              <w:t>理财计划到期后，最快</w:t>
            </w:r>
            <w:r>
              <w:rPr>
                <w:rFonts w:hint="eastAsia" w:ascii="宋体" w:hAnsi="宋体" w:eastAsia="宋体" w:cs="宋体"/>
                <w:kern w:val="2"/>
                <w:sz w:val="21"/>
                <w:szCs w:val="21"/>
                <w:lang w:val="en-US" w:eastAsia="zh-CN" w:bidi="ar"/>
              </w:rPr>
              <w:t>〖1〗</w:t>
            </w:r>
            <w:r>
              <w:rPr>
                <w:rFonts w:hint="eastAsia" w:ascii="宋体" w:hAnsi="宋体" w:eastAsia="宋体" w:cs="宋体"/>
                <w:color w:val="000000"/>
                <w:kern w:val="2"/>
                <w:sz w:val="21"/>
                <w:szCs w:val="21"/>
                <w:lang w:val="en-US" w:eastAsia="zh-CN" w:bidi="ar"/>
              </w:rPr>
              <w:t>个</w:t>
            </w:r>
            <w:r>
              <w:rPr>
                <w:rFonts w:hint="eastAsia" w:ascii="宋体" w:hAnsi="宋体" w:eastAsia="宋体" w:cs="宋体"/>
                <w:kern w:val="2"/>
                <w:sz w:val="21"/>
                <w:szCs w:val="21"/>
                <w:lang w:val="en-US" w:eastAsia="zh-CN" w:bidi="ar"/>
              </w:rPr>
              <w:t>〖工作日〗</w:t>
            </w:r>
            <w:r>
              <w:rPr>
                <w:rFonts w:hint="eastAsia" w:ascii="宋体" w:hAnsi="宋体" w:cs="宋体"/>
                <w:color w:val="000000"/>
                <w:szCs w:val="21"/>
                <w:highlight w:val="none"/>
              </w:rPr>
              <w:t>，最晚</w:t>
            </w:r>
            <w:r>
              <w:rPr>
                <w:rFonts w:hint="eastAsia" w:ascii="宋体" w:hAnsi="宋体" w:eastAsia="宋体" w:cs="宋体"/>
                <w:kern w:val="2"/>
                <w:sz w:val="21"/>
                <w:szCs w:val="21"/>
                <w:lang w:val="en-US" w:eastAsia="zh-CN" w:bidi="ar"/>
              </w:rPr>
              <w:t>〖3〗</w:t>
            </w:r>
            <w:r>
              <w:rPr>
                <w:rFonts w:hint="eastAsia" w:ascii="宋体" w:hAnsi="宋体" w:eastAsia="宋体" w:cs="宋体"/>
                <w:color w:val="000000"/>
                <w:kern w:val="2"/>
                <w:sz w:val="21"/>
                <w:szCs w:val="21"/>
                <w:lang w:val="en-US" w:eastAsia="zh-CN" w:bidi="ar"/>
              </w:rPr>
              <w:t>个</w:t>
            </w:r>
            <w:r>
              <w:rPr>
                <w:rFonts w:hint="eastAsia" w:ascii="宋体" w:hAnsi="宋体" w:eastAsia="宋体" w:cs="宋体"/>
                <w:kern w:val="2"/>
                <w:sz w:val="21"/>
                <w:szCs w:val="21"/>
                <w:lang w:val="en-US" w:eastAsia="zh-CN" w:bidi="ar"/>
              </w:rPr>
              <w:t>〖工作日〗</w:t>
            </w:r>
            <w:r>
              <w:rPr>
                <w:rFonts w:hint="eastAsia" w:ascii="宋体" w:hAnsi="宋体" w:eastAsia="宋体" w:cs="宋体"/>
                <w:color w:val="000000"/>
                <w:kern w:val="2"/>
                <w:sz w:val="21"/>
                <w:szCs w:val="21"/>
                <w:lang w:val="en-US" w:eastAsia="zh-CN" w:bidi="ar"/>
              </w:rPr>
              <w:t>内</w:t>
            </w:r>
            <w:r>
              <w:rPr>
                <w:rFonts w:hint="eastAsia" w:ascii="宋体" w:hAnsi="宋体" w:cs="宋体"/>
                <w:color w:val="000000"/>
                <w:szCs w:val="21"/>
                <w:highlight w:val="none"/>
              </w:rPr>
              <w:t>（遇节假日顺延）支付。如遇资金在途或法定工作日调整，实际资金到账日以公告为准。</w:t>
            </w:r>
            <w:r>
              <w:rPr>
                <w:rFonts w:hint="eastAsia" w:ascii="宋体" w:hAnsi="宋体" w:cs="宋体"/>
                <w:color w:val="000000"/>
                <w:kern w:val="0"/>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Cs w:val="21"/>
                <w:highlight w:val="none"/>
              </w:rPr>
            </w:pPr>
            <w:r>
              <w:rPr>
                <w:rFonts w:hint="eastAsia" w:ascii="宋体" w:hAnsi="宋体" w:cs="宋体"/>
                <w:color w:val="000000"/>
                <w:szCs w:val="21"/>
                <w:highlight w:val="none"/>
              </w:rPr>
              <w:t>收益分配</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b/>
                <w:szCs w:val="21"/>
                <w:highlight w:val="none"/>
              </w:rPr>
            </w:pPr>
            <w:r>
              <w:rPr>
                <w:rFonts w:hint="eastAsia" w:ascii="宋体" w:hAnsi="宋体" w:cs="宋体"/>
                <w:color w:val="000000"/>
                <w:szCs w:val="21"/>
                <w:highlight w:val="none"/>
              </w:rPr>
              <w:t>在满足收益分配基准日理财计划份额净值大于1元的情况下，管理人将</w:t>
            </w:r>
            <w:r>
              <w:rPr>
                <w:rFonts w:hint="eastAsia" w:ascii="宋体" w:hAnsi="宋体" w:cs="宋体"/>
                <w:szCs w:val="21"/>
                <w:highlight w:val="none"/>
              </w:rPr>
              <w:t>〖</w:t>
            </w:r>
            <w:r>
              <w:rPr>
                <w:rFonts w:hint="eastAsia" w:ascii="宋体" w:hAnsi="宋体" w:cs="宋体"/>
                <w:color w:val="000000"/>
                <w:szCs w:val="21"/>
                <w:highlight w:val="none"/>
                <w:lang w:eastAsia="zh"/>
              </w:rPr>
              <w:t>不</w:t>
            </w:r>
            <w:r>
              <w:rPr>
                <w:rFonts w:hint="eastAsia" w:ascii="宋体" w:hAnsi="宋体" w:cs="宋体"/>
                <w:color w:val="000000"/>
                <w:szCs w:val="21"/>
                <w:highlight w:val="none"/>
              </w:rPr>
              <w:t>定期</w:t>
            </w:r>
            <w:r>
              <w:rPr>
                <w:rFonts w:hint="eastAsia" w:ascii="宋体" w:hAnsi="宋体" w:cs="宋体"/>
                <w:szCs w:val="21"/>
                <w:highlight w:val="none"/>
              </w:rPr>
              <w:t>〗</w:t>
            </w:r>
            <w:r>
              <w:rPr>
                <w:rFonts w:hint="eastAsia" w:ascii="宋体" w:hAnsi="宋体" w:cs="宋体"/>
                <w:color w:val="000000"/>
                <w:szCs w:val="21"/>
                <w:highlight w:val="none"/>
              </w:rPr>
              <w:t>将大于1元部分的收益进行全部或部</w:t>
            </w:r>
            <w:bookmarkStart w:id="0" w:name="_GoBack"/>
            <w:bookmarkEnd w:id="0"/>
            <w:r>
              <w:rPr>
                <w:rFonts w:hint="eastAsia" w:ascii="宋体" w:hAnsi="宋体" w:cs="宋体"/>
                <w:color w:val="000000"/>
                <w:szCs w:val="21"/>
                <w:highlight w:val="none"/>
              </w:rPr>
              <w:t>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业绩比较基准</w:t>
            </w:r>
          </w:p>
        </w:tc>
        <w:tc>
          <w:tcPr>
            <w:tcW w:w="7185" w:type="dxa"/>
            <w:noWrap w:val="0"/>
            <w:vAlign w:val="center"/>
          </w:tcPr>
          <w:p>
            <w:pPr>
              <w:keepNext w:val="0"/>
              <w:keepLines w:val="0"/>
              <w:pageBreakBefore w:val="0"/>
              <w:suppressLineNumbers w:val="0"/>
              <w:spacing w:before="0" w:beforeAutospacing="0" w:after="0" w:afterAutospacing="0" w:line="360" w:lineRule="auto"/>
              <w:ind w:left="0" w:right="0" w:hanging="1"/>
              <w:jc w:val="left"/>
              <w:textAlignment w:val="auto"/>
              <w:rPr>
                <w:rFonts w:hint="default"/>
              </w:rPr>
            </w:pP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本理财计划〖A份额〗业绩比较基准为〖2.40%-2.60%〗（年化）。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本理财计划〖B份额〗业绩比较基准为〖2.50%-2.70%〗（年化）。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本理财计划〖C份额〗业绩比较基准为〖2.60%-2.80%〗（年化）。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本理财计划〖D份额〗业绩比较基准为〖2.55%-2.75%〗（年化）。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本理财计划〖E份额〗业绩比较基准为〖2.25%-2.45%〗（年化）。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本理财计划〖G份额〗业绩比较基准为〖2.70%-2.90%〗（年化）。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本理财计划〖H份额〗业绩比较基准为〖2.50%-2.70%〗（年化）。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本理财计划〖I份额〗业绩比较基准为〖2.40%-2.60%〗（年化）。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本理财计划〖J份额〗业绩比较基准为〖2.65%-2.85%〗（年化）。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本理财计划〖K份额〗业绩比较基准为〖2.40%-2.60%〗（年化）。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本理财计划〖M份额〗业绩比较基准为〖2.55%-2.75%〗（年化）。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本理财计划〖N份额〗业绩比较基准为〖2.50%-2.70%〗（年化）。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本理财计划〖O份额〗业绩比较基准为〖2.50%-2.70%〗（年化）。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本理财计划〖P份额〗业绩比较基准为〖2.55%-2.75%〗（年化）。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本理财计划〖Q份额〗业绩比较基准为〖2.45%-2.65%〗（年化）。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本理财计划〖R份额〗业绩比较基准为〖2.45%-2.65%〗（年化）。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本理财计划〖T份额〗业绩比较基准为〖2.56%-2.76%〗（年化）。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本理财计划〖U份额〗业绩比较基准为〖2.60%-2.80%〗（年化）。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本理财计划〖V份额〗业绩比较基准为〖2.55%-2.75%〗（年化）。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本理财计划〖W份额〗业绩比较基准为〖2.40%-2.60%〗（年化）。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本理财计划〖X份额〗业绩比较基准为〖2.65%-2.85%〗（年化）。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本理财计划〖Y份额〗业绩比较基准为〖2.50%-2.70%〗（年化）。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本理财计划〖Z份额〗业绩比较基准为〖2.60%-2.80%〗（年化）。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本理财计划〖ZA份额〗业绩比较基准为〖2.55%-2.75%〗（年化）。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本理财计划〖ZB份额〗业绩比较基准为〖2.65%-2.85%〗（年化）。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本理财计划〖ZC份额〗业绩比较基准为〖2.55%-2.75%〗（年化）。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本理财计划〖ZD份额〗业绩比较基准为〖2.70%-2.90%〗（年化）。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本理财计划〖ZE份额〗业绩比较基准为〖2.55%-2.75%〗（年化）。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本理财计划〖ZF份额〗业绩比较基准为〖2.60%-2.80%〗（年化）。</w:t>
            </w:r>
          </w:p>
          <w:p>
            <w:pPr>
              <w:keepNext w:val="0"/>
              <w:keepLines w:val="0"/>
              <w:widowControl/>
              <w:suppressLineNumbers w:val="0"/>
              <w:spacing w:before="0" w:beforeAutospacing="0" w:after="0" w:afterAutospacing="0" w:line="360" w:lineRule="auto"/>
              <w:ind w:left="0" w:right="0"/>
              <w:jc w:val="left"/>
              <w:rPr>
                <w:rFonts w:hint="eastAsia" w:ascii="宋体" w:hAnsi="宋体" w:cs="宋体"/>
                <w:b/>
                <w:bCs/>
                <w:szCs w:val="21"/>
                <w:highlight w:val="none"/>
              </w:rPr>
            </w:pPr>
            <w:r>
              <w:rPr>
                <w:rFonts w:hint="eastAsia" w:ascii="宋体" w:hAnsi="宋体" w:cs="宋体"/>
                <w:b/>
                <w:bCs/>
                <w:color w:val="000000"/>
                <w:szCs w:val="21"/>
                <w:highlight w:val="none"/>
              </w:rPr>
              <w:t>业绩基准测算依据：</w:t>
            </w:r>
            <w:r>
              <w:rPr>
                <w:rFonts w:hint="eastAsia" w:ascii="宋体" w:hAnsi="宋体" w:eastAsia="宋体" w:cs="宋体"/>
                <w:b/>
                <w:bCs/>
                <w:color w:val="000000"/>
                <w:kern w:val="2"/>
                <w:sz w:val="21"/>
                <w:szCs w:val="21"/>
                <w:lang w:val="en-US" w:eastAsia="zh-CN" w:bidi="ar"/>
              </w:rPr>
              <w:t>本理财计划重</w:t>
            </w:r>
            <w:r>
              <w:rPr>
                <w:rFonts w:hint="eastAsia" w:ascii="宋体" w:hAnsi="宋体" w:eastAsia="宋体" w:cs="宋体"/>
                <w:b/>
                <w:bCs/>
                <w:kern w:val="2"/>
                <w:sz w:val="21"/>
                <w:szCs w:val="21"/>
                <w:lang w:val="en-US" w:eastAsia="zh-CN" w:bidi="ar"/>
              </w:rPr>
              <w:t>点投资于货币市场工具、债券、非标准化债权类资产等资产，管理人根据固定收益市场历史表现，结合当前利率水平、资产配比及市场同类型产品情况，经综合判断得出。</w:t>
            </w:r>
          </w:p>
          <w:p>
            <w:pPr>
              <w:keepNext w:val="0"/>
              <w:keepLines w:val="0"/>
              <w:widowControl/>
              <w:suppressLineNumbers w:val="0"/>
              <w:spacing w:before="0" w:beforeAutospacing="0" w:after="0" w:afterAutospacing="0" w:line="360" w:lineRule="auto"/>
              <w:ind w:left="0" w:right="0"/>
              <w:jc w:val="left"/>
              <w:rPr>
                <w:rFonts w:hint="eastAsia" w:ascii="宋体" w:hAnsi="宋体" w:cs="宋体"/>
                <w:b/>
                <w:szCs w:val="21"/>
                <w:highlight w:val="none"/>
              </w:rPr>
            </w:pPr>
            <w:r>
              <w:rPr>
                <w:rFonts w:hint="eastAsia" w:ascii="宋体" w:hAnsi="宋体" w:cs="宋体"/>
                <w:szCs w:val="21"/>
                <w:highlight w:val="none"/>
              </w:rPr>
              <w:t>管理人有权根据市场情况及</w:t>
            </w:r>
            <w:r>
              <w:rPr>
                <w:rFonts w:hint="eastAsia" w:ascii="宋体" w:hAnsi="宋体" w:cs="宋体"/>
                <w:szCs w:val="21"/>
                <w:highlight w:val="none"/>
                <w:lang w:eastAsia="zh-CN"/>
              </w:rPr>
              <w:t>理财计划</w:t>
            </w:r>
            <w:r>
              <w:rPr>
                <w:rFonts w:hint="eastAsia" w:ascii="宋体" w:hAnsi="宋体" w:cs="宋体"/>
                <w:szCs w:val="21"/>
                <w:highlight w:val="none"/>
              </w:rPr>
              <w:t>运作情况调整业绩基准，并至少于新业绩基准启用前</w:t>
            </w:r>
            <w:r>
              <w:rPr>
                <w:rFonts w:hint="eastAsia" w:ascii="宋体" w:hAnsi="宋体" w:cs="宋体"/>
                <w:kern w:val="0"/>
                <w:highlight w:val="none"/>
              </w:rPr>
              <w:t>〖</w:t>
            </w:r>
            <w:r>
              <w:rPr>
                <w:rFonts w:hint="eastAsia" w:ascii="宋体" w:hAnsi="宋体" w:cs="宋体"/>
                <w:color w:val="000000"/>
                <w:kern w:val="0"/>
                <w:highlight w:val="none"/>
                <w:lang w:val="en-US" w:eastAsia="zh-CN"/>
              </w:rPr>
              <w:t>2</w:t>
            </w:r>
            <w:r>
              <w:rPr>
                <w:rFonts w:hint="eastAsia" w:ascii="宋体" w:hAnsi="宋体" w:cs="宋体"/>
                <w:kern w:val="0"/>
                <w:highlight w:val="none"/>
              </w:rPr>
              <w:t>〗</w:t>
            </w:r>
            <w:r>
              <w:rPr>
                <w:rFonts w:hint="eastAsia" w:ascii="宋体" w:hAnsi="宋体" w:cs="宋体"/>
                <w:szCs w:val="21"/>
                <w:highlight w:val="none"/>
              </w:rPr>
              <w:t>个工作日公告。</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b/>
                <w:szCs w:val="21"/>
                <w:highlight w:val="none"/>
              </w:rPr>
              <w:t>本理财计划为净值型理财产品，其业绩表现将随市场波动具有不确定性。本公司提醒投资者关注，业绩比较基准</w:t>
            </w:r>
            <w:r>
              <w:rPr>
                <w:rFonts w:hint="eastAsia" w:ascii="宋体" w:hAnsi="宋体" w:cs="宋体"/>
                <w:b/>
                <w:szCs w:val="21"/>
                <w:highlight w:val="none"/>
                <w:lang w:eastAsia="zh-CN"/>
              </w:rPr>
              <w:t>不是预期收益率，</w:t>
            </w:r>
            <w:r>
              <w:rPr>
                <w:rFonts w:hint="eastAsia" w:ascii="宋体" w:hAnsi="宋体" w:cs="宋体"/>
                <w:b/>
                <w:szCs w:val="21"/>
                <w:highlight w:val="none"/>
              </w:rPr>
              <w:t>并不代表</w:t>
            </w:r>
            <w:r>
              <w:rPr>
                <w:rFonts w:hint="eastAsia" w:ascii="宋体" w:hAnsi="宋体" w:cs="宋体"/>
                <w:b/>
                <w:szCs w:val="21"/>
                <w:highlight w:val="none"/>
                <w:lang w:eastAsia="zh-CN"/>
              </w:rPr>
              <w:t>理财计划的未来表现和</w:t>
            </w:r>
            <w:r>
              <w:rPr>
                <w:rFonts w:hint="eastAsia" w:ascii="宋体" w:hAnsi="宋体" w:cs="宋体"/>
                <w:b/>
                <w:szCs w:val="21"/>
                <w:highlight w:val="none"/>
              </w:rPr>
              <w:t>实际收益率</w:t>
            </w:r>
            <w:r>
              <w:rPr>
                <w:rFonts w:hint="eastAsia" w:ascii="宋体" w:hAnsi="宋体" w:cs="宋体"/>
                <w:b/>
                <w:szCs w:val="21"/>
                <w:highlight w:val="none"/>
                <w:lang w:eastAsia="zh-CN"/>
              </w:rPr>
              <w:t>，不构成对理财计划收益的承诺</w:t>
            </w:r>
            <w:r>
              <w:rPr>
                <w:rFonts w:hint="eastAsia" w:ascii="宋体" w:hAnsi="宋体" w:cs="宋体"/>
                <w:b/>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产品费用</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1.</w:t>
            </w:r>
            <w:r>
              <w:rPr>
                <w:rFonts w:hint="eastAsia" w:ascii="宋体" w:hAnsi="宋体" w:cs="宋体"/>
                <w:color w:val="000000"/>
                <w:szCs w:val="21"/>
                <w:highlight w:val="none"/>
                <w:lang w:eastAsia="zh-CN"/>
              </w:rPr>
              <w:t>销售服务费</w:t>
            </w: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〖A份额〗收取年化〖0.30%〗的销售服务费, 〖B份额〗收取年化〖0.20%〗的销售服务费, 〖C份额〗收取年化〖0.10%〗的销售服务费, 〖D份额〗收取年化〖0.15%〗的销售服务费, 〖E份额〗收取年化〖0.40%〗的销售服务费, 〖G份额〗收取年化〖0.01%〗的销售服务费, 〖H份额〗收取年化〖0.20%〗的销售服务费, 〖I份额〗收取年化〖0.30%〗的销售服务费, 〖J份额〗收取年化〖0.05%〗的销售服务费, 〖K份额〗收取年化〖0.30%〗的销售服务费, 〖M份额〗收取年化〖0.15%〗的销售服务费, 〖N份额〗收取年化〖0.20%〗的销售服务费, 〖O份额〗收取年化〖0.20%〗的销售服务费, 〖P份额〗收取年化〖0.15%〗的销售服务费, 〖Q份额〗收取年化〖0.25%〗的销售服务费, 〖R份额〗收取年化〖0.25%〗的销售服务费, 〖T份额〗收取年化〖0.15%〗的销售服务费, 〖U份额〗收取年化〖0.15%〗的销售服务费, 〖V份额〗收取年化〖0.15%〗的销售服务费, 〖W份额〗收取年化〖0.30%〗的销售服务费, 〖X份额〗收取年化〖0.05%〗的销售服务费, 〖Y份额〗收取年化〖0.20%〗的销售服务费, 〖Z份额〗收取年化〖0.10%〗的销售服务费, 〖ZA份额〗收取年化〖0.15%〗的销售服务费, 〖ZB份额〗收取年化〖0.05%〗的销售服务费, 〖ZC份额〗收取年化〖0.15%〗的销售服务费, 〖ZD份额〗收取年化〖0.01%〗的销售服务费, 〖ZE份额〗收取年化〖0.20%〗的销售服务费, 〖ZF份额〗收取年化〖0.15%〗的销售服务费。</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2.托管费：收取年化</w:t>
            </w:r>
            <w:r>
              <w:rPr>
                <w:rFonts w:hint="eastAsia" w:ascii="宋体" w:hAnsi="宋体" w:cs="宋体"/>
                <w:szCs w:val="21"/>
                <w:highlight w:val="none"/>
              </w:rPr>
              <w:t>〖</w:t>
            </w:r>
            <w:r>
              <w:rPr>
                <w:rFonts w:hint="eastAsia" w:ascii="宋体" w:hAnsi="宋体" w:eastAsia="宋体" w:cs="宋体"/>
                <w:kern w:val="2"/>
                <w:sz w:val="21"/>
                <w:szCs w:val="21"/>
                <w:highlight w:val="none"/>
                <w:lang w:val="en-US" w:eastAsia="zh-CN" w:bidi="ar-SA"/>
              </w:rPr>
              <w:t>0.025</w:t>
            </w:r>
            <w:r>
              <w:rPr>
                <w:rFonts w:hint="eastAsia" w:ascii="宋体" w:hAnsi="宋体" w:cs="宋体"/>
                <w:szCs w:val="21"/>
                <w:highlight w:val="none"/>
                <w:lang w:eastAsia="zh"/>
              </w:rPr>
              <w:t>%</w:t>
            </w:r>
            <w:r>
              <w:rPr>
                <w:rFonts w:hint="eastAsia" w:ascii="宋体" w:hAnsi="宋体" w:cs="宋体"/>
                <w:szCs w:val="21"/>
                <w:highlight w:val="none"/>
              </w:rPr>
              <w:t>〗</w:t>
            </w:r>
            <w:r>
              <w:rPr>
                <w:rFonts w:hint="eastAsia" w:ascii="宋体" w:hAnsi="宋体" w:cs="宋体"/>
                <w:color w:val="000000"/>
                <w:szCs w:val="21"/>
                <w:highlight w:val="none"/>
              </w:rPr>
              <w:t>的托管费。</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3.固定管理费：</w:t>
            </w:r>
            <w:r>
              <w:rPr>
                <w:rFonts w:hint="eastAsia" w:ascii="宋体" w:hAnsi="宋体" w:eastAsia="宋体" w:cs="宋体"/>
                <w:color w:val="000000"/>
                <w:kern w:val="2"/>
                <w:sz w:val="21"/>
                <w:szCs w:val="21"/>
                <w:highlight w:val="none"/>
                <w:lang w:val="en-US" w:eastAsia="zh-CN" w:bidi="ar-SA"/>
              </w:rPr>
              <w:t>〖A份额〗收取年化〖0.10%〗的固定管理费, 〖B份额〗收取年化〖0.10%〗的固定管理费, 〖C份额〗收取年化〖0.10%〗的固定管理费, 〖D份额〗收取年化〖0.10%〗的固定管理费, 〖E份额〗收取年化〖0.15%〗的固定管理费, 〖G份额〗收取年化〖0.09%〗的固定管理费, 〖H份额〗收取年化〖0.10%〗的固定管理费, 〖I份额〗收取年化〖0.10%〗的固定管理费, 〖J份额〗收取年化〖0.10%〗的固定管理费, 〖K份额〗收取年化〖0.10%〗的固定管理费, 〖M份额〗收取年化〖0.10%〗的固定管理费, 〖N份额〗收取年化〖0.10%〗的固定管理费, 〖O份额〗收取年化〖0.10%〗的固定管理费, 〖P份额〗收取年化〖0.10%〗的固定管理费, 〖Q份额〗收取年化〖0.10%〗的固定管理费, 〖R份额〗收取年化〖0.10%〗的固定管理费, 〖T份额〗收取年化〖0.09%〗的固定管理费, 〖U份额〗收取年化〖0.05%〗的固定管理费, 〖V份额〗收取年化〖0.10%〗的固定管理费, 〖W份额〗收取年化〖0.10%〗的固定管理费, 〖X份额〗收取年化〖0.10%〗的固定管理费, 〖Y份额〗收取年化〖0.10%〗的固定管理费, 〖Z份额〗收取年化〖0.10%〗的固定管理费, 〖ZA份额〗收取年化〖0.10%〗的固定管理费, 〖ZB份额〗收取年化〖0.10%〗的固定管理费, 〖ZC份额〗收取年化〖0.10%〗的固定管理费, 〖ZD份额〗收取年化〖0.09%〗的固定管理费, 〖ZE份额〗收取年化〖0.05%〗的固定管理费, 〖ZF份额〗收取年化〖0.05%〗的固定管理费。</w:t>
            </w:r>
          </w:p>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Cs w:val="21"/>
                <w:highlight w:val="none"/>
              </w:rPr>
            </w:pPr>
            <w:r>
              <w:rPr>
                <w:rFonts w:hint="eastAsia" w:ascii="宋体" w:hAnsi="宋体" w:cs="宋体"/>
                <w:color w:val="000000"/>
                <w:szCs w:val="21"/>
                <w:highlight w:val="none"/>
              </w:rPr>
              <w:t>4.认购费：本理财计划免除认购费。</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5.浮动管理费</w:t>
            </w:r>
            <w:r>
              <w:rPr>
                <w:rFonts w:hint="eastAsia" w:ascii="宋体" w:hAnsi="宋体" w:cs="宋体"/>
                <w:color w:val="000000"/>
                <w:szCs w:val="21"/>
                <w:highlight w:val="none"/>
                <w:lang w:eastAsia="zh-CN"/>
              </w:rPr>
              <w:t>：</w:t>
            </w:r>
            <w:r>
              <w:rPr>
                <w:rFonts w:hint="eastAsia" w:ascii="宋体" w:hAnsi="宋体" w:eastAsia="宋体" w:cs="宋体"/>
                <w:color w:val="000000"/>
                <w:kern w:val="2"/>
                <w:sz w:val="21"/>
                <w:szCs w:val="21"/>
                <w:highlight w:val="none"/>
                <w:lang w:val="en-US" w:eastAsia="zh-CN" w:bidi="ar-SA"/>
              </w:rPr>
              <w:t>管理人根据理财计划投资情况计算浮动管理费，本理财计划份额（除O份额）到期日（提前终止日）的折合年化收益率在〖业绩比较基准下限（含）至业绩比较基准上限（含）〗的部分，管理人提取〖50%〗作为浮动管理费，在折合年化收益率超过〖业绩比较基准上限〗的部分，管理人提取〖80%〗作为浮动管理费；〖O份额〗到期日（提前终止日）的折合年化收益率在〖业绩比较基准下限（含）至业绩比较基准中枢（含）〗的部分，管理人提取〖50%〗作为浮动管理费，在折合年化收益率超过〖业绩比较基准中枢〗的部分，管理人提取〖60%〗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提前终止</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b/>
                <w:color w:val="000000"/>
                <w:kern w:val="0"/>
                <w:szCs w:val="21"/>
                <w:highlight w:val="none"/>
              </w:rPr>
            </w:pPr>
            <w:r>
              <w:rPr>
                <w:rFonts w:hint="eastAsia" w:ascii="宋体" w:hAnsi="宋体" w:cs="宋体"/>
                <w:b/>
                <w:color w:val="000000"/>
                <w:kern w:val="0"/>
                <w:szCs w:val="21"/>
                <w:highlight w:val="none"/>
              </w:rPr>
              <w:t>如遇国家金融政策出现重大调整并影响到本理财计划的正常运行的、市场收益率大幅波动可能或实质影响理财计划收益等情况，管理人有权提前终止本理财计划。具体参见说明书“交易规则”部分。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税费规定</w:t>
            </w:r>
          </w:p>
        </w:tc>
        <w:tc>
          <w:tcPr>
            <w:tcW w:w="7185" w:type="dxa"/>
            <w:noWrap w:val="0"/>
            <w:vAlign w:val="center"/>
          </w:tcPr>
          <w:p>
            <w:pPr>
              <w:keepNext w:val="0"/>
              <w:keepLines w:val="0"/>
              <w:suppressLineNumbers w:val="0"/>
              <w:spacing w:before="0" w:beforeAutospacing="0" w:after="0" w:afterAutospacing="0" w:line="360" w:lineRule="auto"/>
              <w:ind w:left="0" w:right="0"/>
              <w:outlineLvl w:val="9"/>
              <w:rPr>
                <w:rFonts w:hint="eastAsia" w:ascii="宋体" w:hAnsi="宋体" w:cs="宋体"/>
                <w:color w:val="000000"/>
                <w:szCs w:val="21"/>
                <w:highlight w:val="none"/>
              </w:rPr>
            </w:pPr>
            <w:r>
              <w:rPr>
                <w:rFonts w:hint="eastAsia" w:ascii="宋体" w:hAnsi="宋体" w:cs="宋体"/>
                <w:color w:val="000000"/>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kern w:val="0"/>
                <w:szCs w:val="21"/>
                <w:highlight w:val="none"/>
              </w:rPr>
            </w:pPr>
            <w:r>
              <w:rPr>
                <w:rFonts w:hint="eastAsia" w:ascii="宋体" w:hAnsi="宋体" w:cs="宋体"/>
                <w:color w:val="000000"/>
                <w:szCs w:val="21"/>
                <w:highlight w:val="none"/>
              </w:rPr>
              <w:t>融资服务</w:t>
            </w:r>
          </w:p>
        </w:tc>
        <w:tc>
          <w:tcPr>
            <w:tcW w:w="7185" w:type="dxa"/>
            <w:noWrap w:val="0"/>
            <w:vAlign w:val="bottom"/>
          </w:tcPr>
          <w:p>
            <w:pPr>
              <w:keepNext w:val="0"/>
              <w:keepLines w:val="0"/>
              <w:suppressLineNumbers w:val="0"/>
              <w:spacing w:before="0" w:beforeAutospacing="0" w:after="0" w:afterAutospacing="0" w:line="360" w:lineRule="auto"/>
              <w:ind w:left="0" w:right="0"/>
              <w:rPr>
                <w:rFonts w:hint="eastAsia" w:ascii="宋体" w:hAnsi="宋体" w:cs="宋体"/>
                <w:b/>
                <w:color w:val="000000"/>
                <w:kern w:val="0"/>
                <w:szCs w:val="21"/>
                <w:highlight w:val="none"/>
              </w:rPr>
            </w:pPr>
            <w:r>
              <w:rPr>
                <w:rFonts w:hint="eastAsia" w:ascii="宋体" w:hAnsi="宋体" w:cs="宋体"/>
                <w:b/>
                <w:color w:val="000000"/>
                <w:szCs w:val="21"/>
                <w:highlight w:val="none"/>
              </w:rPr>
              <w:t>投资者在理财期限内不能提前</w:t>
            </w:r>
            <w:r>
              <w:rPr>
                <w:rFonts w:hint="eastAsia" w:ascii="宋体" w:hAnsi="宋体" w:cs="宋体"/>
                <w:b/>
                <w:color w:val="000000"/>
                <w:szCs w:val="21"/>
                <w:highlight w:val="none"/>
                <w:lang w:eastAsia="zh-CN"/>
              </w:rPr>
              <w:t>赎回</w:t>
            </w:r>
            <w:r>
              <w:rPr>
                <w:rFonts w:hint="eastAsia" w:ascii="宋体" w:hAnsi="宋体" w:cs="宋体"/>
                <w:b/>
                <w:color w:val="000000"/>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Cs w:val="21"/>
                <w:highlight w:val="none"/>
              </w:rPr>
            </w:pPr>
            <w:r>
              <w:rPr>
                <w:rFonts w:hint="eastAsia" w:ascii="宋体" w:hAnsi="宋体" w:cs="宋体"/>
                <w:color w:val="000000"/>
                <w:szCs w:val="21"/>
                <w:highlight w:val="none"/>
              </w:rPr>
              <w:t>认购期内按照活期存款利率计息，认购期内的利息不计入认购本金份额。到期日（或理财计划实际终止日）到理财资金返还到账日为清算期，清算期内不计付利息。</w:t>
            </w:r>
            <w:r>
              <w:rPr>
                <w:rFonts w:hint="eastAsia" w:ascii="宋体" w:hAnsi="宋体" w:cs="宋体"/>
                <w:color w:val="000000"/>
                <w:kern w:val="0"/>
                <w:szCs w:val="21"/>
                <w:highlight w:val="none"/>
              </w:rPr>
              <w:t>（具体以销售机构规定为准）</w:t>
            </w:r>
          </w:p>
          <w:p>
            <w:pPr>
              <w:keepNext w:val="0"/>
              <w:keepLines w:val="0"/>
              <w:suppressLineNumbers w:val="0"/>
              <w:spacing w:before="0" w:beforeAutospacing="0" w:after="0" w:afterAutospacing="0" w:line="360" w:lineRule="auto"/>
              <w:ind w:left="0" w:right="0"/>
              <w:rPr>
                <w:rFonts w:hint="eastAsia" w:ascii="宋体" w:hAnsi="宋体" w:cs="宋体"/>
                <w:color w:val="000000"/>
                <w:kern w:val="0"/>
                <w:szCs w:val="21"/>
                <w:highlight w:val="none"/>
              </w:rPr>
            </w:pPr>
            <w:r>
              <w:rPr>
                <w:rFonts w:hint="eastAsia" w:ascii="宋体" w:hAnsi="宋体" w:cs="宋体"/>
                <w:color w:val="000000"/>
                <w:kern w:val="0"/>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19"/>
        </w:numPr>
        <w:spacing w:line="360" w:lineRule="auto"/>
        <w:outlineLvl w:val="9"/>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0"/>
        </w:numPr>
        <w:spacing w:line="360" w:lineRule="auto"/>
        <w:ind w:leftChars="0" w:firstLine="480" w:firstLineChars="200"/>
        <w:outlineLvl w:val="9"/>
        <w:rPr>
          <w:rFonts w:hint="eastAsia" w:ascii="宋体" w:hAnsi="宋体" w:cs="宋体"/>
          <w:b/>
          <w:color w:val="000000"/>
          <w:sz w:val="24"/>
          <w:highlight w:val="none"/>
        </w:rPr>
      </w:pPr>
      <w:r>
        <w:rPr>
          <w:rFonts w:hint="eastAsia" w:ascii="宋体" w:hAnsi="宋体" w:eastAsia="宋体" w:cs="宋体"/>
          <w:bCs/>
          <w:color w:val="auto"/>
          <w:kern w:val="2"/>
          <w:sz w:val="24"/>
          <w:szCs w:val="24"/>
          <w:highlight w:val="none"/>
          <w:lang w:val="en-US" w:eastAsia="zh-CN" w:bidi="ar-SA"/>
        </w:rPr>
        <w:t>本理财计划自成立日起〖1个月〗为建仓期，管理人应当在建仓期结束前使各项投资比例符合约定。</w:t>
      </w:r>
    </w:p>
    <w:p>
      <w:pPr>
        <w:numPr>
          <w:ilvl w:val="0"/>
          <w:numId w:val="20"/>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eastAsia="宋体" w:cs="宋体"/>
          <w:bCs/>
          <w:sz w:val="24"/>
          <w:highlight w:val="none"/>
        </w:rPr>
      </w:pPr>
      <w:r>
        <w:rPr>
          <w:rFonts w:hint="eastAsia" w:ascii="宋体" w:hAnsi="宋体" w:eastAsia="宋体" w:cs="宋体"/>
          <w:bCs/>
          <w:sz w:val="24"/>
          <w:highlight w:val="none"/>
        </w:rPr>
        <w:t>本理财计划主要投资于符合监管要求的各类资产：</w:t>
      </w:r>
    </w:p>
    <w:p>
      <w:pPr>
        <w:keepNext w:val="0"/>
        <w:keepLines w:val="0"/>
        <w:widowControl w:val="0"/>
        <w:suppressLineNumbers w:val="0"/>
        <w:spacing w:before="0" w:beforeAutospacing="0" w:after="0" w:afterAutospacing="0" w:line="360" w:lineRule="auto"/>
        <w:ind w:left="-1" w:right="-1" w:firstLine="480"/>
        <w:jc w:val="left"/>
        <w:rPr>
          <w:rFonts w:hint="eastAsia" w:ascii="宋体" w:hAnsi="宋体" w:eastAsia="宋体" w:cs="宋体"/>
          <w:kern w:val="2"/>
          <w:position w:val="0"/>
          <w:sz w:val="24"/>
          <w:szCs w:val="24"/>
          <w:highlight w:val="none"/>
        </w:rPr>
      </w:pPr>
      <w:r>
        <w:rPr>
          <w:rFonts w:hint="eastAsia" w:ascii="宋体" w:hAnsi="宋体" w:eastAsia="宋体" w:cs="宋体"/>
          <w:kern w:val="2"/>
          <w:position w:val="0"/>
          <w:sz w:val="24"/>
          <w:szCs w:val="24"/>
          <w:highlight w:val="none"/>
          <w:lang w:val="en-US" w:eastAsia="zh-CN" w:bidi="ar"/>
        </w:rPr>
        <w:t>包括但不限于各类债券、存款、货币市场金融工具、债券基金、质押式及买断式回购、非标准化债权类资产，其他符合监管要求的固定收益类资产及资产管理产品。</w:t>
      </w:r>
    </w:p>
    <w:p>
      <w:pPr>
        <w:keepNext w:val="0"/>
        <w:keepLines w:val="0"/>
        <w:widowControl w:val="0"/>
        <w:suppressLineNumbers w:val="0"/>
        <w:spacing w:before="0" w:beforeAutospacing="0" w:after="0" w:afterAutospacing="0"/>
        <w:ind w:left="0" w:leftChars="0" w:right="0" w:firstLine="480" w:firstLineChars="200"/>
        <w:jc w:val="both"/>
        <w:rPr>
          <w:rFonts w:hint="eastAsia" w:ascii="宋体" w:hAnsi="宋体" w:eastAsia="宋体" w:cs="宋体"/>
          <w:highlight w:val="none"/>
        </w:rPr>
      </w:pPr>
      <w:r>
        <w:rPr>
          <w:rFonts w:hint="eastAsia" w:ascii="宋体" w:hAnsi="宋体" w:eastAsia="宋体" w:cs="宋体"/>
          <w:kern w:val="2"/>
          <w:position w:val="0"/>
          <w:sz w:val="24"/>
          <w:szCs w:val="24"/>
          <w:highlight w:val="none"/>
          <w:lang w:val="en-US" w:eastAsia="zh-CN" w:bidi="ar"/>
        </w:rPr>
        <w:t>法律法规或监管机构允许投资的符合本理财产品投资性质的其他金融资产。</w:t>
      </w:r>
    </w:p>
    <w:p>
      <w:pPr>
        <w:numPr>
          <w:ilvl w:val="0"/>
          <w:numId w:val="20"/>
        </w:numPr>
        <w:spacing w:line="360" w:lineRule="auto"/>
        <w:jc w:val="left"/>
        <w:outlineLvl w:val="9"/>
        <w:rPr>
          <w:rFonts w:hint="eastAsia" w:ascii="宋体" w:hAnsi="宋体" w:eastAsia="宋体" w:cs="宋体"/>
          <w:b/>
          <w:sz w:val="24"/>
          <w:highlight w:val="none"/>
        </w:rPr>
      </w:pPr>
      <w:r>
        <w:rPr>
          <w:rFonts w:hint="eastAsia" w:ascii="宋体" w:hAnsi="宋体" w:eastAsia="宋体" w:cs="宋体"/>
          <w:b/>
          <w:sz w:val="24"/>
          <w:highlight w:val="none"/>
        </w:rPr>
        <w:t>投资比例</w:t>
      </w:r>
    </w:p>
    <w:p>
      <w:pPr>
        <w:spacing w:line="360" w:lineRule="auto"/>
        <w:ind w:firstLine="480" w:firstLineChars="200"/>
        <w:jc w:val="left"/>
        <w:rPr>
          <w:rFonts w:hint="eastAsia" w:ascii="宋体" w:hAnsi="宋体" w:eastAsia="宋体" w:cs="宋体"/>
          <w:bCs/>
          <w:sz w:val="24"/>
          <w:highlight w:val="none"/>
        </w:rPr>
      </w:pPr>
      <w:r>
        <w:rPr>
          <w:rFonts w:hint="eastAsia" w:ascii="宋体" w:hAnsi="宋体" w:eastAsia="宋体" w:cs="宋体"/>
          <w:bCs/>
          <w:sz w:val="24"/>
          <w:highlight w:val="none"/>
        </w:rPr>
        <w:t>本理财计划各投资资产占</w:t>
      </w:r>
      <w:r>
        <w:rPr>
          <w:rFonts w:hint="eastAsia" w:ascii="宋体" w:hAnsi="宋体" w:eastAsia="宋体" w:cs="宋体"/>
          <w:bCs/>
          <w:sz w:val="24"/>
          <w:highlight w:val="none"/>
          <w:lang w:eastAsia="zh-CN"/>
        </w:rPr>
        <w:t>总</w:t>
      </w:r>
      <w:r>
        <w:rPr>
          <w:rFonts w:hint="eastAsia" w:ascii="宋体" w:hAnsi="宋体" w:eastAsia="宋体" w:cs="宋体"/>
          <w:bCs/>
          <w:sz w:val="24"/>
          <w:highlight w:val="none"/>
        </w:rPr>
        <w:t>资产的配置比例如下：</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bCs/>
          <w:sz w:val="24"/>
          <w:szCs w:val="24"/>
          <w:highlight w:val="none"/>
        </w:rPr>
      </w:pPr>
      <w:r>
        <w:rPr>
          <w:rFonts w:hint="eastAsia" w:ascii="宋体" w:hAnsi="宋体" w:eastAsia="宋体" w:cs="宋体"/>
          <w:kern w:val="2"/>
          <w:sz w:val="24"/>
          <w:szCs w:val="24"/>
          <w:lang w:val="en-US" w:eastAsia="zh-CN" w:bidi="ar"/>
        </w:rPr>
        <w:t>本理财产品投资于固定收益类资产的比例不低于80%，投资于非标准化债权类资产的比例不高于50%。</w:t>
      </w:r>
    </w:p>
    <w:p>
      <w:pPr>
        <w:pStyle w:val="17"/>
        <w:numPr>
          <w:ilvl w:val="0"/>
          <w:numId w:val="21"/>
        </w:numPr>
        <w:adjustRightInd/>
        <w:spacing w:line="360" w:lineRule="auto"/>
        <w:ind w:firstLine="456" w:firstLineChars="190"/>
        <w:rPr>
          <w:rFonts w:hint="eastAsia" w:ascii="宋体" w:hAnsi="宋体" w:eastAsia="宋体" w:cs="宋体"/>
          <w:bCs/>
          <w:color w:val="auto"/>
          <w:kern w:val="2"/>
          <w:highlight w:val="none"/>
        </w:rPr>
      </w:pPr>
      <w:r>
        <w:rPr>
          <w:rFonts w:hint="eastAsia" w:ascii="宋体" w:hAnsi="宋体" w:eastAsia="宋体" w:cs="宋体"/>
          <w:bCs/>
          <w:color w:val="auto"/>
          <w:kern w:val="2"/>
          <w:highlight w:val="none"/>
        </w:rPr>
        <w:t>在理财计划存续期间如遇市场变化导致各类投资品投资比例暂时超出以上范围，为保护投资者利益，管理人将在流动性受限资产可出售、可转让或者恢复交易的15个交易日内调整至上述比例范围。</w:t>
      </w:r>
    </w:p>
    <w:p>
      <w:pPr>
        <w:pStyle w:val="17"/>
        <w:numPr>
          <w:ilvl w:val="0"/>
          <w:numId w:val="21"/>
        </w:numPr>
        <w:adjustRightInd/>
        <w:spacing w:line="360" w:lineRule="auto"/>
        <w:ind w:firstLine="456" w:firstLineChars="190"/>
        <w:rPr>
          <w:rFonts w:hint="eastAsia" w:ascii="宋体" w:hAnsi="宋体" w:eastAsia="宋体" w:cs="宋体"/>
          <w:bCs/>
          <w:color w:val="auto"/>
          <w:kern w:val="2"/>
          <w:highlight w:val="none"/>
        </w:rPr>
      </w:pPr>
      <w:r>
        <w:rPr>
          <w:rFonts w:hint="eastAsia" w:ascii="宋体" w:hAnsi="宋体" w:eastAsia="宋体" w:cs="宋体"/>
          <w:bCs/>
          <w:color w:val="auto"/>
          <w:kern w:val="2"/>
          <w:highlight w:val="none"/>
          <w:lang w:val="en-US" w:eastAsia="zh-CN"/>
        </w:rPr>
        <w:t>当出现金融市场发生重大变化、理财计划出现大比例规模变化等情况，为保护投资者利益，管理人有权根据市场情况超出约定比例范围投资较低风险资产。</w:t>
      </w:r>
    </w:p>
    <w:p>
      <w:pPr>
        <w:pStyle w:val="17"/>
        <w:numPr>
          <w:ilvl w:val="0"/>
          <w:numId w:val="21"/>
        </w:numPr>
        <w:adjustRightInd/>
        <w:spacing w:line="360" w:lineRule="auto"/>
        <w:ind w:firstLine="456" w:firstLineChars="190"/>
        <w:rPr>
          <w:rFonts w:hint="eastAsia" w:ascii="宋体" w:hAnsi="宋体" w:eastAsia="宋体" w:cs="宋体"/>
          <w:bCs/>
          <w:color w:val="auto"/>
          <w:kern w:val="2"/>
          <w:highlight w:val="none"/>
        </w:rPr>
      </w:pPr>
      <w:r>
        <w:rPr>
          <w:rFonts w:hint="eastAsia" w:ascii="宋体" w:hAnsi="宋体" w:eastAsia="宋体" w:cs="宋体"/>
          <w:bCs/>
          <w:color w:val="auto"/>
          <w:kern w:val="2"/>
          <w:highlight w:val="none"/>
          <w:lang w:val="en-US" w:eastAsia="zh-CN"/>
        </w:rPr>
        <w:t>本理财计划存在投资退出期，投资退出期至理财计划到期终止期间，为保障投资管理平稳运作，投资组合比例可能超出约定投资范围比例。</w:t>
      </w:r>
    </w:p>
    <w:p>
      <w:pPr>
        <w:pStyle w:val="17"/>
        <w:numPr>
          <w:ilvl w:val="0"/>
          <w:numId w:val="21"/>
        </w:numPr>
        <w:adjustRightInd/>
        <w:spacing w:line="360" w:lineRule="auto"/>
        <w:ind w:firstLine="458" w:firstLineChars="190"/>
        <w:rPr>
          <w:rFonts w:hint="eastAsia" w:ascii="宋体" w:hAnsi="宋体" w:cs="宋体"/>
          <w:bCs/>
          <w:color w:val="auto"/>
          <w:kern w:val="2"/>
          <w:highlight w:val="none"/>
        </w:rPr>
      </w:pPr>
      <w:r>
        <w:rPr>
          <w:rFonts w:hint="eastAsia" w:ascii="宋体" w:hAnsi="宋体" w:cs="宋体"/>
          <w:b/>
          <w:bCs w:val="0"/>
          <w:color w:val="auto"/>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0"/>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投资策略</w:t>
      </w:r>
    </w:p>
    <w:p>
      <w:pPr>
        <w:pStyle w:val="17"/>
        <w:numPr>
          <w:ilvl w:val="0"/>
          <w:numId w:val="22"/>
        </w:numPr>
        <w:adjustRightInd/>
        <w:spacing w:line="360" w:lineRule="auto"/>
        <w:rPr>
          <w:rFonts w:hint="eastAsia" w:ascii="宋体" w:hAnsi="宋体" w:cs="宋体"/>
          <w:bCs/>
          <w:color w:val="000000"/>
          <w:kern w:val="2"/>
          <w:highlight w:val="none"/>
        </w:rPr>
      </w:pPr>
      <w:r>
        <w:rPr>
          <w:rFonts w:hint="eastAsia" w:ascii="宋体" w:hAnsi="宋体" w:cs="宋体"/>
          <w:bCs/>
          <w:color w:val="000000"/>
          <w:kern w:val="2"/>
          <w:highlight w:val="none"/>
        </w:rPr>
        <w:t>资产配置策略</w:t>
      </w:r>
    </w:p>
    <w:p>
      <w:pPr>
        <w:pStyle w:val="17"/>
        <w:adjustRightInd/>
        <w:spacing w:line="360" w:lineRule="auto"/>
        <w:rPr>
          <w:rFonts w:ascii="宋体" w:cs="宋体"/>
          <w:color w:val="000000"/>
          <w:sz w:val="21"/>
          <w:szCs w:val="21"/>
          <w:highlight w:val="none"/>
        </w:rPr>
      </w:pPr>
      <w:r>
        <w:rPr>
          <w:rFonts w:hint="eastAsia" w:ascii="宋体" w:hAnsi="宋体" w:cs="宋体"/>
          <w:bCs/>
          <w:color w:val="000000"/>
          <w:kern w:val="2"/>
          <w:highlight w:val="none"/>
        </w:rPr>
        <w:t xml:space="preserve">    将通过对宏观经济形势、各项国家政策、及证券市场环境的分析来判断经济周期目前的位置，主动判断市场时机进行资产配置，确定在各类资产上的投资比例。</w:t>
      </w:r>
    </w:p>
    <w:p>
      <w:pPr>
        <w:numPr>
          <w:ilvl w:val="0"/>
          <w:numId w:val="23"/>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债券投资策略</w:t>
      </w:r>
    </w:p>
    <w:p>
      <w:pPr>
        <w:pStyle w:val="17"/>
        <w:adjustRightInd/>
        <w:spacing w:line="360" w:lineRule="auto"/>
        <w:ind w:firstLine="480" w:firstLineChars="200"/>
        <w:rPr>
          <w:rFonts w:hint="eastAsia" w:ascii="宋体" w:hAnsi="宋体" w:cs="宋体"/>
          <w:bCs/>
          <w:color w:val="000000"/>
          <w:highlight w:val="none"/>
        </w:rPr>
      </w:pPr>
      <w:r>
        <w:rPr>
          <w:rFonts w:hint="eastAsia" w:ascii="宋体" w:hAnsi="宋体" w:cs="宋体"/>
          <w:bCs/>
          <w:color w:val="000000"/>
          <w:kern w:val="2"/>
          <w:highlight w:val="none"/>
        </w:rPr>
        <w:t>管理人本着稳健投资的理念，采用安全性和流动性优先、优选投资品种，采取久期策略和信用策略来获取稳定收益。</w:t>
      </w:r>
    </w:p>
    <w:p>
      <w:pPr>
        <w:keepNext w:val="0"/>
        <w:keepLines w:val="0"/>
        <w:widowControl w:val="0"/>
        <w:numPr>
          <w:ilvl w:val="0"/>
          <w:numId w:val="23"/>
        </w:numPr>
        <w:suppressLineNumbers w:val="0"/>
        <w:spacing w:before="0" w:beforeAutospacing="0" w:after="0" w:afterAutospacing="0" w:line="360" w:lineRule="auto"/>
        <w:ind w:left="0" w:right="0"/>
        <w:jc w:val="both"/>
        <w:rPr>
          <w:rFonts w:hint="eastAsia" w:ascii="宋体" w:hAnsi="宋体" w:cs="宋体"/>
          <w:bCs/>
          <w:color w:val="000000"/>
          <w:sz w:val="24"/>
          <w:highlight w:val="none"/>
        </w:rPr>
      </w:pPr>
      <w:r>
        <w:rPr>
          <w:rFonts w:hint="eastAsia" w:ascii="宋体" w:hAnsi="宋体" w:eastAsia="宋体" w:cs="宋体"/>
          <w:color w:val="000000"/>
          <w:kern w:val="2"/>
          <w:sz w:val="24"/>
          <w:szCs w:val="24"/>
          <w:lang w:val="en-US" w:eastAsia="zh-CN" w:bidi="ar"/>
        </w:rPr>
        <w:t>非标准化债权类资产投资策略</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cs="宋体"/>
          <w:bCs/>
          <w:color w:val="000000"/>
          <w:kern w:val="2"/>
          <w:highlight w:val="none"/>
        </w:rPr>
      </w:pPr>
      <w:r>
        <w:rPr>
          <w:rFonts w:hint="eastAsia" w:ascii="宋体" w:hAnsi="宋体" w:eastAsia="宋体" w:cs="宋体"/>
          <w:color w:val="000000"/>
          <w:kern w:val="2"/>
          <w:sz w:val="24"/>
          <w:szCs w:val="24"/>
          <w:lang w:val="en-US" w:eastAsia="zh-CN" w:bidi="ar"/>
        </w:rPr>
        <w:t>管理人发挥自身能力优势，在合规前提下开展风险可控、期限匹配的非标准化债权类资产投资，力争获取稳定收益。</w:t>
      </w:r>
    </w:p>
    <w:p>
      <w:pPr>
        <w:numPr>
          <w:ilvl w:val="0"/>
          <w:numId w:val="20"/>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投资限制</w:t>
      </w:r>
    </w:p>
    <w:p>
      <w:pPr>
        <w:numPr>
          <w:ilvl w:val="0"/>
          <w:numId w:val="0"/>
        </w:numPr>
        <w:spacing w:line="360" w:lineRule="auto"/>
        <w:ind w:firstLine="480" w:firstLineChars="200"/>
        <w:jc w:val="left"/>
        <w:outlineLvl w:val="9"/>
        <w:rPr>
          <w:rFonts w:hint="eastAsia" w:ascii="宋体" w:hAnsi="宋体" w:eastAsia="宋体" w:cs="宋体"/>
          <w:b/>
          <w:color w:val="000000"/>
          <w:sz w:val="24"/>
          <w:highlight w:val="none"/>
          <w:lang w:eastAsia="zh-CN"/>
        </w:rPr>
      </w:pPr>
      <w:r>
        <w:rPr>
          <w:rFonts w:hint="eastAsia" w:ascii="宋体" w:hAnsi="宋体" w:cs="宋体"/>
          <w:bCs/>
          <w:color w:val="000000"/>
          <w:sz w:val="24"/>
          <w:highlight w:val="none"/>
          <w:lang w:eastAsia="zh-CN"/>
        </w:rPr>
        <w:t>投资限制中列示的资产品种不代表管理人的实际投向，本理财计划投资范围以“投资范围”章节表述为准。</w:t>
      </w:r>
    </w:p>
    <w:p>
      <w:pPr>
        <w:numPr>
          <w:ilvl w:val="0"/>
          <w:numId w:val="24"/>
        </w:numPr>
        <w:spacing w:line="360" w:lineRule="auto"/>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5"/>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5"/>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5"/>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4"/>
        </w:numPr>
        <w:spacing w:line="360" w:lineRule="auto"/>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本理财计划投资的非标准化债权类资产到期日不得晚于理财计划到期日。</w:t>
      </w:r>
    </w:p>
    <w:p>
      <w:pPr>
        <w:numPr>
          <w:ilvl w:val="0"/>
          <w:numId w:val="24"/>
        </w:numPr>
        <w:spacing w:line="360" w:lineRule="auto"/>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本理财计划的总资产不得超过净资产的200%。</w:t>
      </w:r>
    </w:p>
    <w:p>
      <w:pPr>
        <w:numPr>
          <w:ilvl w:val="0"/>
          <w:numId w:val="24"/>
        </w:numPr>
        <w:spacing w:line="360" w:lineRule="auto"/>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0"/>
        </w:numPr>
        <w:spacing w:line="360" w:lineRule="auto"/>
        <w:jc w:val="left"/>
        <w:outlineLvl w:val="9"/>
        <w:rPr>
          <w:rFonts w:hint="eastAsia" w:ascii="宋体" w:hAnsi="宋体" w:cs="宋体"/>
          <w:b/>
          <w:sz w:val="24"/>
          <w:highlight w:val="none"/>
        </w:rPr>
      </w:pPr>
      <w:r>
        <w:rPr>
          <w:rFonts w:hint="eastAsia" w:ascii="宋体" w:hAnsi="宋体" w:cs="宋体"/>
          <w:b/>
          <w:sz w:val="24"/>
          <w:highlight w:val="none"/>
          <w:lang w:eastAsia="zh-CN"/>
        </w:rPr>
        <w:t>拟</w:t>
      </w:r>
      <w:r>
        <w:rPr>
          <w:rFonts w:hint="eastAsia" w:ascii="宋体" w:hAnsi="宋体" w:cs="宋体"/>
          <w:b/>
          <w:bCs w:val="0"/>
          <w:sz w:val="24"/>
          <w:highlight w:val="none"/>
          <w:lang w:eastAsia="zh-CN"/>
        </w:rPr>
        <w:t>投资市场、资产的流动性风险评估</w:t>
      </w:r>
    </w:p>
    <w:p>
      <w:pPr>
        <w:numPr>
          <w:ilvl w:val="0"/>
          <w:numId w:val="0"/>
        </w:numPr>
        <w:spacing w:line="360" w:lineRule="auto"/>
        <w:ind w:left="420" w:leftChars="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6"/>
        </w:numPr>
        <w:spacing w:line="360" w:lineRule="auto"/>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6"/>
        </w:numPr>
        <w:spacing w:line="360" w:lineRule="auto"/>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6"/>
        </w:numPr>
        <w:spacing w:line="360" w:lineRule="auto"/>
        <w:jc w:val="left"/>
        <w:rPr>
          <w:rFonts w:hint="eastAsia" w:ascii="宋体" w:hAnsi="宋体" w:cs="宋体"/>
          <w:bCs/>
          <w:sz w:val="24"/>
          <w:highlight w:val="none"/>
        </w:rPr>
      </w:pPr>
      <w:r>
        <w:rPr>
          <w:rFonts w:hint="eastAsia" w:ascii="宋体" w:hAnsi="宋体" w:cs="宋体"/>
          <w:bCs/>
          <w:sz w:val="24"/>
          <w:highlight w:val="none"/>
          <w:lang w:val="en-US" w:eastAsia="zh-CN"/>
        </w:rPr>
        <w:t>投资于权益类、其他类资产的可能流动性风险（如有）：权益类、其他类资产包括但不限于上市公司普通股、上市公司优先股、股票基金、股票定向增发、未上市公司股权等，受国家政策、经济周期、利率、汇率、股票发行人经营情况、大宗商品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spacing w:line="360" w:lineRule="auto"/>
        <w:ind w:firstLine="480" w:firstLineChars="200"/>
        <w:jc w:val="left"/>
        <w:rPr>
          <w:rFonts w:hint="eastAsia" w:ascii="宋体" w:hAnsi="宋体" w:cs="宋体"/>
          <w:bCs/>
          <w:sz w:val="24"/>
          <w:highlight w:val="none"/>
        </w:rPr>
      </w:pPr>
    </w:p>
    <w:p>
      <w:pPr>
        <w:numPr>
          <w:ilvl w:val="0"/>
          <w:numId w:val="27"/>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28"/>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托管人</w:t>
      </w:r>
    </w:p>
    <w:tbl>
      <w:tblPr>
        <w:tblStyle w:val="8"/>
        <w:tblW w:w="7530" w:type="dxa"/>
        <w:tblInd w:w="3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0"/>
        <w:gridCol w:w="57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1740"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bCs/>
                <w:szCs w:val="21"/>
                <w:highlight w:val="none"/>
              </w:rPr>
            </w:pPr>
            <w:r>
              <w:rPr>
                <w:rFonts w:hint="eastAsia" w:ascii="宋体" w:hAnsi="宋体" w:cs="宋体"/>
                <w:bCs/>
                <w:szCs w:val="21"/>
                <w:highlight w:val="none"/>
              </w:rPr>
              <w:t>托管人名称</w:t>
            </w:r>
          </w:p>
        </w:tc>
        <w:tc>
          <w:tcPr>
            <w:tcW w:w="5790" w:type="dxa"/>
            <w:noWrap w:val="0"/>
            <w:vAlign w:val="top"/>
          </w:tcPr>
          <w:p>
            <w:pPr>
              <w:keepNext w:val="0"/>
              <w:keepLines w:val="0"/>
              <w:suppressLineNumbers w:val="0"/>
              <w:spacing w:before="0" w:beforeAutospacing="0" w:after="0" w:afterAutospacing="0" w:line="360" w:lineRule="auto"/>
              <w:ind w:left="0" w:right="0"/>
              <w:jc w:val="left"/>
              <w:rPr>
                <w:rFonts w:hint="default" w:ascii="宋体" w:hAnsi="宋体" w:cs="宋体"/>
                <w:bCs/>
                <w:szCs w:val="21"/>
                <w:highlight w:val="none"/>
              </w:rPr>
            </w:pPr>
            <w:r>
              <w:rPr>
                <w:rFonts w:hint="default" w:ascii="宋体" w:hAnsi="宋体" w:eastAsia="宋体" w:cs="宋体"/>
                <w:bCs/>
                <w:kern w:val="2"/>
                <w:sz w:val="21"/>
                <w:szCs w:val="21"/>
                <w:highlight w:val="none"/>
                <w:lang w:val="en-US" w:eastAsia="zh-CN" w:bidi="ar-SA"/>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1740"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bCs/>
                <w:szCs w:val="21"/>
                <w:highlight w:val="none"/>
              </w:rPr>
            </w:pPr>
            <w:r>
              <w:rPr>
                <w:rFonts w:hint="eastAsia" w:ascii="宋体" w:hAnsi="宋体" w:cs="宋体"/>
                <w:bCs/>
                <w:szCs w:val="21"/>
                <w:highlight w:val="none"/>
              </w:rPr>
              <w:t>托管人住所</w:t>
            </w:r>
          </w:p>
        </w:tc>
        <w:tc>
          <w:tcPr>
            <w:tcW w:w="5790" w:type="dxa"/>
            <w:noWrap w:val="0"/>
            <w:vAlign w:val="top"/>
          </w:tcPr>
          <w:p>
            <w:pPr>
              <w:keepNext w:val="0"/>
              <w:keepLines w:val="0"/>
              <w:suppressLineNumbers w:val="0"/>
              <w:spacing w:before="0" w:beforeAutospacing="0" w:after="0" w:afterAutospacing="0" w:line="360" w:lineRule="auto"/>
              <w:ind w:left="0" w:right="0"/>
              <w:jc w:val="left"/>
              <w:rPr>
                <w:rFonts w:hint="default" w:ascii="宋体" w:hAnsi="宋体" w:eastAsia="宋体" w:cs="宋体"/>
                <w:bCs/>
                <w:szCs w:val="21"/>
                <w:highlight w:val="none"/>
                <w:lang w:val="en-US" w:eastAsia="zh-CN"/>
              </w:rPr>
            </w:pPr>
            <w:r>
              <w:rPr>
                <w:rFonts w:hint="eastAsia" w:ascii="宋体" w:hAnsi="宋体" w:eastAsia="宋体" w:cs="宋体"/>
                <w:bCs/>
                <w:kern w:val="2"/>
                <w:sz w:val="21"/>
                <w:szCs w:val="21"/>
                <w:highlight w:val="none"/>
                <w:lang w:val="en-US" w:eastAsia="zh-CN" w:bidi="ar-SA"/>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1740"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bCs/>
                <w:szCs w:val="21"/>
                <w:highlight w:val="none"/>
              </w:rPr>
            </w:pPr>
            <w:r>
              <w:rPr>
                <w:rFonts w:hint="eastAsia" w:ascii="宋体" w:hAnsi="宋体" w:cs="宋体"/>
                <w:bCs/>
                <w:szCs w:val="21"/>
                <w:highlight w:val="none"/>
              </w:rPr>
              <w:t>托管人职责</w:t>
            </w:r>
          </w:p>
        </w:tc>
        <w:tc>
          <w:tcPr>
            <w:tcW w:w="5790" w:type="dxa"/>
            <w:noWrap w:val="0"/>
            <w:vAlign w:val="top"/>
          </w:tcPr>
          <w:p>
            <w:pPr>
              <w:keepNext w:val="0"/>
              <w:keepLines w:val="0"/>
              <w:suppressLineNumbers w:val="0"/>
              <w:spacing w:before="0" w:beforeAutospacing="0" w:after="0" w:afterAutospacing="0" w:line="360" w:lineRule="auto"/>
              <w:ind w:left="0" w:right="0"/>
              <w:jc w:val="left"/>
              <w:rPr>
                <w:rFonts w:hint="eastAsia" w:ascii="宋体" w:hAnsi="宋体" w:cs="宋体"/>
                <w:bCs/>
                <w:szCs w:val="21"/>
                <w:highlight w:val="none"/>
              </w:rPr>
            </w:pPr>
            <w:r>
              <w:rPr>
                <w:rFonts w:hint="eastAsia" w:ascii="宋体" w:hAnsi="宋体" w:eastAsia="宋体" w:cs="宋体"/>
                <w:bCs/>
                <w:kern w:val="2"/>
                <w:sz w:val="21"/>
                <w:szCs w:val="21"/>
                <w:highlight w:val="none"/>
                <w:lang w:val="en-US" w:eastAsia="zh-CN" w:bidi="ar-SA"/>
              </w:rPr>
              <w:t>主要提供包括账户开立、资金保管、资金结算、估值核对等理财产品托管服务。</w:t>
            </w:r>
          </w:p>
        </w:tc>
      </w:tr>
    </w:tbl>
    <w:p>
      <w:pPr>
        <w:numPr>
          <w:ilvl w:val="0"/>
          <w:numId w:val="29"/>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销售机构</w:t>
      </w:r>
    </w:p>
    <w:tbl>
      <w:tblPr>
        <w:tblStyle w:val="8"/>
        <w:tblW w:w="7600" w:type="dxa"/>
        <w:tblInd w:w="37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00"/>
        <w:gridCol w:w="1600"/>
        <w:gridCol w:w="1200"/>
        <w:gridCol w:w="3800"/>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销售机构信息</w:t>
            </w: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杭州银行股份有限公司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浙江省杭州市上城区解放东路168号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95398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杭银理财有限责任公司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浙江省杭州市拱墅区庆春路38号金龙财富中心6层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400-8950-999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东莞农村商业银行股份有限公司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广东省东莞市东城街道鸿福东路2号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0769961122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中山农村商业银行股份有限公司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中山市东区中山三路26号之一</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0760-23327126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九江银行股份有限公司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江西省九江市濂溪区长虹大道619号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95316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厦门国际银行股份有限公司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厦门市思明区鹭江道8-10号国际银行大厦1-6层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956085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山西银行股份有限公司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山西转型综合改革示范区学府产业园高新街15号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0351-96588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广发银行股份有限公司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广州市越秀区东风东路713号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02038322606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新韩银行（中国）有限公司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北京市朝阳区工体北路甲6号中宇大厦12层,11层1101,1102及1109单元</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010-85290088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无锡农村商业银行股份有限公司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江苏省无锡市锡山区延庆街11号、丹山路66-3、66-1301号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96058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昆仑银行股份有限公司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新疆克拉玛依市世纪大道7号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95379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晋商银行股份有限公司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中国山西省太原市小店区长风街59号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9510-5588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汉口银行股份有限公司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湖北省武汉市江汉区建设大道933号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4006096558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江苏丹阳农村商业银行股份有限公司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镇江市丹阳金陵西路152号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江苏南通农村商业银行股份有限公司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南通市崇川区工农南路89号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江苏启东农村商业银行股份有限公司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江苏省启东市汇龙镇金沙江路1688号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0513-83929017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江苏如皋农村商业银行股份有限公司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如皋市如城街道海阳南路999号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江苏常熟农村商业银行股份有限公司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江苏省常熟市新世纪大道58号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0512-52909021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江苏张家港农村商业银行股份有限公司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江苏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96065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江苏扬州农村商业银行股份有限公司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江苏省扬州市同泰路107号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江苏昆山农村商业银行股份有限公司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江苏省昆山市前进东路828号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0512-57370966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江苏江阴农村商业银行股份有限公司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江阴市澄江中路1号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0510-86823403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江苏沛县农村商业银行股份有限公司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江苏省沛县汤沐路中段11号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江苏苏州农村商业银行股份有限公司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江苏省苏州市吴江区中山南路1777号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956111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江苏银行股份有限公司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江苏南京市中华路26号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025-83508241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江苏镇江农村商业银行股份有限公司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江苏省镇江市润州区长江路97号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江苏高邮农村商业银行股份有限公司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高邮市文游中路28号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浙商银行股份有限公司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浙江省杭州市萧山区鸿宁路1788号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0571-87659101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温州银行股份有限公司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浙江省温州市鹿城区会展路1316号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0577-88990092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湖北银行股份有限公司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武汉市武昌区水果湖街中北路86号汉街总部国际8栋</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4008596599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珠海农村商业银行股份有限公司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珠海市香洲兴业路223号农信金融大厦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96138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苏州银行股份有限公司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中国（江苏）自由贸易试验区苏州片区苏州工业园区钟园路728号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0512-69868556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贵阳银行股份有限公司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贵州省贵阳市观山湖区长岭北路中天·会展城B区金融商务区东区1-6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4011-96033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长安银行股份有限公司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陕西省西安市高新区高新四路13号1幢1单元10101室</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029-96669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长沙银行股份有限公司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长沙市芙蓉中路一段433号长沙银行</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0731-89934772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青海大通农村商业银行股份有限公司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青海省西宁市大通回族土族自治县桥头镇人民路112号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0971-96888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青海西宁农村商业银行股份有限公司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青海省西宁市城西区海晏路81号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0971-96888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青海银行股份有限公司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青海省西宁市城西区西关大街130号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96399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Align w:val="center"/>
          </w:tcPr>
          <w:p>
            <w:pPr>
              <w:keepNext w:val="0"/>
              <w:keepLines w:val="0"/>
              <w:suppressLineNumbers w:val="0"/>
              <w:spacing w:before="0" w:beforeAutospacing="0" w:after="0" w:afterAutospacing="0"/>
              <w:ind w:left="0" w:right="0"/>
              <w:jc w:val="center"/>
              <w:rPr>
                <w:rFonts w:hint="default"/>
              </w:rPr>
            </w:pPr>
            <w:r>
              <w:rPr>
                <w:rFonts w:hint="default"/>
              </w:rPr>
              <w:t>销售机构职责</w:t>
            </w:r>
          </w:p>
        </w:tc>
        <w:tc>
          <w:tcPr>
            <w:tcW w:w="6600" w:type="dxa"/>
            <w:gridSpan w:val="3"/>
            <w:vAlign w:val="center"/>
          </w:tcPr>
          <w:p>
            <w:pPr>
              <w:keepNext w:val="0"/>
              <w:keepLines w:val="0"/>
              <w:suppressLineNumbers w:val="0"/>
              <w:spacing w:before="0" w:beforeAutospacing="0" w:after="0" w:afterAutospacing="0"/>
              <w:ind w:left="0" w:right="0"/>
              <w:jc w:val="left"/>
              <w:rPr>
                <w:rFonts w:hint="default"/>
              </w:rPr>
            </w:pPr>
            <w:r>
              <w:rPr>
                <w:rFonts w:hint="default"/>
              </w:rPr>
              <w:t>主要负责理财计划推广、投资者风险承受能力评估、投资者适当性管理、理财计划份额认购、申购及赎回办理。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本理财计划后续如新增/减少销售机构或销售机构信息变更，请以管理人最新公告</w:t>
      </w:r>
      <w:r>
        <w:rPr>
          <w:rFonts w:hint="eastAsia" w:ascii="宋体" w:hAnsi="宋体" w:cs="宋体"/>
          <w:bCs/>
          <w:color w:val="000000"/>
          <w:sz w:val="24"/>
          <w:highlight w:val="none"/>
          <w:lang w:eastAsia="zh-CN"/>
        </w:rPr>
        <w:t>或官方网站展示</w:t>
      </w:r>
      <w:r>
        <w:rPr>
          <w:rFonts w:hint="eastAsia" w:ascii="宋体" w:hAnsi="宋体" w:cs="宋体"/>
          <w:bCs/>
          <w:color w:val="000000"/>
          <w:sz w:val="24"/>
          <w:highlight w:val="none"/>
        </w:rPr>
        <w:t>为准。</w:t>
      </w:r>
    </w:p>
    <w:p>
      <w:pPr>
        <w:spacing w:line="360" w:lineRule="auto"/>
        <w:jc w:val="left"/>
        <w:rPr>
          <w:rFonts w:ascii="宋体" w:hAnsi="宋体" w:cs="宋体"/>
          <w:bCs/>
          <w:sz w:val="24"/>
          <w:highlight w:val="none"/>
        </w:rPr>
      </w:pPr>
    </w:p>
    <w:p>
      <w:pPr>
        <w:numPr>
          <w:ilvl w:val="0"/>
          <w:numId w:val="27"/>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估值</w:t>
      </w:r>
    </w:p>
    <w:p>
      <w:pPr>
        <w:numPr>
          <w:ilvl w:val="0"/>
          <w:numId w:val="30"/>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w:t>
      </w:r>
      <w:r>
        <w:rPr>
          <w:rFonts w:hint="eastAsia" w:ascii="宋体" w:hAnsi="宋体" w:cs="宋体"/>
          <w:bCs/>
          <w:color w:val="000000"/>
          <w:sz w:val="24"/>
          <w:highlight w:val="none"/>
        </w:rPr>
        <w:t>日，定期由理财管理人和理财托管人核对估值结果并向投资者披露，具体日期以管理人公告为准。</w:t>
      </w:r>
    </w:p>
    <w:p>
      <w:pPr>
        <w:numPr>
          <w:ilvl w:val="0"/>
          <w:numId w:val="30"/>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0"/>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0"/>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1"/>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7"/>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1"/>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val="en-US" w:eastAsia="zh-CN"/>
        </w:rPr>
        <w:t>以收取</w:t>
      </w:r>
      <w:r>
        <w:rPr>
          <w:rFonts w:hint="eastAsia" w:ascii="宋体" w:hAnsi="宋体" w:cs="宋体"/>
          <w:bCs/>
          <w:color w:val="000000"/>
          <w:sz w:val="24"/>
          <w:highlight w:val="none"/>
        </w:rPr>
        <w:t>合同现金流量为目的并持有到期的债券及同业存单类资产，按摊余成本法进行计量。其余债券及同业存单类资产，按市价法估值。市价法不能确定公允价值的，采用估值技术进行估值。</w:t>
      </w:r>
    </w:p>
    <w:p>
      <w:pPr>
        <w:numPr>
          <w:ilvl w:val="0"/>
          <w:numId w:val="31"/>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rPr>
          <w:rFonts w:ascii="宋体" w:hAnsi="宋体" w:cs="宋体"/>
          <w:bCs/>
          <w:color w:val="000000"/>
          <w:sz w:val="24"/>
          <w:highlight w:val="none"/>
        </w:rPr>
      </w:pPr>
      <w:r>
        <w:rPr>
          <w:rFonts w:hint="eastAsia" w:ascii="宋体" w:hAnsi="宋体" w:cs="宋体"/>
          <w:bCs/>
          <w:color w:val="000000"/>
          <w:sz w:val="24"/>
          <w:highlight w:val="none"/>
          <w:lang w:val="en-US" w:eastAsia="zh-CN"/>
        </w:rPr>
        <w:t xml:space="preserve">    对于</w:t>
      </w:r>
      <w:r>
        <w:rPr>
          <w:rFonts w:hint="eastAsia" w:ascii="宋体" w:hAnsi="宋体" w:cs="宋体"/>
          <w:bCs/>
          <w:color w:val="000000"/>
          <w:sz w:val="24"/>
          <w:highlight w:val="none"/>
        </w:rPr>
        <w:t>符合监管要求的债权类资产，按照摊余成本法进行计量。其余债权类资产，按市价法估值。市价法不能确定其公允价值的，采用估值技术进行估值。</w:t>
      </w:r>
    </w:p>
    <w:p>
      <w:pPr>
        <w:numPr>
          <w:ilvl w:val="0"/>
          <w:numId w:val="31"/>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2"/>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2"/>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rPr>
          <w:rFonts w:hint="eastAsia" w:ascii="宋体" w:hAnsi="宋体"/>
          <w:sz w:val="24"/>
          <w:highlight w:val="none"/>
        </w:rPr>
      </w:pPr>
      <w:r>
        <w:rPr>
          <w:rFonts w:hint="eastAsia" w:ascii="宋体" w:hAnsi="宋体" w:cs="宋体"/>
          <w:bCs/>
          <w:color w:val="000000"/>
          <w:sz w:val="24"/>
          <w:highlight w:val="none"/>
          <w:lang w:val="en-US" w:eastAsia="zh-CN"/>
        </w:rPr>
        <w:t xml:space="preserve">      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rPr>
          <w:rFonts w:hint="eastAsia" w:ascii="宋体" w:hAnsi="宋体"/>
          <w:sz w:val="24"/>
          <w:highlight w:val="none"/>
        </w:rPr>
      </w:pPr>
      <w:r>
        <w:rPr>
          <w:rFonts w:hint="eastAsia" w:ascii="宋体" w:hAnsi="宋体"/>
          <w:sz w:val="24"/>
          <w:highlight w:val="none"/>
          <w:lang w:val="en-US" w:eastAsia="zh-CN"/>
        </w:rPr>
        <w:t xml:space="preserve">      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rPr>
          <w:rFonts w:hint="eastAsia" w:ascii="宋体" w:hAnsi="宋体"/>
          <w:sz w:val="24"/>
          <w:highlight w:val="none"/>
        </w:rPr>
      </w:pPr>
      <w:r>
        <w:rPr>
          <w:rFonts w:hint="eastAsia" w:ascii="宋体" w:hAnsi="宋体"/>
          <w:sz w:val="24"/>
          <w:highlight w:val="none"/>
          <w:lang w:val="en-US" w:eastAsia="zh-CN"/>
        </w:rPr>
        <w:t xml:space="preserve">      3）</w:t>
      </w:r>
      <w:r>
        <w:rPr>
          <w:rFonts w:hint="eastAsia" w:ascii="宋体" w:hAnsi="宋体"/>
          <w:sz w:val="24"/>
          <w:highlight w:val="none"/>
        </w:rPr>
        <w:t>首次发行未上市的股票，按发行价格进行估值；</w:t>
      </w:r>
    </w:p>
    <w:p>
      <w:pPr>
        <w:numPr>
          <w:ilvl w:val="0"/>
          <w:numId w:val="0"/>
        </w:numPr>
        <w:spacing w:line="360" w:lineRule="auto"/>
        <w:rPr>
          <w:rFonts w:hint="eastAsia" w:ascii="宋体" w:hAnsi="宋体"/>
          <w:sz w:val="24"/>
          <w:highlight w:val="none"/>
        </w:rPr>
      </w:pPr>
      <w:r>
        <w:rPr>
          <w:rFonts w:hint="eastAsia" w:ascii="宋体" w:hAnsi="宋体"/>
          <w:sz w:val="24"/>
          <w:highlight w:val="none"/>
          <w:lang w:val="en-US" w:eastAsia="zh-CN"/>
        </w:rPr>
        <w:t xml:space="preserve">      4）</w:t>
      </w:r>
      <w:r>
        <w:rPr>
          <w:rFonts w:hint="eastAsia" w:ascii="宋体" w:hAnsi="宋体"/>
          <w:sz w:val="24"/>
          <w:highlight w:val="none"/>
        </w:rPr>
        <w:t>因持有股票而享有的配股权，采用估值技术确定公允价值。</w:t>
      </w:r>
    </w:p>
    <w:p>
      <w:pPr>
        <w:numPr>
          <w:ilvl w:val="0"/>
          <w:numId w:val="32"/>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1"/>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1"/>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7"/>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7"/>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7"/>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7"/>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0"/>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0"/>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3"/>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3"/>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3"/>
        </w:numPr>
        <w:spacing w:line="360" w:lineRule="auto"/>
        <w:jc w:val="left"/>
        <w:rPr>
          <w:rFonts w:hint="eastAsia" w:ascii="宋体" w:hAnsi="宋体" w:cs="宋体"/>
          <w:b/>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0"/>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7"/>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费用及税收</w:t>
      </w:r>
    </w:p>
    <w:p>
      <w:pPr>
        <w:numPr>
          <w:ilvl w:val="0"/>
          <w:numId w:val="34"/>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、托管费、固定管理费、认购费、浮动管理费以及理财计划运作和清算中产生的其他费用等。</w:t>
      </w:r>
    </w:p>
    <w:p>
      <w:pPr>
        <w:numPr>
          <w:ilvl w:val="0"/>
          <w:numId w:val="34"/>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5"/>
        </w:numPr>
        <w:spacing w:line="360" w:lineRule="auto"/>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pageBreakBefore w:val="0"/>
        <w:spacing w:line="360" w:lineRule="auto"/>
        <w:ind w:left="-1" w:right="-1" w:firstLine="480"/>
        <w:jc w:val="left"/>
        <w:textAlignment w:val="auto"/>
      </w:pPr>
      <w:r>
        <w:rPr>
          <w:rFonts w:ascii="宋体" w:hAnsi="宋体" w:eastAsia="宋体" w:cs="宋体"/>
          <w:b w:val="0"/>
          <w:i w:val="0"/>
          <w:caps w:val="0"/>
          <w:strike w:val="0"/>
          <w:dstrike w:val="0"/>
          <w:shadow w:val="0"/>
          <w:emboss w:val="0"/>
          <w:imprint w:val="0"/>
          <w:color w:val="000000"/>
          <w:kern w:val="2"/>
          <w:position w:val="-1"/>
          <w:sz w:val="24"/>
          <w:u w:val="none"/>
          <w:vertAlign w:val="baseline"/>
        </w:rPr>
        <w:t>理财计划财产分为每日计提销售服务费的〖A份额〗、〖B份额〗、〖C份额〗、〖D份额〗、〖E份额〗、〖G份额〗、〖H份额〗、〖I份额〗、〖J份额〗、〖K份额〗、〖M份额〗、〖O份额〗、〖P份额〗、〖Q份额〗、〖U份额〗、〖V份额〗、〖X份额〗、〖ZB份额〗、〖ZE份额〗、〖ZF份额〗和销售服务费于产品成立日一次性收取的〖N份额〗、〖R份额〗、〖T份额〗、〖W份额〗、〖Y份额〗、〖Z份额〗、〖ZA份额〗、〖ZC份额〗、〖ZD份额〗。A份额的年化销售服务费率为〖0.30%〗, B份额的年化销售服务费率为〖0.20%〗, C份额的年化销售服务费率为〖0.10%〗, D份额的年化销售服务费率为〖0.15%〗, E份额的年化销售服务费率为〖0.40%〗, G份额的年化销售服务费率为〖0.01%〗, H份额的年化销售服务费率为〖0.20%〗, I份额的年化销售服务费率为〖0.30%〗, J份额的年化销售服务费率为〖0.05%〗, K份额的年化销售服务费率为〖0.30%〗, M份额的年化销售服务费率为〖0.15%〗, N份额的年化销售服务费率为〖0.20%〗, O份额的年化销售服务费率为〖0.20%〗, P份额的年化销售服务费率为〖0.15%〗, Q份额的年化销售服务费率为〖0.25%〗, R份额的年化销售服务费率为〖0.25%〗, T份额的年化销售服务费率为〖0.15%〗, U份额的年化销售服务费率为〖0.15%〗, V份额的年化销售服务费率为〖0.15%〗, W份额的年化销售服务费率为〖0.30%〗, X份额的年化销售服务费率为〖0.05%〗, Y份额的年化销售服务费率为〖0.20%〗, Z份额的年化销售服务费率为〖0.10%〗, ZA份额的年化销售服务费率为〖0.15%〗, ZB份额的年化销售服务费率为〖0.05%〗, ZC份额的年化销售服务费率为〖0.15%〗, ZD份额的年化销售服务费率为〖0.01%〗, ZE份额的年化销售服务费率为〖0.20%〗, ZF份额的年化销售服务费率为〖0.15%〗。两种计算方法如下：</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（1）销售费按日计提</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H1＝E1×〖0.30%〗÷365</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H1为〖A份额〗每日应计提的销售服务费</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E1为〖A份额〗前一日资产净值</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销售服务费原则上按日计提。</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（2）销售费一次性收取</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H2＝E2×〖0.20%〗×P÷365</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H2为〖N份额〗应计提的销售服务费</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E2为〖N份额〗成立日产品份额</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P为产品投资期限天数</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销售服务费于产品成立日一次性收取，每日摊销。</w:t>
      </w:r>
    </w:p>
    <w:p>
      <w:pPr>
        <w:numPr>
          <w:ilvl w:val="0"/>
          <w:numId w:val="35"/>
        </w:numPr>
        <w:spacing w:line="360" w:lineRule="auto"/>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color w:val="000000"/>
          <w:szCs w:val="21"/>
          <w:highlight w:val="none"/>
        </w:rPr>
        <w:t>〖</w:t>
      </w:r>
      <w:r>
        <w:rPr>
          <w:rFonts w:hint="eastAsia" w:ascii="宋体" w:hAnsi="宋体" w:eastAsia="宋体" w:cs="宋体"/>
          <w:color w:val="000000"/>
          <w:kern w:val="2"/>
          <w:sz w:val="24"/>
          <w:szCs w:val="24"/>
          <w:highlight w:val="none"/>
          <w:lang w:val="en-US" w:eastAsia="zh-CN" w:bidi="ar-SA"/>
        </w:rPr>
        <w:t>0.025</w:t>
      </w:r>
      <w:r>
        <w:rPr>
          <w:rFonts w:hint="eastAsia" w:ascii="宋体" w:hAnsi="宋体" w:cs="宋体"/>
          <w:bCs/>
          <w:color w:val="000000"/>
          <w:kern w:val="2"/>
          <w:sz w:val="24"/>
          <w:szCs w:val="24"/>
          <w:highlight w:val="none"/>
          <w:lang w:val="en-US" w:eastAsia="zh" w:bidi="ar-SA"/>
        </w:rPr>
        <w:t>%</w:t>
      </w:r>
      <w:r>
        <w:rPr>
          <w:rFonts w:hint="eastAsia" w:ascii="宋体" w:hAnsi="宋体" w:cs="宋体"/>
          <w:color w:val="000000"/>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color w:val="000000"/>
          <w:szCs w:val="21"/>
          <w:highlight w:val="none"/>
        </w:rPr>
        <w:t>〖</w:t>
      </w:r>
      <w:r>
        <w:rPr>
          <w:rFonts w:hint="eastAsia" w:ascii="宋体" w:hAnsi="宋体" w:eastAsia="宋体" w:cs="宋体"/>
          <w:color w:val="000000"/>
          <w:kern w:val="2"/>
          <w:sz w:val="24"/>
          <w:szCs w:val="24"/>
          <w:highlight w:val="none"/>
          <w:lang w:val="en-US" w:eastAsia="zh-CN" w:bidi="ar-SA"/>
        </w:rPr>
        <w:t>0.025</w:t>
      </w:r>
      <w:r>
        <w:rPr>
          <w:rFonts w:hint="eastAsia" w:ascii="宋体" w:hAnsi="宋体" w:cs="宋体"/>
          <w:color w:val="000000"/>
          <w:sz w:val="24"/>
          <w:szCs w:val="24"/>
          <w:highlight w:val="none"/>
          <w:lang w:eastAsia="zh"/>
        </w:rPr>
        <w:t>%</w:t>
      </w:r>
      <w:r>
        <w:rPr>
          <w:rFonts w:hint="eastAsia" w:ascii="宋体" w:hAnsi="宋体" w:cs="宋体"/>
          <w:color w:val="000000"/>
          <w:szCs w:val="21"/>
          <w:highlight w:val="none"/>
        </w:rPr>
        <w:t>〗</w:t>
      </w:r>
      <w:r>
        <w:rPr>
          <w:rFonts w:hint="eastAsia" w:ascii="宋体" w:hAnsi="宋体" w:cs="宋体"/>
          <w:bCs/>
          <w:color w:val="000000"/>
          <w:sz w:val="24"/>
          <w:szCs w:val="24"/>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托管费原则上按日计提。</w:t>
      </w:r>
    </w:p>
    <w:p>
      <w:pPr>
        <w:numPr>
          <w:ilvl w:val="0"/>
          <w:numId w:val="35"/>
        </w:numPr>
        <w:spacing w:line="360" w:lineRule="auto"/>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eastAsia="宋体" w:cs="宋体"/>
          <w:bCs/>
          <w:color w:val="000000"/>
          <w:kern w:val="2"/>
          <w:sz w:val="24"/>
          <w:szCs w:val="24"/>
          <w:highlight w:val="none"/>
          <w:lang w:val="en-US" w:eastAsia="zh-CN" w:bidi="ar-SA"/>
        </w:rPr>
        <w:t>A份额的年化固定管理费率为〖0.10%〗, B份额的年化固定管理费率为〖0.10%〗, C份额的年化固定管理费率为〖0.10%〗, D份额的年化固定管理费率为〖0.10%〗, E份额的年化固定管理费率为〖0.15%〗, G份额的年化固定管理费率为〖0.09%〗, H份额的年化固定管理费率为〖0.10%〗, I份额的年化固定管理费率为〖0.10%〗, J份额的年化固定管理费率为〖0.10%〗, K份额的年化固定管理费率为〖0.10%〗, M份额的年化固定管理费率为〖0.10%〗, N份额的年化固定管理费率为〖0.10%〗, O份额的年化固定管理费率为〖0.10%〗, P份额的年化固定管理费率为〖0.10%〗, Q份额的年化固定管理费率为〖0.10%〗, R份额的年化固定管理费率为〖0.10%〗, T份额的年化固定管理费率为〖0.09%〗, U份额的年化固定管理费率为〖0.05%〗, V份额的年化固定管理费率为〖0.10%〗, W份额的年化固定管理费率为〖0.10%〗, X份额的年化固定管理费率为〖0.10%〗, Y份额的年化固定管理费率为〖0.10%〗, Z份额的年化固定管理费率为〖0.10%〗, ZA份额的年化固定管理费率为〖0.10%〗, ZB份额的年化固定管理费率为〖0.10%〗, ZC份额的年化固定管理费率为〖0.10%〗, ZD份额的年化固定管理费率为〖0.09%〗, ZE份额的年化固定管理费率为〖0.05%〗, ZF份额的年化固定管理费率为〖0.05%〗, 以〖A份额〗</w:t>
      </w:r>
      <w:r>
        <w:rPr>
          <w:rFonts w:hint="eastAsia" w:ascii="宋体" w:hAnsi="宋体" w:cs="宋体"/>
          <w:bCs/>
          <w:color w:val="000000"/>
          <w:sz w:val="24"/>
          <w:highlight w:val="none"/>
        </w:rPr>
        <w:t>为例，计算方法如下：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color w:val="000000"/>
          <w:szCs w:val="21"/>
          <w:highlight w:val="none"/>
        </w:rPr>
        <w:t>〖</w:t>
      </w:r>
      <w:r>
        <w:rPr>
          <w:rFonts w:hint="eastAsia" w:ascii="宋体" w:hAnsi="宋体" w:eastAsia="宋体" w:cs="宋体"/>
          <w:color w:val="000000"/>
          <w:kern w:val="2"/>
          <w:sz w:val="24"/>
          <w:szCs w:val="24"/>
          <w:highlight w:val="none"/>
          <w:lang w:val="en-US" w:eastAsia="zh-CN" w:bidi="ar-SA"/>
        </w:rPr>
        <w:t>0.10</w:t>
      </w:r>
      <w:r>
        <w:rPr>
          <w:rFonts w:hint="eastAsia" w:ascii="宋体" w:hAnsi="宋体" w:cs="宋体"/>
          <w:bCs/>
          <w:color w:val="000000"/>
          <w:kern w:val="2"/>
          <w:sz w:val="24"/>
          <w:szCs w:val="24"/>
          <w:highlight w:val="none"/>
          <w:lang w:val="en-US" w:eastAsia="zh" w:bidi="ar-SA"/>
        </w:rPr>
        <w:t>%</w:t>
      </w:r>
      <w:r>
        <w:rPr>
          <w:rFonts w:hint="eastAsia" w:ascii="宋体" w:hAnsi="宋体" w:cs="宋体"/>
          <w:color w:val="000000"/>
          <w:szCs w:val="21"/>
          <w:highlight w:val="none"/>
        </w:rPr>
        <w:t>〗</w:t>
      </w:r>
      <w:r>
        <w:rPr>
          <w:rFonts w:hint="eastAsia" w:ascii="宋体" w:hAnsi="宋体" w:cs="宋体"/>
          <w:bCs/>
          <w:color w:val="000000"/>
          <w:sz w:val="24"/>
          <w:szCs w:val="24"/>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w:t>
      </w:r>
      <w:r>
        <w:rPr>
          <w:rFonts w:hint="eastAsia" w:ascii="宋体" w:hAnsi="宋体" w:cs="宋体"/>
          <w:bCs/>
          <w:color w:val="000000"/>
          <w:sz w:val="24"/>
          <w:highlight w:val="none"/>
          <w:lang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E为本理财计划前一日资产净值</w:t>
      </w:r>
    </w:p>
    <w:p>
      <w:pPr>
        <w:spacing w:line="360" w:lineRule="auto"/>
        <w:ind w:firstLine="480" w:firstLineChars="200"/>
        <w:jc w:val="left"/>
        <w:rPr>
          <w:rFonts w:hint="eastAsia" w:ascii="宋体" w:hAnsi="宋体" w:eastAsia="宋体" w:cs="宋体"/>
          <w:bCs/>
          <w:color w:val="FF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，管理人有权</w:t>
      </w:r>
      <w:r>
        <w:rPr>
          <w:rFonts w:hint="eastAsia" w:ascii="宋体" w:hAnsi="宋体" w:cs="宋体"/>
          <w:bCs/>
          <w:color w:val="000000"/>
          <w:sz w:val="24"/>
          <w:highlight w:val="none"/>
          <w:lang w:val="en-US" w:eastAsia="zh-CN"/>
        </w:rPr>
        <w:t>根据实际运作情况</w:t>
      </w:r>
      <w:r>
        <w:rPr>
          <w:rFonts w:hint="eastAsia" w:ascii="宋体" w:hAnsi="宋体" w:cs="宋体"/>
          <w:bCs/>
          <w:color w:val="000000"/>
          <w:sz w:val="24"/>
          <w:highlight w:val="none"/>
          <w:lang w:eastAsia="zh-CN"/>
        </w:rPr>
        <w:t>减免固定管理费</w:t>
      </w:r>
      <w:r>
        <w:rPr>
          <w:rFonts w:hint="eastAsia"/>
          <w:color w:val="000000"/>
          <w:lang w:eastAsia="zh"/>
        </w:rPr>
        <w:t>。</w:t>
      </w:r>
    </w:p>
    <w:p>
      <w:pPr>
        <w:numPr>
          <w:ilvl w:val="0"/>
          <w:numId w:val="35"/>
        </w:numPr>
        <w:spacing w:line="360" w:lineRule="auto"/>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本理财计划免除认购费。</w:t>
      </w:r>
    </w:p>
    <w:p>
      <w:pPr>
        <w:numPr>
          <w:ilvl w:val="0"/>
          <w:numId w:val="35"/>
        </w:numPr>
        <w:spacing w:line="360" w:lineRule="auto"/>
        <w:jc w:val="left"/>
        <w:rPr>
          <w:rFonts w:hint="eastAsia" w:ascii="宋体" w:hAnsi="宋体" w:cs="宋体"/>
          <w:b/>
          <w:sz w:val="24"/>
          <w:highlight w:val="none"/>
        </w:rPr>
      </w:pPr>
      <w:r>
        <w:rPr>
          <w:rFonts w:hint="eastAsia" w:ascii="宋体" w:hAnsi="宋体" w:cs="宋体"/>
          <w:b/>
          <w:sz w:val="24"/>
          <w:highlight w:val="none"/>
        </w:rPr>
        <w:t>浮动管理费</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理财管理人根据理财计划投资情况计算浮动管理费，浮动管理费原则上按估值日计提，到期收取。以〖A份额〗为例，具体计算方法如下：</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（1）若本理财计划到期日（提前终止日）的折合年化收益率超过业绩比较基准下限但未达到业绩比较基准上限，则超过业绩比较基准下限的部分管理人收取〖50%〗作为浮动管理费，即：</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H=E×NAV0×（K-S)×〖50%〗×N÷365</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其中，K=(NAV1-NAV0+T)÷NAV0×365÷N</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2）若本理财计划到期日（提前终止日）的折合年化收益率超过业绩比较基准上限，则〖业绩比较基准下限(含)至上限(含)〗的部分管理人收取〖50%〗作为浮动管理费，超过〖业绩比较基准上限〗的部分管理人收取〖80%〗作为浮动管理费，即：</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H=E×NAV0×[(K-R)×〖80%〗+(R-S)×〖50%〗]×N÷365</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其中，K=(NAV1-NAV0+T)÷NAV0×365÷N</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H为理财计划到期（提前终止）时应收取浮动管理费</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E为投资者持有份额</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K为收取浮动管理费前投资者持有份额对应持有区间折合年化收益率</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NAV0为理财计划成立日之初的单位净值</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NAV1为理财计划到期日未扣除浮动管理费前的单位净值</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R为理财计划业绩比较基准上限</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S为理财计划业绩比较基准下限</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N为理财计划份额成立日（含）至估值日（含）的区间天数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eastAsia="宋体" w:cs="宋体"/>
          <w:color w:val="000000"/>
          <w:kern w:val="2"/>
          <w:sz w:val="24"/>
          <w:szCs w:val="24"/>
          <w:lang w:val="en-US" w:eastAsia="zh-CN" w:bidi="ar"/>
        </w:rPr>
        <w:t>T为理财计划运作期间每单位份额的实际分红金额合计（如有）</w:t>
      </w:r>
    </w:p>
    <w:p>
      <w:pPr>
        <w:numPr>
          <w:ilvl w:val="0"/>
          <w:numId w:val="35"/>
        </w:numPr>
        <w:spacing w:line="360" w:lineRule="auto"/>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36"/>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36"/>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36"/>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36"/>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36"/>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36"/>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jc w:val="left"/>
        <w:rPr>
          <w:rFonts w:ascii="宋体" w:hAnsi="宋体" w:cs="宋体"/>
          <w:bCs/>
          <w:sz w:val="24"/>
          <w:highlight w:val="none"/>
        </w:rPr>
      </w:pPr>
      <w:r>
        <w:rPr>
          <w:rFonts w:hint="eastAsia" w:ascii="宋体" w:hAnsi="宋体" w:cs="宋体"/>
          <w:bCs/>
          <w:sz w:val="24"/>
          <w:highlight w:val="none"/>
        </w:rPr>
        <w:t xml:space="preserve">    </w:t>
      </w: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37"/>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税收说明</w:t>
      </w:r>
    </w:p>
    <w:p>
      <w:pPr>
        <w:numPr>
          <w:ilvl w:val="0"/>
          <w:numId w:val="38"/>
        </w:numPr>
        <w:spacing w:line="360" w:lineRule="auto"/>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38"/>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38"/>
        </w:numPr>
        <w:spacing w:line="360" w:lineRule="auto"/>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7"/>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收益计算</w:t>
      </w:r>
    </w:p>
    <w:p>
      <w:pPr>
        <w:numPr>
          <w:ilvl w:val="0"/>
          <w:numId w:val="39"/>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投资者理财收益＝认购份额×到期日（提前终止日）单位净值+份额持有期间累计分红-认购金额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认购份额=认购金额</w:t>
      </w:r>
      <w:r>
        <w:rPr>
          <w:rFonts w:hint="eastAsia" w:ascii="宋体" w:hAnsi="宋体" w:cs="宋体"/>
          <w:bCs/>
          <w:color w:val="000000"/>
          <w:sz w:val="24"/>
          <w:szCs w:val="24"/>
          <w:highlight w:val="none"/>
        </w:rPr>
        <w:t>÷</w:t>
      </w:r>
      <w:r>
        <w:rPr>
          <w:rFonts w:hint="eastAsia" w:ascii="宋体" w:hAnsi="宋体" w:cs="宋体"/>
          <w:bCs/>
          <w:color w:val="000000"/>
          <w:sz w:val="24"/>
          <w:highlight w:val="none"/>
        </w:rPr>
        <w:t>1元。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到期日（提前终止日）单位净值为提取相关费用及税费后的单位理财计划份额净值。</w:t>
      </w:r>
    </w:p>
    <w:p>
      <w:pPr>
        <w:numPr>
          <w:ilvl w:val="0"/>
          <w:numId w:val="39"/>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示例说明</w:t>
      </w:r>
    </w:p>
    <w:p>
      <w:pPr>
        <w:spacing w:line="360" w:lineRule="auto"/>
        <w:ind w:firstLine="480" w:firstLineChars="200"/>
        <w:jc w:val="left"/>
        <w:rPr>
          <w:rFonts w:hint="eastAsia" w:ascii="宋体" w:hAnsi="宋体" w:eastAsia="宋体" w:cs="宋体"/>
          <w:bCs/>
          <w:color w:val="000000"/>
          <w:sz w:val="24"/>
          <w:highlight w:val="none"/>
        </w:rPr>
      </w:pPr>
      <w:r>
        <w:rPr>
          <w:rFonts w:hint="eastAsia" w:ascii="宋体" w:hAnsi="宋体" w:eastAsia="宋体" w:cs="宋体"/>
          <w:bCs/>
          <w:color w:val="000000"/>
          <w:sz w:val="24"/>
          <w:highlight w:val="none"/>
          <w:lang w:val="en-US" w:eastAsia="zh-CN"/>
        </w:rPr>
        <w:t>以下示例均为假设情况，不构成业绩预测，不代表本理财计划实际投资业绩。</w:t>
      </w:r>
    </w:p>
    <w:p>
      <w:pPr>
        <w:keepNext w:val="0"/>
        <w:keepLines w:val="0"/>
        <w:widowControl w:val="0"/>
        <w:numPr>
          <w:ilvl w:val="0"/>
          <w:numId w:val="40"/>
        </w:numPr>
        <w:suppressLineNumbers w:val="0"/>
        <w:spacing w:before="0" w:beforeAutospacing="0" w:after="0" w:afterAutospacing="0" w:line="360" w:lineRule="auto"/>
        <w:ind w:left="0" w:right="0" w:firstLine="400"/>
        <w:jc w:val="left"/>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t>示例一</w:t>
      </w:r>
    </w:p>
    <w:p>
      <w:pPr>
        <w:keepNext w:val="0"/>
        <w:keepLines w:val="0"/>
        <w:widowControl w:val="0"/>
        <w:suppressLineNumbers w:val="0"/>
        <w:spacing w:before="0" w:beforeAutospacing="0" w:after="0" w:afterAutospacing="0" w:line="360" w:lineRule="auto"/>
        <w:ind w:left="0" w:right="0" w:firstLine="482" w:firstLineChars="200"/>
        <w:jc w:val="left"/>
        <w:rPr>
          <w:rFonts w:hint="eastAsia" w:ascii="宋体" w:hAnsi="宋体" w:eastAsia="宋体" w:cs="宋体"/>
          <w:color w:val="000000"/>
          <w:kern w:val="2"/>
          <w:sz w:val="24"/>
          <w:szCs w:val="24"/>
        </w:rPr>
      </w:pPr>
      <w:r>
        <w:rPr>
          <w:rFonts w:hint="eastAsia" w:ascii="宋体" w:hAnsi="宋体" w:eastAsia="宋体" w:cs="宋体"/>
          <w:b/>
          <w:bCs/>
          <w:color w:val="000000"/>
          <w:kern w:val="2"/>
          <w:sz w:val="24"/>
          <w:szCs w:val="24"/>
          <w:lang w:val="en-US" w:eastAsia="zh-CN" w:bidi="ar"/>
        </w:rPr>
        <w:t>扣除托管费、固定管理费、销售服务费（如有）后，投资收益率超过〖业绩比较基准上限〗。</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以某投资者投资10万元为例，假设购买时理财计划净值为1.0000元，折算份额为100,000.00份，假设份额成立日（含）至估值日（含）的区间天数为362天,业绩比较基准为4.00%-5.00%。假设理财产品到期时扣除托管费、固定管理费、销售服务费（如有）后，如理财计划未扣除浮动管理费前的净值为1.0615，此时，(1.0615÷1.0000-1)×365÷362=6.20%&gt;5.00%，即在〖4.00%-5.00%〗部分的投资收益管理人收取</w:t>
      </w:r>
      <w:r>
        <w:rPr>
          <w:rFonts w:hint="eastAsia" w:ascii="宋体" w:hAnsi="宋体" w:cs="宋体"/>
          <w:color w:val="000000"/>
          <w:kern w:val="2"/>
          <w:sz w:val="24"/>
          <w:szCs w:val="24"/>
          <w:lang w:val="en-US" w:eastAsia="zh" w:bidi="ar"/>
        </w:rPr>
        <w:t>50</w:t>
      </w:r>
      <w:r>
        <w:rPr>
          <w:rFonts w:hint="eastAsia" w:ascii="宋体" w:hAnsi="宋体" w:eastAsia="宋体" w:cs="宋体"/>
          <w:color w:val="000000"/>
          <w:kern w:val="2"/>
          <w:sz w:val="24"/>
          <w:szCs w:val="24"/>
          <w:lang w:val="en-US" w:eastAsia="zh-CN" w:bidi="ar"/>
        </w:rPr>
        <w:t>%作为浮动管理费，超过〖5.00%〗部分的投资收益管理人收取</w:t>
      </w:r>
      <w:r>
        <w:rPr>
          <w:rFonts w:hint="eastAsia" w:ascii="宋体" w:hAnsi="宋体" w:cs="宋体"/>
          <w:color w:val="000000"/>
          <w:kern w:val="2"/>
          <w:sz w:val="24"/>
          <w:szCs w:val="24"/>
          <w:lang w:val="en-US" w:eastAsia="zh" w:bidi="ar"/>
        </w:rPr>
        <w:t>80</w:t>
      </w:r>
      <w:r>
        <w:rPr>
          <w:rFonts w:hint="eastAsia" w:ascii="宋体" w:hAnsi="宋体" w:eastAsia="宋体" w:cs="宋体"/>
          <w:color w:val="000000"/>
          <w:kern w:val="2"/>
          <w:sz w:val="24"/>
          <w:szCs w:val="24"/>
          <w:lang w:val="en-US" w:eastAsia="zh-CN" w:bidi="ar"/>
        </w:rPr>
        <w:t>%作为浮动管理费，浮动管理费为：</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100,000×1.0000×{[（1.0615÷1.0000-1）×365÷362-5.00%]×</w:t>
      </w:r>
      <w:r>
        <w:rPr>
          <w:rFonts w:hint="eastAsia" w:ascii="宋体" w:hAnsi="宋体" w:cs="宋体"/>
          <w:color w:val="000000"/>
          <w:kern w:val="2"/>
          <w:sz w:val="24"/>
          <w:szCs w:val="24"/>
          <w:lang w:val="en-US" w:eastAsia="zh" w:bidi="ar"/>
        </w:rPr>
        <w:t>80</w:t>
      </w:r>
      <w:r>
        <w:rPr>
          <w:rFonts w:hint="eastAsia" w:ascii="宋体" w:hAnsi="宋体" w:eastAsia="宋体" w:cs="宋体"/>
          <w:color w:val="000000"/>
          <w:kern w:val="2"/>
          <w:sz w:val="24"/>
          <w:szCs w:val="24"/>
          <w:lang w:val="en-US" w:eastAsia="zh-CN" w:bidi="ar"/>
        </w:rPr>
        <w:t>%+(5.00%-4.00%)×</w:t>
      </w:r>
      <w:r>
        <w:rPr>
          <w:rFonts w:hint="eastAsia" w:ascii="宋体" w:hAnsi="宋体" w:cs="宋体"/>
          <w:color w:val="000000"/>
          <w:kern w:val="2"/>
          <w:sz w:val="24"/>
          <w:szCs w:val="24"/>
          <w:lang w:val="en-US" w:eastAsia="zh" w:bidi="ar"/>
        </w:rPr>
        <w:t>50</w:t>
      </w:r>
      <w:r>
        <w:rPr>
          <w:rFonts w:hint="eastAsia" w:ascii="宋体" w:hAnsi="宋体" w:eastAsia="宋体" w:cs="宋体"/>
          <w:color w:val="000000"/>
          <w:kern w:val="2"/>
          <w:sz w:val="24"/>
          <w:szCs w:val="24"/>
          <w:lang w:val="en-US" w:eastAsia="zh-CN" w:bidi="ar"/>
        </w:rPr>
        <w:t>%}×362÷365=</w:t>
      </w:r>
      <w:r>
        <w:rPr>
          <w:rFonts w:hint="eastAsia" w:ascii="宋体" w:hAnsi="宋体" w:cs="宋体"/>
          <w:color w:val="000000"/>
          <w:kern w:val="2"/>
          <w:sz w:val="24"/>
          <w:szCs w:val="24"/>
          <w:lang w:val="en-US" w:eastAsia="zh" w:bidi="ar"/>
        </w:rPr>
        <w:t>1</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 w:bidi="ar"/>
        </w:rPr>
        <w:t>448</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 w:bidi="ar"/>
        </w:rPr>
        <w:t>77</w:t>
      </w:r>
      <w:r>
        <w:rPr>
          <w:rFonts w:hint="eastAsia" w:ascii="宋体" w:hAnsi="宋体" w:eastAsia="宋体" w:cs="宋体"/>
          <w:color w:val="000000"/>
          <w:kern w:val="2"/>
          <w:sz w:val="24"/>
          <w:szCs w:val="24"/>
          <w:lang w:val="en-US" w:eastAsia="zh-CN" w:bidi="ar"/>
        </w:rPr>
        <w:t>（元）</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扣除浮动管理费后，投资者最终收益为：</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100,000.00×（1.0615-1.0000）-</w:t>
      </w:r>
      <w:r>
        <w:rPr>
          <w:rFonts w:hint="eastAsia" w:ascii="宋体" w:hAnsi="宋体" w:cs="宋体"/>
          <w:color w:val="000000"/>
          <w:kern w:val="2"/>
          <w:sz w:val="24"/>
          <w:szCs w:val="24"/>
          <w:lang w:val="en-US" w:eastAsia="zh" w:bidi="ar"/>
        </w:rPr>
        <w:t>1</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 w:bidi="ar"/>
        </w:rPr>
        <w:t>448</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 w:bidi="ar"/>
        </w:rPr>
        <w:t>77</w:t>
      </w:r>
      <w:r>
        <w:rPr>
          <w:rFonts w:hint="eastAsia" w:ascii="宋体" w:hAnsi="宋体" w:eastAsia="宋体" w:cs="宋体"/>
          <w:color w:val="000000"/>
          <w:kern w:val="2"/>
          <w:sz w:val="24"/>
          <w:szCs w:val="24"/>
          <w:lang w:val="en-US" w:eastAsia="zh-CN" w:bidi="ar"/>
        </w:rPr>
        <w:t>= 4,</w:t>
      </w:r>
      <w:r>
        <w:rPr>
          <w:rFonts w:hint="eastAsia" w:ascii="宋体" w:hAnsi="宋体" w:cs="宋体"/>
          <w:color w:val="000000"/>
          <w:kern w:val="2"/>
          <w:sz w:val="24"/>
          <w:szCs w:val="24"/>
          <w:lang w:val="en-US" w:eastAsia="zh" w:bidi="ar"/>
        </w:rPr>
        <w:t>701</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 w:bidi="ar"/>
        </w:rPr>
        <w:t>23</w:t>
      </w:r>
      <w:r>
        <w:rPr>
          <w:rFonts w:hint="eastAsia" w:ascii="宋体" w:hAnsi="宋体" w:eastAsia="宋体" w:cs="宋体"/>
          <w:color w:val="000000"/>
          <w:kern w:val="2"/>
          <w:sz w:val="24"/>
          <w:szCs w:val="24"/>
          <w:lang w:val="en-US" w:eastAsia="zh-CN" w:bidi="ar"/>
        </w:rPr>
        <w:t>（元）</w:t>
      </w:r>
    </w:p>
    <w:p>
      <w:pPr>
        <w:keepNext w:val="0"/>
        <w:keepLines w:val="0"/>
        <w:widowControl w:val="0"/>
        <w:numPr>
          <w:ilvl w:val="0"/>
          <w:numId w:val="40"/>
        </w:numPr>
        <w:suppressLineNumbers w:val="0"/>
        <w:spacing w:before="0" w:beforeAutospacing="0" w:after="0" w:afterAutospacing="0" w:line="360" w:lineRule="auto"/>
        <w:ind w:left="0" w:right="0" w:firstLine="400"/>
        <w:jc w:val="left"/>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t>示例二</w:t>
      </w:r>
    </w:p>
    <w:p>
      <w:pPr>
        <w:keepNext w:val="0"/>
        <w:keepLines w:val="0"/>
        <w:widowControl w:val="0"/>
        <w:suppressLineNumbers w:val="0"/>
        <w:spacing w:before="0" w:beforeAutospacing="0" w:after="0" w:afterAutospacing="0" w:line="360" w:lineRule="auto"/>
        <w:ind w:left="0" w:right="0" w:firstLine="482" w:firstLineChars="200"/>
        <w:jc w:val="left"/>
        <w:rPr>
          <w:rFonts w:hint="eastAsia" w:ascii="宋体" w:hAnsi="宋体" w:eastAsia="宋体" w:cs="宋体"/>
          <w:color w:val="000000"/>
          <w:kern w:val="2"/>
          <w:sz w:val="24"/>
          <w:szCs w:val="24"/>
        </w:rPr>
      </w:pPr>
      <w:r>
        <w:rPr>
          <w:rFonts w:hint="eastAsia" w:ascii="宋体" w:hAnsi="宋体" w:eastAsia="宋体" w:cs="宋体"/>
          <w:b/>
          <w:bCs/>
          <w:color w:val="000000"/>
          <w:kern w:val="2"/>
          <w:sz w:val="24"/>
          <w:szCs w:val="24"/>
          <w:lang w:val="en-US" w:eastAsia="zh-CN" w:bidi="ar"/>
        </w:rPr>
        <w:t>扣除托管费、固定管理费、销售服务费（如有）后，投资收益率超过业绩比较基准下限，但未达到业绩比较基准上限。</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以某投资者投资10万元为例，假设购买时理财计划净值为1.0000元，折算份额为100,000.00份,假设份额成立日（含）至估值日（含）的区间天数为362天,业绩比较基准为4.00%-5.00%。假设理财产品到期时扣除托管费、固定管理费、销售服务费（如有）后，如理财计划未扣除浮动管理费前的净值为1.0415，此时，(1.0415÷1.0000-1)×365÷362=4.18%，即投资收益超过〖4.00%〗但未达到〖5.00%〗，则超过〖4.00%〗部分的投资收益管理人收取</w:t>
      </w:r>
      <w:r>
        <w:rPr>
          <w:rFonts w:hint="eastAsia" w:ascii="宋体" w:hAnsi="宋体" w:cs="宋体"/>
          <w:color w:val="000000"/>
          <w:kern w:val="2"/>
          <w:sz w:val="24"/>
          <w:szCs w:val="24"/>
          <w:lang w:val="en-US" w:eastAsia="zh" w:bidi="ar"/>
        </w:rPr>
        <w:t>50</w:t>
      </w:r>
      <w:r>
        <w:rPr>
          <w:rFonts w:hint="eastAsia" w:ascii="宋体" w:hAnsi="宋体" w:eastAsia="宋体" w:cs="宋体"/>
          <w:color w:val="000000"/>
          <w:kern w:val="2"/>
          <w:sz w:val="24"/>
          <w:szCs w:val="24"/>
          <w:lang w:val="en-US" w:eastAsia="zh-CN" w:bidi="ar"/>
        </w:rPr>
        <w:t>%作为浮动管理费，浮动管理费为：</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100,000.00×1.0000×[(1.0415÷1.0000-1)×365÷362-4.00%]×</w:t>
      </w:r>
      <w:r>
        <w:rPr>
          <w:rFonts w:hint="eastAsia" w:ascii="宋体" w:hAnsi="宋体" w:cs="宋体"/>
          <w:color w:val="000000"/>
          <w:kern w:val="2"/>
          <w:sz w:val="24"/>
          <w:szCs w:val="24"/>
          <w:lang w:val="en-US" w:eastAsia="zh" w:bidi="ar"/>
        </w:rPr>
        <w:t>50</w:t>
      </w:r>
      <w:r>
        <w:rPr>
          <w:rFonts w:hint="eastAsia" w:ascii="宋体" w:hAnsi="宋体" w:eastAsia="宋体" w:cs="宋体"/>
          <w:color w:val="000000"/>
          <w:kern w:val="2"/>
          <w:sz w:val="24"/>
          <w:szCs w:val="24"/>
          <w:lang w:val="en-US" w:eastAsia="zh-CN" w:bidi="ar"/>
        </w:rPr>
        <w:t>%×362÷365=</w:t>
      </w:r>
      <w:r>
        <w:rPr>
          <w:rFonts w:hint="eastAsia" w:ascii="宋体" w:hAnsi="宋体" w:cs="宋体"/>
          <w:color w:val="000000"/>
          <w:kern w:val="2"/>
          <w:sz w:val="24"/>
          <w:szCs w:val="24"/>
          <w:lang w:val="en-US" w:eastAsia="zh" w:bidi="ar"/>
        </w:rPr>
        <w:t>91.44</w:t>
      </w:r>
      <w:r>
        <w:rPr>
          <w:rFonts w:hint="eastAsia" w:ascii="宋体" w:hAnsi="宋体" w:eastAsia="宋体" w:cs="宋体"/>
          <w:color w:val="000000"/>
          <w:kern w:val="2"/>
          <w:sz w:val="24"/>
          <w:szCs w:val="24"/>
          <w:lang w:val="en-US" w:eastAsia="zh-CN" w:bidi="ar"/>
        </w:rPr>
        <w:t>（元）</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扣除浮动管理费后，投资者最终收益为：</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100,000.00×（1.0415-1.0000）-</w:t>
      </w:r>
      <w:r>
        <w:rPr>
          <w:rFonts w:hint="eastAsia" w:ascii="宋体" w:hAnsi="宋体" w:cs="宋体"/>
          <w:color w:val="000000"/>
          <w:kern w:val="2"/>
          <w:sz w:val="24"/>
          <w:szCs w:val="24"/>
          <w:lang w:val="en-US" w:eastAsia="zh" w:bidi="ar"/>
        </w:rPr>
        <w:t>91.44</w:t>
      </w:r>
      <w:r>
        <w:rPr>
          <w:rFonts w:hint="eastAsia" w:ascii="宋体" w:hAnsi="宋体" w:eastAsia="宋体" w:cs="宋体"/>
          <w:color w:val="000000"/>
          <w:kern w:val="2"/>
          <w:sz w:val="24"/>
          <w:szCs w:val="24"/>
          <w:lang w:val="en-US" w:eastAsia="zh-CN" w:bidi="ar"/>
        </w:rPr>
        <w:t xml:space="preserve"> =4,0</w:t>
      </w:r>
      <w:r>
        <w:rPr>
          <w:rFonts w:hint="eastAsia" w:ascii="宋体" w:hAnsi="宋体" w:cs="宋体"/>
          <w:color w:val="000000"/>
          <w:kern w:val="2"/>
          <w:sz w:val="24"/>
          <w:szCs w:val="24"/>
          <w:lang w:val="en-US" w:eastAsia="zh" w:bidi="ar"/>
        </w:rPr>
        <w:t>58</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 w:bidi="ar"/>
        </w:rPr>
        <w:t>56</w:t>
      </w:r>
      <w:r>
        <w:rPr>
          <w:rFonts w:hint="eastAsia" w:ascii="宋体" w:hAnsi="宋体" w:eastAsia="宋体" w:cs="宋体"/>
          <w:color w:val="000000"/>
          <w:kern w:val="2"/>
          <w:sz w:val="24"/>
          <w:szCs w:val="24"/>
          <w:lang w:val="en-US" w:eastAsia="zh-CN" w:bidi="ar"/>
        </w:rPr>
        <w:t>（元）</w:t>
      </w:r>
    </w:p>
    <w:p>
      <w:pPr>
        <w:keepNext w:val="0"/>
        <w:keepLines w:val="0"/>
        <w:widowControl w:val="0"/>
        <w:numPr>
          <w:ilvl w:val="0"/>
          <w:numId w:val="40"/>
        </w:numPr>
        <w:suppressLineNumbers w:val="0"/>
        <w:spacing w:before="0" w:beforeAutospacing="0" w:after="0" w:afterAutospacing="0" w:line="360" w:lineRule="auto"/>
        <w:ind w:left="0" w:right="0" w:firstLine="400"/>
        <w:jc w:val="left"/>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t>示例三</w:t>
      </w:r>
    </w:p>
    <w:p>
      <w:pPr>
        <w:keepNext w:val="0"/>
        <w:keepLines w:val="0"/>
        <w:widowControl w:val="0"/>
        <w:suppressLineNumbers w:val="0"/>
        <w:spacing w:before="0" w:beforeAutospacing="0" w:after="0" w:afterAutospacing="0" w:line="360" w:lineRule="auto"/>
        <w:ind w:left="0" w:right="0" w:firstLine="482" w:firstLineChars="200"/>
        <w:jc w:val="left"/>
        <w:rPr>
          <w:rFonts w:hint="eastAsia" w:ascii="宋体" w:hAnsi="宋体" w:eastAsia="宋体" w:cs="宋体"/>
          <w:color w:val="000000"/>
          <w:kern w:val="2"/>
          <w:sz w:val="24"/>
          <w:szCs w:val="24"/>
        </w:rPr>
      </w:pPr>
      <w:r>
        <w:rPr>
          <w:rFonts w:hint="eastAsia" w:ascii="宋体" w:hAnsi="宋体" w:eastAsia="宋体" w:cs="宋体"/>
          <w:b/>
          <w:bCs/>
          <w:color w:val="000000"/>
          <w:kern w:val="2"/>
          <w:sz w:val="24"/>
          <w:szCs w:val="24"/>
          <w:lang w:val="en-US" w:eastAsia="zh-CN" w:bidi="ar"/>
        </w:rPr>
        <w:t>扣除托管费、固定管理费、销售服务费（如有）后，投资收益率未达到〖业绩比较基准下限〗。</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以某投资者投资10万元为例，假设购买时理财计划净值为1.0000元，折算份额为100,000.00份，假设份额成立日（含）至估值日（含）的区间天数为362天,业绩比较基准为4.00%-5.00%。假设理财产品到期时扣除托管费、固定管理费、销售服务费（如有）后，如理财计划未扣除浮动管理费前的净值为1.0362，此时，(1.0362÷1.0000-1)×365÷362=3.65%&lt;4.00%，即投资收益未达到〖4.00%〗，则投资管理人不收取浮动管理费，投资者最终收益为：100,000.00×(1.0365-1.0000）=3,650.00（元）</w:t>
      </w:r>
    </w:p>
    <w:p>
      <w:pPr>
        <w:keepNext w:val="0"/>
        <w:keepLines w:val="0"/>
        <w:widowControl w:val="0"/>
        <w:numPr>
          <w:ilvl w:val="0"/>
          <w:numId w:val="40"/>
        </w:numPr>
        <w:suppressLineNumbers w:val="0"/>
        <w:spacing w:before="0" w:beforeAutospacing="0" w:after="0" w:afterAutospacing="0" w:line="360" w:lineRule="auto"/>
        <w:ind w:left="0" w:right="0" w:firstLine="400"/>
        <w:jc w:val="left"/>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t>示例四</w:t>
      </w:r>
    </w:p>
    <w:p>
      <w:pPr>
        <w:keepNext w:val="0"/>
        <w:keepLines w:val="0"/>
        <w:widowControl w:val="0"/>
        <w:suppressLineNumbers w:val="0"/>
        <w:spacing w:before="0" w:beforeAutospacing="0" w:after="0" w:afterAutospacing="0" w:line="360" w:lineRule="auto"/>
        <w:ind w:left="0" w:right="0" w:firstLine="482" w:firstLineChars="200"/>
        <w:jc w:val="left"/>
        <w:rPr>
          <w:rFonts w:hint="eastAsia" w:ascii="宋体" w:hAnsi="宋体" w:eastAsia="宋体" w:cs="宋体"/>
          <w:b/>
          <w:bCs/>
          <w:color w:val="000000"/>
          <w:kern w:val="2"/>
          <w:sz w:val="24"/>
          <w:szCs w:val="24"/>
        </w:rPr>
      </w:pPr>
      <w:r>
        <w:rPr>
          <w:rFonts w:hint="eastAsia" w:ascii="宋体" w:hAnsi="宋体" w:eastAsia="宋体" w:cs="宋体"/>
          <w:b/>
          <w:bCs/>
          <w:color w:val="000000"/>
          <w:kern w:val="2"/>
          <w:sz w:val="24"/>
          <w:szCs w:val="24"/>
          <w:lang w:val="en-US" w:eastAsia="zh-CN" w:bidi="ar"/>
        </w:rPr>
        <w:t>扣除托管费、固定管理费、销售服务费（如有）后，投资发生亏损。</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以某投资者投资10万元为例，假设购买时理财计划净值为1.00元，折算份额为100,000.00份，假设份额成立日（含）至估值日（含）的区间天数为362天,业绩比较基准为4.00%-5.00%。假设理财产品到期时扣除托管费、固定管理费、销售服务费（如有）后，如理财计划未扣除浮动管理费前的净值为0.9975，则投资管理人不收取浮动管理费，投资者最终收益为：100,000.00×（0.9975-1.0000）=-250.00（元）。</w:t>
      </w:r>
    </w:p>
    <w:p>
      <w:pPr>
        <w:numPr>
          <w:ilvl w:val="0"/>
          <w:numId w:val="39"/>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7"/>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交易规则</w:t>
      </w:r>
    </w:p>
    <w:p>
      <w:pPr>
        <w:numPr>
          <w:ilvl w:val="0"/>
          <w:numId w:val="41"/>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认购</w:t>
      </w:r>
    </w:p>
    <w:p>
      <w:pPr>
        <w:numPr>
          <w:ilvl w:val="0"/>
          <w:numId w:val="42"/>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sz w:val="24"/>
          <w:highlight w:val="none"/>
          <w:lang w:eastAsia="zh-CN"/>
        </w:rPr>
        <w:t>（具体以销售机构要求为准）</w:t>
      </w:r>
    </w:p>
    <w:p>
      <w:pPr>
        <w:numPr>
          <w:ilvl w:val="0"/>
          <w:numId w:val="42"/>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2"/>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理财计划总份额的50％，管理人将不再接受超出部分的认购申请。非因投资管理人主观因素导致突破前款规定比例限制的，在单一投资者持有比例降至50％以下之前，管理人将不再接受该投资者对该理财计划的认购申请。投资者持有份额的计算以管理人登记为准。</w:t>
      </w:r>
    </w:p>
    <w:p>
      <w:pPr>
        <w:numPr>
          <w:ilvl w:val="0"/>
          <w:numId w:val="41"/>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成立</w:t>
      </w:r>
    </w:p>
    <w:p>
      <w:pPr>
        <w:numPr>
          <w:ilvl w:val="0"/>
          <w:numId w:val="43"/>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3"/>
        </w:numPr>
        <w:spacing w:line="360" w:lineRule="auto"/>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1"/>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申购及赎回</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本理财计划封闭式运作，存续期间不开放申购和赎回。</w:t>
      </w:r>
    </w:p>
    <w:p>
      <w:pPr>
        <w:numPr>
          <w:ilvl w:val="0"/>
          <w:numId w:val="41"/>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到期清算</w:t>
      </w:r>
    </w:p>
    <w:p>
      <w:pPr>
        <w:keepNext w:val="0"/>
        <w:keepLines w:val="0"/>
        <w:widowControl w:val="0"/>
        <w:suppressLineNumbers w:val="0"/>
        <w:spacing w:before="0" w:beforeAutospacing="0" w:after="0" w:afterAutospacing="0" w:line="360" w:lineRule="auto"/>
        <w:ind w:left="0" w:right="0" w:firstLine="480" w:firstLineChars="200"/>
        <w:jc w:val="both"/>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eastAsia="宋体" w:cs="宋体"/>
          <w:kern w:val="2"/>
          <w:sz w:val="24"/>
          <w:szCs w:val="24"/>
          <w:lang w:val="en-US" w:eastAsia="zh-CN" w:bidi="ar"/>
        </w:rPr>
        <w:t>〖1〗个〖工作日〗</w:t>
      </w:r>
      <w:r>
        <w:rPr>
          <w:rFonts w:hint="eastAsia" w:ascii="宋体" w:hAnsi="宋体" w:cs="宋体"/>
          <w:bCs/>
          <w:sz w:val="24"/>
          <w:highlight w:val="none"/>
        </w:rPr>
        <w:t>、最晚</w:t>
      </w:r>
      <w:r>
        <w:rPr>
          <w:rFonts w:hint="eastAsia" w:ascii="宋体" w:hAnsi="宋体" w:eastAsia="宋体" w:cs="宋体"/>
          <w:kern w:val="2"/>
          <w:sz w:val="24"/>
          <w:szCs w:val="24"/>
          <w:lang w:val="en-US" w:eastAsia="zh-CN" w:bidi="ar"/>
        </w:rPr>
        <w:t>〖3〗个〖工作日〗</w:t>
      </w:r>
      <w:r>
        <w:rPr>
          <w:rFonts w:hint="eastAsia" w:ascii="宋体" w:hAnsi="宋体" w:cs="宋体"/>
          <w:bCs/>
          <w:sz w:val="24"/>
          <w:highlight w:val="none"/>
        </w:rPr>
        <w:t>内（遇节假日顺延）将资金按规定的要求划入投资者授权指定的理财账户。（具体以销售机构规定为准）</w:t>
      </w:r>
    </w:p>
    <w:p>
      <w:pPr>
        <w:numPr>
          <w:ilvl w:val="0"/>
          <w:numId w:val="41"/>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bCs/>
          <w:color w:val="000000"/>
          <w:sz w:val="24"/>
          <w:highlight w:val="none"/>
        </w:rPr>
        <w:t>2〗</w:t>
      </w:r>
      <w:r>
        <w:rPr>
          <w:rFonts w:hint="eastAsia" w:ascii="宋体" w:hAnsi="宋体" w:cs="宋体"/>
          <w:bCs/>
          <w:sz w:val="24"/>
          <w:highlight w:val="none"/>
        </w:rPr>
        <w:t>个〖</w:t>
      </w:r>
      <w:r>
        <w:rPr>
          <w:rFonts w:hint="eastAsia" w:ascii="宋体" w:hAnsi="宋体" w:eastAsia="宋体" w:cs="宋体"/>
          <w:bCs/>
          <w:kern w:val="2"/>
          <w:sz w:val="24"/>
          <w:szCs w:val="24"/>
          <w:highlight w:val="none"/>
          <w:lang w:val="en-US" w:eastAsia="zh-CN" w:bidi="ar-SA"/>
        </w:rPr>
        <w:t>工作日</w:t>
      </w:r>
      <w:r>
        <w:rPr>
          <w:rFonts w:hint="eastAsia" w:ascii="宋体" w:hAnsi="宋体" w:cs="宋体"/>
          <w:bCs/>
          <w:sz w:val="24"/>
          <w:highlight w:val="none"/>
        </w:rPr>
        <w:t>〗通过管理人或销售机构发布提前终止公告，并于终止日后</w:t>
      </w:r>
      <w:r>
        <w:rPr>
          <w:rFonts w:hint="eastAsia" w:ascii="宋体" w:hAnsi="宋体" w:cs="宋体"/>
          <w:sz w:val="24"/>
          <w:szCs w:val="24"/>
          <w:highlight w:val="none"/>
        </w:rPr>
        <w:t>〖</w:t>
      </w:r>
      <w:r>
        <w:rPr>
          <w:rFonts w:hint="eastAsia" w:ascii="宋体" w:hAnsi="宋体" w:cs="宋体"/>
          <w:kern w:val="2"/>
          <w:sz w:val="24"/>
          <w:szCs w:val="24"/>
          <w:highlight w:val="none"/>
          <w:lang w:val="en-US" w:eastAsia="zh" w:bidi="ar-SA"/>
        </w:rPr>
        <w:t>3</w:t>
      </w:r>
      <w:r>
        <w:rPr>
          <w:rFonts w:hint="eastAsia" w:ascii="宋体" w:hAnsi="宋体" w:cs="宋体"/>
          <w:bCs/>
          <w:color w:val="000000"/>
          <w:sz w:val="24"/>
          <w:highlight w:val="none"/>
        </w:rPr>
        <w:t>〗</w:t>
      </w:r>
      <w:r>
        <w:rPr>
          <w:rFonts w:hint="eastAsia" w:ascii="宋体" w:hAnsi="宋体" w:cs="宋体"/>
          <w:bCs/>
          <w:sz w:val="24"/>
          <w:highlight w:val="none"/>
        </w:rPr>
        <w:t>个〖</w:t>
      </w:r>
      <w:r>
        <w:rPr>
          <w:rFonts w:hint="eastAsia" w:ascii="宋体" w:hAnsi="宋体" w:eastAsia="宋体" w:cs="宋体"/>
          <w:bCs/>
          <w:kern w:val="2"/>
          <w:sz w:val="24"/>
          <w:szCs w:val="24"/>
          <w:highlight w:val="none"/>
          <w:lang w:val="en-US" w:eastAsia="zh-CN" w:bidi="ar-SA"/>
        </w:rPr>
        <w:t>工作日</w:t>
      </w:r>
      <w:r>
        <w:rPr>
          <w:rFonts w:hint="eastAsia" w:ascii="宋体" w:hAnsi="宋体" w:cs="宋体"/>
          <w:bCs/>
          <w:sz w:val="24"/>
          <w:highlight w:val="none"/>
        </w:rPr>
        <w:t>〗内将可兑付款项按规定的要求划入投资者授权指定的理财账户。终止日至资金实际到账日之间，投资者资金不计息。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44"/>
        </w:numPr>
        <w:spacing w:line="360" w:lineRule="auto"/>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44"/>
        </w:numPr>
        <w:spacing w:line="360" w:lineRule="auto"/>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44"/>
        </w:numPr>
        <w:spacing w:line="360" w:lineRule="auto"/>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44"/>
        </w:numPr>
        <w:spacing w:line="360" w:lineRule="auto"/>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44"/>
        </w:numPr>
        <w:spacing w:line="360" w:lineRule="auto"/>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44"/>
        </w:numPr>
        <w:spacing w:line="360" w:lineRule="auto"/>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1"/>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45"/>
        </w:numPr>
        <w:spacing w:line="360" w:lineRule="auto"/>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45"/>
        </w:numPr>
        <w:spacing w:line="360" w:lineRule="auto"/>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45"/>
        </w:numPr>
        <w:spacing w:line="360" w:lineRule="auto"/>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45"/>
        </w:numPr>
        <w:spacing w:line="360" w:lineRule="auto"/>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45"/>
        </w:numPr>
        <w:spacing w:line="360" w:lineRule="auto"/>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7"/>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信息披露</w:t>
      </w:r>
    </w:p>
    <w:p>
      <w:pPr>
        <w:numPr>
          <w:ilvl w:val="0"/>
          <w:numId w:val="46"/>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47"/>
        </w:numPr>
        <w:spacing w:line="360" w:lineRule="auto"/>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48"/>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48"/>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47"/>
        </w:numPr>
        <w:spacing w:line="360" w:lineRule="auto"/>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4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理财计划净值：管理人应在理财计划成立后，每周披露一次净值。</w:t>
      </w:r>
    </w:p>
    <w:p>
      <w:pPr>
        <w:numPr>
          <w:ilvl w:val="0"/>
          <w:numId w:val="4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sz w:val="24"/>
          <w:highlight w:val="none"/>
          <w:lang w:eastAsia="zh-CN"/>
        </w:rPr>
        <w:t>如本理财计划成立不足</w:t>
      </w:r>
      <w:r>
        <w:rPr>
          <w:rFonts w:hint="eastAsia" w:ascii="宋体" w:hAnsi="宋体" w:cs="宋体"/>
          <w:bCs/>
          <w:color w:val="000000"/>
          <w:sz w:val="24"/>
          <w:highlight w:val="none"/>
          <w:lang w:val="en-US" w:eastAsia="zh-CN"/>
        </w:rPr>
        <w:t>90个工作日或剩余存续期不超过90个工作日的，管理人可不编制当期的季度、半年和年度报告等运行报告。</w:t>
      </w:r>
    </w:p>
    <w:p>
      <w:pPr>
        <w:numPr>
          <w:ilvl w:val="0"/>
          <w:numId w:val="4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47"/>
        </w:numPr>
        <w:spacing w:line="360" w:lineRule="auto"/>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5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rPr>
        <w:t>应在发生可能对理财计划投资者或者理财计划收益产生重大事项的事件后2个工作日内发布重大事项公告。</w:t>
      </w:r>
    </w:p>
    <w:p>
      <w:pPr>
        <w:numPr>
          <w:ilvl w:val="0"/>
          <w:numId w:val="5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46"/>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7"/>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其他</w:t>
      </w:r>
    </w:p>
    <w:p>
      <w:pPr>
        <w:numPr>
          <w:ilvl w:val="0"/>
          <w:numId w:val="51"/>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51"/>
        </w:numPr>
        <w:tabs>
          <w:tab w:val="left" w:pos="6090"/>
        </w:tabs>
        <w:spacing w:line="360" w:lineRule="auto"/>
        <w:jc w:val="left"/>
        <w:outlineLvl w:val="9"/>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w:t>
      </w:r>
      <w:r>
        <w:rPr>
          <w:rFonts w:hint="eastAsia" w:ascii="宋体" w:hAnsi="宋体" w:cs="宋体"/>
          <w:b/>
          <w:bCs w:val="0"/>
          <w:color w:val="000000"/>
          <w:sz w:val="24"/>
          <w:highlight w:val="none"/>
        </w:rPr>
        <w:t>投资者在此同意并授权，管理人可根据监管要求，为理财计划登记等需要，向登记部门或监管机构提供投资者相关信息</w:t>
      </w:r>
      <w:r>
        <w:rPr>
          <w:rFonts w:hint="eastAsia" w:ascii="宋体" w:hAnsi="宋体" w:cs="宋体"/>
          <w:b/>
          <w:bCs w:val="0"/>
          <w:color w:val="000000"/>
          <w:sz w:val="24"/>
          <w:highlight w:val="none"/>
          <w:lang w:eastAsia="zh-CN"/>
        </w:rPr>
        <w:t>，</w:t>
      </w:r>
      <w:r>
        <w:rPr>
          <w:rFonts w:hint="eastAsia" w:ascii="宋体" w:hAnsi="宋体" w:cs="宋体"/>
          <w:b/>
          <w:bCs w:val="0"/>
          <w:color w:val="000000"/>
          <w:sz w:val="24"/>
          <w:highlight w:val="none"/>
          <w:lang w:val="en-US" w:eastAsia="zh-CN"/>
        </w:rPr>
        <w:t>授权使用时限与履行相关法律法规和监管要求的必要时限一致</w:t>
      </w:r>
      <w:r>
        <w:rPr>
          <w:rFonts w:hint="eastAsia" w:ascii="宋体" w:hAnsi="宋体" w:cs="宋体"/>
          <w:b/>
          <w:bCs w:val="0"/>
          <w:color w:val="000000"/>
          <w:sz w:val="24"/>
          <w:highlight w:val="none"/>
        </w:rPr>
        <w:t>。</w:t>
      </w:r>
    </w:p>
    <w:p>
      <w:pPr>
        <w:numPr>
          <w:ilvl w:val="0"/>
          <w:numId w:val="51"/>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val="en-US" w:eastAsia="zh-CN"/>
        </w:rPr>
        <w:t>被告人</w:t>
      </w:r>
      <w:r>
        <w:rPr>
          <w:rFonts w:hint="eastAsia" w:ascii="宋体" w:hAnsi="宋体" w:cs="宋体"/>
          <w:bCs/>
          <w:color w:val="000000"/>
          <w:sz w:val="24"/>
          <w:highlight w:val="none"/>
        </w:rPr>
        <w:t>所在地有管辖权的人民法院诉讼解决。</w:t>
      </w:r>
    </w:p>
    <w:p>
      <w:pPr>
        <w:numPr>
          <w:ilvl w:val="0"/>
          <w:numId w:val="51"/>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rPr>
          <w:rFonts w:ascii="宋体" w:hAnsi="宋体" w:cs="宋体"/>
          <w:bCs/>
          <w:color w:val="000000"/>
          <w:sz w:val="24"/>
          <w:highlight w:val="none"/>
        </w:rPr>
      </w:pPr>
      <w:r>
        <w:rPr>
          <w:rFonts w:ascii="宋体" w:hAnsi="宋体" w:cs="宋体"/>
          <w:bCs/>
          <w:color w:val="000000"/>
          <w:sz w:val="24"/>
          <w:highlight w:val="none"/>
        </w:rPr>
        <w:br w:type="page"/>
      </w:r>
    </w:p>
    <w:p>
      <w:pPr>
        <w:spacing w:line="360" w:lineRule="auto"/>
        <w:jc w:val="center"/>
        <w:outlineLvl w:val="9"/>
        <w:rPr>
          <w:rFonts w:hint="eastAsia" w:ascii="宋体" w:hAnsi="宋体" w:cs="宋体"/>
          <w:b/>
          <w:bCs/>
          <w:color w:val="000000"/>
          <w:sz w:val="44"/>
          <w:szCs w:val="44"/>
          <w:highlight w:val="none"/>
        </w:rPr>
      </w:pP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w:t>
      </w:r>
      <w:r>
        <w:rPr>
          <w:rFonts w:hint="eastAsia" w:ascii="宋体" w:hAnsi="宋体" w:cs="宋体"/>
          <w:sz w:val="28"/>
          <w:szCs w:val="28"/>
          <w:highlight w:val="none"/>
          <w:lang w:eastAsia="zh-CN"/>
        </w:rPr>
        <w:t>202502</w:t>
      </w:r>
      <w:r>
        <w:rPr>
          <w:rFonts w:hint="eastAsia" w:ascii="宋体" w:hAnsi="宋体" w:cs="宋体"/>
          <w:sz w:val="28"/>
          <w:szCs w:val="28"/>
          <w:highlight w:val="none"/>
        </w:rPr>
        <w:t>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52"/>
        </w:numPr>
        <w:spacing w:line="360" w:lineRule="auto"/>
        <w:outlineLvl w:val="9"/>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53"/>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53"/>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r>
        <w:rPr>
          <w:rFonts w:hint="eastAsia" w:ascii="宋体" w:hAnsi="宋体" w:cs="宋体"/>
          <w:kern w:val="0"/>
          <w:sz w:val="24"/>
          <w:highlight w:val="none"/>
          <w:lang w:val="en-US" w:eastAsia="zh-CN"/>
        </w:rPr>
        <w:t>如销售机构对于机构投资者的风险承受能力评估有要求的，则参照销售机构相关评估标准或代理销售协议书执行。</w:t>
      </w:r>
    </w:p>
    <w:p>
      <w:pPr>
        <w:numPr>
          <w:ilvl w:val="0"/>
          <w:numId w:val="53"/>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w:t>
      </w:r>
      <w:r>
        <w:rPr>
          <w:rFonts w:hint="eastAsia" w:ascii="宋体" w:hAnsi="宋体" w:cs="宋体"/>
          <w:kern w:val="0"/>
          <w:sz w:val="24"/>
          <w:highlight w:val="none"/>
          <w:lang w:val="en-US" w:eastAsia="zh-CN"/>
        </w:rPr>
        <w:t>代理销售</w:t>
      </w:r>
      <w:r>
        <w:rPr>
          <w:rFonts w:hint="eastAsia" w:ascii="宋体" w:hAnsi="宋体" w:cs="宋体"/>
          <w:kern w:val="0"/>
          <w:sz w:val="24"/>
          <w:highlight w:val="none"/>
          <w:lang w:eastAsia="zh-CN"/>
        </w:rPr>
        <w:t>）销售协议书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53"/>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53"/>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r>
        <w:rPr>
          <w:rFonts w:hint="eastAsia" w:ascii="宋体" w:hAnsi="宋体" w:cs="宋体"/>
          <w:kern w:val="0"/>
          <w:sz w:val="24"/>
          <w:highlight w:val="none"/>
          <w:lang w:val="en-US" w:eastAsia="zh-CN"/>
        </w:rPr>
        <w:t>在没有销售人员推介的情况下，投资者通过自助终端等电子设备进行自主购买的情况除外。</w:t>
      </w:r>
    </w:p>
    <w:p>
      <w:pPr>
        <w:numPr>
          <w:ilvl w:val="0"/>
          <w:numId w:val="53"/>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54"/>
        </w:numPr>
        <w:spacing w:line="360" w:lineRule="auto"/>
        <w:outlineLvl w:val="9"/>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8"/>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pStyle w:val="17"/>
        <w:adjustRightInd/>
        <w:spacing w:line="360" w:lineRule="auto"/>
        <w:ind w:firstLine="480" w:firstLineChars="200"/>
        <w:rPr>
          <w:rFonts w:hint="default" w:ascii="宋体" w:hAnsi="宋体" w:eastAsia="宋体" w:cs="宋体"/>
          <w:b/>
          <w:kern w:val="0"/>
          <w:sz w:val="24"/>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numPr>
          <w:ilvl w:val="0"/>
          <w:numId w:val="55"/>
        </w:numPr>
        <w:spacing w:line="360" w:lineRule="auto"/>
        <w:outlineLvl w:val="9"/>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56"/>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56"/>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56"/>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57"/>
        </w:numPr>
        <w:spacing w:line="360" w:lineRule="auto"/>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57"/>
        </w:numPr>
        <w:spacing w:line="360" w:lineRule="auto"/>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57"/>
        </w:numPr>
        <w:spacing w:line="360" w:lineRule="auto"/>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57"/>
        </w:numPr>
        <w:spacing w:line="360" w:lineRule="auto"/>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58"/>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58"/>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58"/>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r>
        <w:rPr>
          <w:rFonts w:hint="eastAsia" w:ascii="宋体" w:hAnsi="宋体" w:cs="宋体"/>
          <w:kern w:val="0"/>
          <w:sz w:val="24"/>
          <w:highlight w:val="none"/>
          <w:lang w:val="en-US" w:eastAsia="zh-CN"/>
        </w:rPr>
        <w:t>如销售机构对于机构投资者的风险承受能力评估有要求的，则参照销售机构相关评估标准或代理销售协议书执行。</w:t>
      </w:r>
    </w:p>
    <w:p>
      <w:pPr>
        <w:spacing w:line="360" w:lineRule="auto"/>
        <w:ind w:firstLine="482" w:firstLineChars="200"/>
        <w:outlineLvl w:val="9"/>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9"/>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9"/>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59"/>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rPr>
        <w:t>投资者如认为理财</w:t>
      </w:r>
      <w:r>
        <w:rPr>
          <w:rFonts w:hint="eastAsia" w:ascii="宋体" w:hAnsi="宋体" w:cs="宋体"/>
          <w:kern w:val="0"/>
          <w:sz w:val="24"/>
          <w:highlight w:val="none"/>
          <w:lang w:val="en-US" w:eastAsia="zh-CN"/>
        </w:rPr>
        <w:t>计划</w:t>
      </w:r>
      <w:r>
        <w:rPr>
          <w:rFonts w:hint="eastAsia" w:ascii="宋体" w:hAnsi="宋体" w:cs="宋体"/>
          <w:kern w:val="0"/>
          <w:sz w:val="24"/>
          <w:highlight w:val="none"/>
        </w:rPr>
        <w:t>推介销售材料及过程中有不实或未尽风险告知职责或其它疑义事项，或对理财计划、销售机构及理财计划管理人服务有任何意见或建议，可通过拨打销售机构</w:t>
      </w:r>
      <w:r>
        <w:rPr>
          <w:rFonts w:hint="eastAsia" w:ascii="宋体" w:hAnsi="宋体" w:cs="宋体"/>
          <w:kern w:val="0"/>
          <w:sz w:val="24"/>
          <w:highlight w:val="none"/>
          <w:lang w:val="en-US" w:eastAsia="zh-CN"/>
        </w:rPr>
        <w:t>或管理人</w:t>
      </w:r>
      <w:r>
        <w:rPr>
          <w:rFonts w:hint="eastAsia" w:ascii="宋体" w:hAnsi="宋体" w:cs="宋体"/>
          <w:kern w:val="0"/>
          <w:sz w:val="24"/>
          <w:highlight w:val="none"/>
        </w:rPr>
        <w:t>热线或客服电话进行反馈</w:t>
      </w:r>
      <w:r>
        <w:rPr>
          <w:rFonts w:hint="eastAsia" w:ascii="宋体" w:hAnsi="宋体" w:cs="宋体"/>
          <w:kern w:val="0"/>
          <w:sz w:val="24"/>
          <w:highlight w:val="none"/>
          <w:lang w:eastAsia="zh-CN"/>
        </w:rPr>
        <w:t>，</w:t>
      </w:r>
      <w:r>
        <w:rPr>
          <w:rFonts w:hint="eastAsia" w:ascii="宋体" w:hAnsi="宋体" w:cs="宋体"/>
          <w:kern w:val="0"/>
          <w:sz w:val="24"/>
          <w:highlight w:val="none"/>
        </w:rPr>
        <w:t>将由专人接听、记录您的意见建议，并由双方协商共同解决。</w:t>
      </w:r>
    </w:p>
    <w:p>
      <w:pPr>
        <w:numPr>
          <w:ilvl w:val="0"/>
          <w:numId w:val="59"/>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rPr>
        <w:t>联络方式</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杭银理财联络方式：</w:t>
      </w:r>
    </w:p>
    <w:p>
      <w:pPr>
        <w:numPr>
          <w:ilvl w:val="0"/>
          <w:numId w:val="60"/>
        </w:numPr>
        <w:spacing w:line="360" w:lineRule="auto"/>
        <w:ind w:left="0" w:leftChars="0" w:firstLine="400" w:firstLineChars="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1"/>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60"/>
        </w:numPr>
        <w:spacing w:line="360" w:lineRule="auto"/>
        <w:ind w:left="0" w:leftChars="0" w:firstLine="400" w:firstLineChars="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1"/>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ascii="宋体" w:hAnsi="宋体" w:cs="宋体"/>
          <w:bCs/>
          <w:color w:val="000000"/>
          <w:sz w:val="24"/>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rPr>
          <w:rFonts w:ascii="宋体" w:hAnsi="宋体" w:cs="宋体"/>
          <w:bCs/>
          <w:color w:val="000000"/>
          <w:sz w:val="24"/>
          <w:highlight w:val="none"/>
        </w:rPr>
      </w:pPr>
      <w:r>
        <w:rPr>
          <w:rFonts w:ascii="宋体" w:hAnsi="宋体" w:cs="宋体"/>
          <w:bCs/>
          <w:color w:val="000000"/>
          <w:sz w:val="24"/>
          <w:highlight w:val="none"/>
        </w:rPr>
        <w:br w:type="page"/>
      </w:r>
    </w:p>
    <w:p>
      <w:pPr>
        <w:jc w:val="center"/>
        <w:outlineLvl w:val="9"/>
        <w:rPr>
          <w:rFonts w:hint="eastAsia"/>
          <w:b/>
          <w:sz w:val="44"/>
          <w:szCs w:val="44"/>
          <w:highlight w:val="none"/>
        </w:rPr>
      </w:pPr>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w:t>
      </w:r>
      <w:r>
        <w:rPr>
          <w:rFonts w:hint="eastAsia" w:ascii="宋体" w:hAnsi="宋体" w:cs="宋体"/>
          <w:sz w:val="28"/>
          <w:szCs w:val="28"/>
          <w:highlight w:val="none"/>
          <w:lang w:eastAsia="zh-CN"/>
        </w:rPr>
        <w:t>202502</w:t>
      </w:r>
      <w:r>
        <w:rPr>
          <w:rFonts w:hint="eastAsia" w:ascii="宋体" w:hAnsi="宋体" w:cs="宋体"/>
          <w:sz w:val="28"/>
          <w:szCs w:val="28"/>
          <w:highlight w:val="none"/>
        </w:rPr>
        <w:t>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61"/>
        </w:numPr>
        <w:spacing w:line="360" w:lineRule="auto"/>
        <w:ind w:firstLine="482" w:firstLineChars="200"/>
        <w:outlineLvl w:val="9"/>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61"/>
        </w:numPr>
        <w:spacing w:line="360" w:lineRule="auto"/>
        <w:ind w:firstLine="482" w:firstLineChars="200"/>
        <w:outlineLvl w:val="9"/>
        <w:rPr>
          <w:rFonts w:hint="eastAsia"/>
          <w:b/>
          <w:sz w:val="24"/>
          <w:highlight w:val="none"/>
        </w:rPr>
      </w:pPr>
      <w:r>
        <w:rPr>
          <w:rFonts w:hint="eastAsia"/>
          <w:b/>
          <w:sz w:val="24"/>
          <w:highlight w:val="none"/>
        </w:rPr>
        <w:t>投资者权利与义务</w:t>
      </w:r>
    </w:p>
    <w:p>
      <w:pPr>
        <w:widowControl/>
        <w:numPr>
          <w:ilvl w:val="0"/>
          <w:numId w:val="62"/>
        </w:numPr>
        <w:spacing w:line="360" w:lineRule="auto"/>
        <w:contextualSpacing/>
        <w:outlineLvl w:val="9"/>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62"/>
        </w:numPr>
        <w:spacing w:line="360" w:lineRule="auto"/>
        <w:contextualSpacing/>
        <w:outlineLvl w:val="9"/>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62"/>
        </w:numPr>
        <w:spacing w:line="360" w:lineRule="auto"/>
        <w:contextualSpacing/>
        <w:outlineLvl w:val="9"/>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62"/>
        </w:numPr>
        <w:spacing w:line="360" w:lineRule="auto"/>
        <w:contextualSpacing/>
        <w:outlineLvl w:val="9"/>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62"/>
        </w:numPr>
        <w:spacing w:line="360" w:lineRule="auto"/>
        <w:contextualSpacing/>
        <w:outlineLvl w:val="9"/>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62"/>
        </w:numPr>
        <w:spacing w:line="360" w:lineRule="auto"/>
        <w:contextualSpacing/>
        <w:outlineLvl w:val="9"/>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62"/>
        </w:numPr>
        <w:spacing w:line="360" w:lineRule="auto"/>
        <w:contextualSpacing/>
        <w:outlineLvl w:val="9"/>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62"/>
        </w:numPr>
        <w:spacing w:line="360" w:lineRule="auto"/>
        <w:contextualSpacing/>
        <w:outlineLvl w:val="9"/>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62"/>
        </w:numPr>
        <w:spacing w:line="360" w:lineRule="auto"/>
        <w:contextualSpacing/>
        <w:outlineLvl w:val="9"/>
        <w:rPr>
          <w:rFonts w:ascii="宋体" w:hAnsi="宋体"/>
          <w:sz w:val="24"/>
          <w:highlight w:val="none"/>
        </w:rPr>
      </w:pPr>
      <w:r>
        <w:rPr>
          <w:rFonts w:hint="eastAsia" w:ascii="宋体" w:hAnsi="宋体"/>
          <w:sz w:val="24"/>
          <w:highlight w:val="none"/>
        </w:rPr>
        <w:t xml:space="preserve">投资者进行投资时，应严格遵守反洗钱相关法规的规定，切实履行反洗钱及反恐怖融资义务。 </w:t>
      </w:r>
    </w:p>
    <w:p>
      <w:pPr>
        <w:spacing w:line="360" w:lineRule="auto"/>
        <w:ind w:left="482"/>
        <w:rPr>
          <w:b/>
          <w:sz w:val="24"/>
          <w:highlight w:val="none"/>
        </w:rPr>
      </w:pPr>
    </w:p>
    <w:p>
      <w:pPr>
        <w:numPr>
          <w:ilvl w:val="0"/>
          <w:numId w:val="61"/>
        </w:numPr>
        <w:spacing w:line="360" w:lineRule="auto"/>
        <w:ind w:firstLine="482" w:firstLineChars="200"/>
        <w:outlineLvl w:val="9"/>
        <w:rPr>
          <w:rFonts w:hint="eastAsia"/>
          <w:b/>
          <w:sz w:val="24"/>
          <w:highlight w:val="none"/>
        </w:rPr>
      </w:pPr>
      <w:r>
        <w:rPr>
          <w:rFonts w:hint="eastAsia"/>
          <w:b/>
          <w:sz w:val="24"/>
          <w:highlight w:val="none"/>
        </w:rPr>
        <w:t>管理人权利与义务</w:t>
      </w:r>
    </w:p>
    <w:p>
      <w:pPr>
        <w:widowControl/>
        <w:numPr>
          <w:ilvl w:val="0"/>
          <w:numId w:val="63"/>
        </w:numPr>
        <w:spacing w:line="360" w:lineRule="auto"/>
        <w:contextualSpacing/>
        <w:outlineLvl w:val="9"/>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63"/>
        </w:numPr>
        <w:spacing w:line="360" w:lineRule="auto"/>
        <w:contextualSpacing/>
        <w:outlineLvl w:val="9"/>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63"/>
        </w:numPr>
        <w:spacing w:line="360" w:lineRule="auto"/>
        <w:contextualSpacing/>
        <w:outlineLvl w:val="9"/>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63"/>
        </w:numPr>
        <w:spacing w:line="360" w:lineRule="auto"/>
        <w:contextualSpacing/>
        <w:outlineLvl w:val="9"/>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63"/>
        </w:numPr>
        <w:spacing w:line="360" w:lineRule="auto"/>
        <w:contextualSpacing/>
        <w:outlineLvl w:val="9"/>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63"/>
        </w:numPr>
        <w:spacing w:line="360" w:lineRule="auto"/>
        <w:contextualSpacing/>
        <w:outlineLvl w:val="9"/>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63"/>
        </w:numPr>
        <w:spacing w:line="360" w:lineRule="auto"/>
        <w:contextualSpacing/>
        <w:outlineLvl w:val="9"/>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63"/>
        </w:numPr>
        <w:spacing w:line="360" w:lineRule="auto"/>
        <w:contextualSpacing/>
        <w:outlineLvl w:val="9"/>
        <w:rPr>
          <w:rFonts w:ascii="宋体" w:hAnsi="宋体"/>
          <w:sz w:val="24"/>
          <w:highlight w:val="none"/>
        </w:rPr>
      </w:pPr>
      <w:r>
        <w:rPr>
          <w:rFonts w:hint="eastAsia" w:ascii="宋体" w:hAnsi="宋体"/>
          <w:sz w:val="24"/>
          <w:highlight w:val="none"/>
        </w:rPr>
        <w:t>管理人</w:t>
      </w:r>
      <w:r>
        <w:rPr>
          <w:rFonts w:hint="eastAsia" w:ascii="宋体" w:hAnsi="宋体" w:cs="宋体"/>
          <w:bCs/>
          <w:color w:val="000000"/>
          <w:sz w:val="24"/>
          <w:highlight w:val="none"/>
        </w:rPr>
        <w:t>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cs="宋体"/>
          <w:bCs/>
          <w:color w:val="000000"/>
          <w:sz w:val="24"/>
          <w:highlight w:val="none"/>
          <w:lang w:eastAsia="zh-CN"/>
        </w:rPr>
        <w:t>，</w:t>
      </w:r>
      <w:r>
        <w:rPr>
          <w:rFonts w:hint="eastAsia" w:ascii="宋体" w:hAnsi="宋体" w:cs="宋体"/>
          <w:b w:val="0"/>
          <w:bCs/>
          <w:color w:val="000000"/>
          <w:sz w:val="24"/>
          <w:highlight w:val="none"/>
          <w:lang w:val="en-US" w:eastAsia="zh-CN"/>
        </w:rPr>
        <w:t>授权使用时限与履行相关法律法规和监管要求的必要时限一致</w:t>
      </w:r>
      <w:r>
        <w:rPr>
          <w:rFonts w:hint="eastAsia" w:ascii="宋体" w:hAnsi="宋体" w:cs="宋体"/>
          <w:b w:val="0"/>
          <w:bCs/>
          <w:color w:val="000000"/>
          <w:sz w:val="24"/>
          <w:highlight w:val="none"/>
        </w:rPr>
        <w:t>。</w:t>
      </w:r>
    </w:p>
    <w:p>
      <w:pPr>
        <w:widowControl/>
        <w:numPr>
          <w:ilvl w:val="0"/>
          <w:numId w:val="63"/>
        </w:numPr>
        <w:spacing w:line="360" w:lineRule="auto"/>
        <w:contextualSpacing/>
        <w:outlineLvl w:val="9"/>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61"/>
        </w:numPr>
        <w:spacing w:line="360" w:lineRule="auto"/>
        <w:ind w:firstLine="482" w:firstLineChars="200"/>
        <w:outlineLvl w:val="9"/>
        <w:rPr>
          <w:rFonts w:hint="eastAsia"/>
          <w:b/>
          <w:sz w:val="24"/>
          <w:highlight w:val="none"/>
        </w:rPr>
      </w:pPr>
      <w:r>
        <w:rPr>
          <w:rFonts w:hint="eastAsia"/>
          <w:b/>
          <w:sz w:val="24"/>
          <w:highlight w:val="none"/>
        </w:rPr>
        <w:t>理财计划认（申）购、赎回及终止</w:t>
      </w:r>
    </w:p>
    <w:p>
      <w:pPr>
        <w:widowControl/>
        <w:numPr>
          <w:ilvl w:val="0"/>
          <w:numId w:val="64"/>
        </w:numPr>
        <w:spacing w:line="360" w:lineRule="auto"/>
        <w:contextualSpacing/>
        <w:outlineLvl w:val="9"/>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64"/>
        </w:numPr>
        <w:spacing w:line="360" w:lineRule="auto"/>
        <w:contextualSpacing/>
        <w:outlineLvl w:val="9"/>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64"/>
        </w:numPr>
        <w:spacing w:line="360" w:lineRule="auto"/>
        <w:contextualSpacing/>
        <w:outlineLvl w:val="9"/>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64"/>
        </w:numPr>
        <w:spacing w:line="360" w:lineRule="auto"/>
        <w:contextualSpacing/>
        <w:outlineLvl w:val="9"/>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64"/>
        </w:numPr>
        <w:spacing w:line="360" w:lineRule="auto"/>
        <w:contextualSpacing/>
        <w:outlineLvl w:val="9"/>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授权杭银理财理财计划销售文件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64"/>
        </w:numPr>
        <w:spacing w:line="360" w:lineRule="auto"/>
        <w:contextualSpacing/>
        <w:outlineLvl w:val="9"/>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61"/>
        </w:numPr>
        <w:spacing w:line="360" w:lineRule="auto"/>
        <w:ind w:firstLine="482" w:firstLineChars="200"/>
        <w:outlineLvl w:val="9"/>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61"/>
        </w:numPr>
        <w:spacing w:line="360" w:lineRule="auto"/>
        <w:ind w:firstLine="482" w:firstLineChars="200"/>
        <w:outlineLvl w:val="9"/>
        <w:rPr>
          <w:rFonts w:hint="eastAsia"/>
          <w:b/>
          <w:sz w:val="24"/>
          <w:highlight w:val="none"/>
        </w:rPr>
      </w:pPr>
      <w:r>
        <w:rPr>
          <w:rFonts w:hint="eastAsia"/>
          <w:b/>
          <w:sz w:val="24"/>
          <w:highlight w:val="none"/>
        </w:rPr>
        <w:t>违约责任及免责条款</w:t>
      </w:r>
    </w:p>
    <w:p>
      <w:pPr>
        <w:widowControl/>
        <w:numPr>
          <w:ilvl w:val="0"/>
          <w:numId w:val="65"/>
        </w:numPr>
        <w:spacing w:line="360" w:lineRule="auto"/>
        <w:contextualSpacing/>
        <w:outlineLvl w:val="9"/>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65"/>
        </w:numPr>
        <w:spacing w:line="360" w:lineRule="auto"/>
        <w:contextualSpacing/>
        <w:outlineLvl w:val="9"/>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65"/>
        </w:numPr>
        <w:spacing w:line="360" w:lineRule="auto"/>
        <w:contextualSpacing/>
        <w:outlineLvl w:val="9"/>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65"/>
        </w:numPr>
        <w:spacing w:line="360" w:lineRule="auto"/>
        <w:contextualSpacing/>
        <w:outlineLvl w:val="9"/>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65"/>
        </w:numPr>
        <w:spacing w:line="360" w:lineRule="auto"/>
        <w:contextualSpacing/>
        <w:outlineLvl w:val="9"/>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65"/>
        </w:numPr>
        <w:spacing w:line="360" w:lineRule="auto"/>
        <w:contextualSpacing/>
        <w:outlineLvl w:val="9"/>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61"/>
        </w:numPr>
        <w:spacing w:line="360" w:lineRule="auto"/>
        <w:ind w:firstLine="482" w:firstLineChars="200"/>
        <w:outlineLvl w:val="9"/>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val="en-US" w:eastAsia="zh-CN"/>
        </w:rPr>
        <w:t>被告人</w:t>
      </w:r>
      <w:r>
        <w:rPr>
          <w:rFonts w:hint="eastAsia" w:ascii="宋体" w:hAnsi="宋体"/>
          <w:sz w:val="24"/>
          <w:highlight w:val="none"/>
        </w:rPr>
        <w:t>所在地人民法院司法裁决。诉讼期间，未涉及争议的条款仍需继续履行。</w:t>
      </w:r>
    </w:p>
    <w:p>
      <w:pPr>
        <w:spacing w:line="360" w:lineRule="auto"/>
        <w:ind w:left="482"/>
        <w:rPr>
          <w:b/>
          <w:sz w:val="24"/>
          <w:highlight w:val="none"/>
        </w:rPr>
      </w:pPr>
    </w:p>
    <w:p>
      <w:pPr>
        <w:numPr>
          <w:ilvl w:val="0"/>
          <w:numId w:val="61"/>
        </w:numPr>
        <w:spacing w:line="360" w:lineRule="auto"/>
        <w:ind w:firstLine="482" w:firstLineChars="200"/>
        <w:outlineLvl w:val="9"/>
        <w:rPr>
          <w:rFonts w:hint="eastAsia"/>
          <w:b/>
          <w:sz w:val="24"/>
          <w:highlight w:val="none"/>
        </w:rPr>
      </w:pPr>
      <w:r>
        <w:rPr>
          <w:rFonts w:hint="eastAsia"/>
          <w:b/>
          <w:sz w:val="24"/>
          <w:highlight w:val="none"/>
        </w:rPr>
        <w:t>协议生效和终止</w:t>
      </w:r>
    </w:p>
    <w:p>
      <w:pPr>
        <w:widowControl/>
        <w:numPr>
          <w:ilvl w:val="0"/>
          <w:numId w:val="66"/>
        </w:numPr>
        <w:spacing w:line="360" w:lineRule="auto"/>
        <w:contextualSpacing/>
        <w:outlineLvl w:val="9"/>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66"/>
        </w:numPr>
        <w:spacing w:line="360" w:lineRule="auto"/>
        <w:contextualSpacing/>
        <w:outlineLvl w:val="9"/>
        <w:rPr>
          <w:rFonts w:hint="eastAsia" w:ascii="宋体" w:hAnsi="宋体"/>
          <w:sz w:val="24"/>
          <w:highlight w:val="none"/>
        </w:rPr>
      </w:pPr>
      <w:r>
        <w:rPr>
          <w:rFonts w:hint="eastAsia" w:ascii="宋体" w:hAnsi="宋体"/>
          <w:sz w:val="24"/>
          <w:highlight w:val="none"/>
        </w:rPr>
        <w:t>本协议书以纸质书面形式订立的，自投资者</w:t>
      </w:r>
      <w:r>
        <w:rPr>
          <w:rFonts w:hint="eastAsia" w:ascii="宋体" w:hAnsi="宋体"/>
          <w:sz w:val="24"/>
          <w:highlight w:val="none"/>
          <w:lang w:val="en-US" w:eastAsia="zh-CN"/>
        </w:rPr>
        <w:t>签署（如投资者为个人，应签字；如投资者为机构，应法定代表人或授权代理人签字或盖章并加盖公章或有效授权印章）并经管理人系统确认购买理财计划份额</w:t>
      </w:r>
      <w:r>
        <w:rPr>
          <w:rFonts w:hint="eastAsia" w:ascii="宋体" w:hAnsi="宋体"/>
          <w:sz w:val="24"/>
          <w:highlight w:val="none"/>
        </w:rPr>
        <w:t>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66"/>
        </w:numPr>
        <w:spacing w:line="360" w:lineRule="auto"/>
        <w:contextualSpacing/>
        <w:outlineLvl w:val="9"/>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66"/>
        </w:numPr>
        <w:spacing w:line="360" w:lineRule="auto"/>
        <w:contextualSpacing/>
        <w:outlineLvl w:val="9"/>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61"/>
        </w:numPr>
        <w:spacing w:line="360" w:lineRule="auto"/>
        <w:ind w:firstLine="482" w:firstLineChars="200"/>
        <w:outlineLvl w:val="9"/>
        <w:rPr>
          <w:b/>
          <w:sz w:val="24"/>
          <w:highlight w:val="none"/>
        </w:rPr>
      </w:pPr>
      <w:r>
        <w:rPr>
          <w:rFonts w:hint="eastAsia"/>
          <w:b/>
          <w:sz w:val="24"/>
          <w:highlight w:val="none"/>
        </w:rPr>
        <w:t>附则</w:t>
      </w:r>
    </w:p>
    <w:p>
      <w:pPr>
        <w:widowControl/>
        <w:numPr>
          <w:ilvl w:val="0"/>
          <w:numId w:val="67"/>
        </w:numPr>
        <w:spacing w:line="360" w:lineRule="auto"/>
        <w:contextualSpacing/>
        <w:outlineLvl w:val="9"/>
        <w:rPr>
          <w:rFonts w:ascii="宋体" w:hAnsi="宋体"/>
          <w:sz w:val="24"/>
          <w:highlight w:val="none"/>
        </w:rPr>
      </w:pPr>
      <w:r>
        <w:rPr>
          <w:rFonts w:hint="eastAsia" w:ascii="宋体" w:hAnsi="宋体"/>
          <w:sz w:val="24"/>
          <w:highlight w:val="none"/>
        </w:rPr>
        <w:t>如果投资者与管理人之间存在多份理财计划协议书，则每一协议书分别与其所对应的产品说明书等销售文本单独构成一个理财计划交易合同，各个合同之间互相独立，每一合同的效力及履行情况均独立于其他合同。</w:t>
      </w:r>
    </w:p>
    <w:p>
      <w:pPr>
        <w:widowControl/>
        <w:numPr>
          <w:ilvl w:val="0"/>
          <w:numId w:val="67"/>
        </w:numPr>
        <w:spacing w:line="360" w:lineRule="auto"/>
        <w:contextualSpacing/>
        <w:outlineLvl w:val="9"/>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67"/>
        </w:numPr>
        <w:spacing w:line="360" w:lineRule="auto"/>
        <w:contextualSpacing/>
        <w:outlineLvl w:val="9"/>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pStyle w:val="6"/>
        <w:widowControl/>
        <w:spacing w:line="360" w:lineRule="auto"/>
        <w:jc w:val="right"/>
        <w:rPr>
          <w:rFonts w:ascii="宋体" w:hAnsi="宋体" w:cs="宋体"/>
          <w:bCs/>
          <w:color w:val="000000"/>
          <w:sz w:val="24"/>
          <w:highlight w:val="none"/>
        </w:rPr>
      </w:pPr>
      <w:r>
        <w:rPr>
          <w:rFonts w:hint="eastAsia" w:ascii="宋体" w:hAnsi="宋体" w:cs="宋体"/>
          <w:kern w:val="0"/>
          <w:highlight w:val="none"/>
        </w:rPr>
        <w:t>杭银理财有限责任公司</w:t>
      </w:r>
    </w:p>
    <w:p>
      <w:pPr>
        <w:pageBreakBefore/>
        <w:widowControl/>
        <w:spacing w:line="360" w:lineRule="auto"/>
        <w:rPr>
          <w:rFonts w:ascii="宋体" w:hAnsi="宋体"/>
          <w:sz w:val="24"/>
          <w:highlight w:val="none"/>
        </w:rPr>
      </w:pPr>
      <w:r>
        <w:rPr>
          <w:rFonts w:hint="eastAsia" w:ascii="宋体" w:hAnsi="宋体"/>
          <w:sz w:val="24"/>
          <w:highlight w:val="none"/>
        </w:rPr>
        <w:t>本页为纸质形式（如有）</w:t>
      </w:r>
      <w:r>
        <w:rPr>
          <w:rFonts w:hint="eastAsia" w:ascii="宋体" w:hAnsi="宋体"/>
          <w:sz w:val="24"/>
          <w:highlight w:val="none"/>
          <w:lang w:val="en-US" w:eastAsia="zh-CN"/>
        </w:rPr>
        <w:t>投资</w:t>
      </w:r>
      <w:r>
        <w:rPr>
          <w:rFonts w:hint="eastAsia" w:ascii="宋体" w:hAnsi="宋体"/>
          <w:sz w:val="24"/>
          <w:highlight w:val="none"/>
        </w:rPr>
        <w:t>协议书签章页</w:t>
      </w:r>
    </w:p>
    <w:p>
      <w:pPr>
        <w:spacing w:line="360" w:lineRule="auto"/>
        <w:rPr>
          <w:sz w:val="24"/>
          <w:highlight w:val="none"/>
        </w:rPr>
      </w:pPr>
    </w:p>
    <w:p>
      <w:pPr>
        <w:spacing w:line="360" w:lineRule="auto"/>
        <w:rPr>
          <w:sz w:val="24"/>
          <w:highlight w:val="none"/>
        </w:rPr>
      </w:pPr>
    </w:p>
    <w:p>
      <w:pPr>
        <w:spacing w:line="360" w:lineRule="auto"/>
        <w:rPr>
          <w:sz w:val="24"/>
          <w:highlight w:val="none"/>
        </w:rPr>
      </w:pPr>
    </w:p>
    <w:p>
      <w:pPr>
        <w:spacing w:line="360" w:lineRule="auto"/>
        <w:rPr>
          <w:sz w:val="24"/>
          <w:highlight w:val="none"/>
        </w:rPr>
      </w:pPr>
    </w:p>
    <w:p>
      <w:pPr>
        <w:spacing w:line="360" w:lineRule="auto"/>
        <w:rPr>
          <w:sz w:val="24"/>
          <w:highlight w:val="none"/>
        </w:rPr>
      </w:pPr>
    </w:p>
    <w:p>
      <w:pPr>
        <w:spacing w:line="360" w:lineRule="auto"/>
        <w:rPr>
          <w:sz w:val="24"/>
          <w:highlight w:val="none"/>
        </w:rPr>
      </w:pPr>
    </w:p>
    <w:p>
      <w:pPr>
        <w:spacing w:line="360" w:lineRule="auto"/>
        <w:rPr>
          <w:sz w:val="24"/>
          <w:highlight w:val="none"/>
        </w:rPr>
      </w:pPr>
    </w:p>
    <w:p>
      <w:pPr>
        <w:spacing w:line="360" w:lineRule="auto"/>
        <w:rPr>
          <w:sz w:val="24"/>
          <w:highlight w:val="none"/>
        </w:rPr>
      </w:pPr>
    </w:p>
    <w:p>
      <w:pPr>
        <w:spacing w:line="360" w:lineRule="auto"/>
        <w:rPr>
          <w:rFonts w:hint="eastAsia" w:ascii="宋体" w:hAnsi="宋体"/>
          <w:b/>
          <w:bCs/>
          <w:sz w:val="24"/>
          <w:highlight w:val="none"/>
        </w:rPr>
      </w:pPr>
      <w:r>
        <w:rPr>
          <w:rFonts w:hint="eastAsia" w:ascii="宋体" w:hAnsi="宋体"/>
          <w:b/>
          <w:bCs/>
          <w:sz w:val="24"/>
          <w:highlight w:val="none"/>
        </w:rPr>
        <w:t>投资者（签字</w:t>
      </w:r>
      <w:r>
        <w:rPr>
          <w:rFonts w:hint="eastAsia" w:ascii="宋体" w:hAnsi="宋体" w:eastAsia="宋体" w:cs="黑体"/>
          <w:b/>
          <w:bCs/>
          <w:sz w:val="24"/>
          <w:highlight w:val="none"/>
          <w:lang w:eastAsia="zh-CN"/>
        </w:rPr>
        <w:t>或签章</w:t>
      </w:r>
      <w:r>
        <w:rPr>
          <w:rFonts w:hint="eastAsia" w:ascii="宋体" w:hAnsi="宋体"/>
          <w:b/>
          <w:bCs/>
          <w:sz w:val="24"/>
          <w:highlight w:val="none"/>
        </w:rPr>
        <w:t>）：</w:t>
      </w:r>
    </w:p>
    <w:p>
      <w:pPr>
        <w:spacing w:line="360" w:lineRule="auto"/>
        <w:rPr>
          <w:rFonts w:hint="eastAsia" w:ascii="宋体" w:hAnsi="宋体"/>
          <w:b/>
          <w:bCs/>
          <w:sz w:val="24"/>
          <w:highlight w:val="none"/>
        </w:rPr>
      </w:pPr>
    </w:p>
    <w:p>
      <w:pPr>
        <w:spacing w:line="360" w:lineRule="auto"/>
        <w:rPr>
          <w:rFonts w:hint="eastAsia" w:ascii="宋体" w:hAnsi="宋体"/>
          <w:b/>
          <w:bCs/>
          <w:sz w:val="24"/>
          <w:highlight w:val="none"/>
        </w:rPr>
      </w:pPr>
    </w:p>
    <w:p>
      <w:pPr>
        <w:spacing w:before="156" w:beforeLines="50" w:after="156" w:afterLines="50" w:line="360" w:lineRule="auto"/>
        <w:ind w:firstLine="4800" w:firstLineChars="2000"/>
        <w:jc w:val="right"/>
        <w:rPr>
          <w:rFonts w:ascii="宋体" w:hAnsi="宋体" w:cs="宋体"/>
          <w:bCs/>
          <w:color w:val="000000"/>
          <w:sz w:val="24"/>
          <w:highlight w:val="none"/>
        </w:rPr>
      </w:pPr>
      <w:r>
        <w:rPr>
          <w:rFonts w:hint="eastAsia" w:ascii="Arial" w:hAnsi="Arial"/>
          <w:sz w:val="24"/>
          <w:highlight w:val="none"/>
        </w:rPr>
        <w:t xml:space="preserve">   年   月   日</w:t>
      </w:r>
    </w:p>
    <w:p>
      <w:pPr>
        <w:pageBreakBefore/>
        <w:widowControl/>
        <w:spacing w:line="120" w:lineRule="auto"/>
        <w:jc w:val="center"/>
        <w:outlineLvl w:val="9"/>
        <w:rPr>
          <w:rFonts w:hint="eastAsia" w:ascii="Calibri" w:hAnsi="Calibri" w:eastAsia="宋体" w:cs="黑体"/>
          <w:b/>
          <w:bCs w:val="0"/>
          <w:sz w:val="44"/>
          <w:szCs w:val="44"/>
          <w:highlight w:val="none"/>
        </w:rPr>
      </w:pPr>
      <w:r>
        <w:rPr>
          <w:rFonts w:hint="eastAsia" w:ascii="Calibri" w:hAnsi="Calibri" w:eastAsia="宋体" w:cs="黑体"/>
          <w:b/>
          <w:bCs w:val="0"/>
          <w:sz w:val="44"/>
          <w:szCs w:val="44"/>
          <w:highlight w:val="none"/>
          <w:lang w:val="en-US" w:eastAsia="zh-CN"/>
        </w:rPr>
        <w:t>杭银理财理财计划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w:t>
      </w:r>
      <w:r>
        <w:rPr>
          <w:rFonts w:hint="eastAsia" w:ascii="宋体" w:hAnsi="宋体" w:eastAsia="宋体" w:cs="宋体"/>
          <w:sz w:val="28"/>
          <w:szCs w:val="28"/>
          <w:highlight w:val="none"/>
          <w:lang w:eastAsia="zh-CN"/>
        </w:rPr>
        <w:t>202502</w:t>
      </w:r>
      <w:r>
        <w:rPr>
          <w:rFonts w:hint="eastAsia" w:ascii="宋体" w:hAnsi="宋体" w:eastAsia="宋体" w:cs="宋体"/>
          <w:sz w:val="28"/>
          <w:szCs w:val="28"/>
          <w:highlight w:val="none"/>
        </w:rPr>
        <w:t>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（202502</w:t>
      </w:r>
      <w:r>
        <w:rPr>
          <w:rFonts w:hint="eastAsia" w:ascii="Calibri" w:hAnsi="Calibri" w:eastAsia="宋体" w:cs="黑体"/>
          <w:b/>
          <w:bCs/>
          <w:sz w:val="24"/>
          <w:highlight w:val="none"/>
          <w:lang w:val="en-US" w:eastAsia="zh-CN"/>
        </w:rPr>
        <w:t>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9"/>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68"/>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68"/>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68"/>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68"/>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68"/>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68"/>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68"/>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68"/>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68"/>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68"/>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68"/>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68"/>
        </w:numPr>
        <w:spacing w:line="360" w:lineRule="auto"/>
        <w:ind w:left="0" w:leftChars="0" w:firstLine="420" w:firstLineChars="0"/>
        <w:contextualSpacing/>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68"/>
        </w:numPr>
        <w:spacing w:line="360" w:lineRule="auto"/>
        <w:ind w:left="0" w:leftChars="0" w:firstLine="420" w:firstLineChars="0"/>
        <w:contextualSpacing/>
        <w:outlineLvl w:val="9"/>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68"/>
        </w:numPr>
        <w:spacing w:line="360" w:lineRule="auto"/>
        <w:ind w:left="0" w:leftChars="0" w:firstLine="420" w:firstLineChars="0"/>
        <w:contextualSpacing/>
        <w:outlineLvl w:val="9"/>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both"/>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both"/>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销售机构对投资者负有信息保密义务，未经投资者书面许可，销售机构不得向任何组织、个人提供或泄露与投资者有关的业务资料及信息，但法律、法规、监管机构另有规定的除外。</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63"/>
        </w:numPr>
        <w:kinsoku/>
        <w:wordWrap/>
        <w:overflowPunct/>
        <w:topLinePunct w:val="0"/>
        <w:autoSpaceDE/>
        <w:autoSpaceDN/>
        <w:bidi w:val="0"/>
        <w:adjustRightInd/>
        <w:snapToGrid/>
        <w:spacing w:line="360" w:lineRule="auto"/>
        <w:ind w:firstLine="42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63"/>
        </w:numPr>
        <w:kinsoku/>
        <w:wordWrap/>
        <w:overflowPunct/>
        <w:topLinePunct w:val="0"/>
        <w:autoSpaceDE/>
        <w:autoSpaceDN/>
        <w:bidi w:val="0"/>
        <w:adjustRightInd/>
        <w:snapToGrid/>
        <w:spacing w:line="360" w:lineRule="auto"/>
        <w:ind w:firstLine="42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63"/>
        </w:numPr>
        <w:kinsoku/>
        <w:wordWrap/>
        <w:overflowPunct/>
        <w:topLinePunct w:val="0"/>
        <w:autoSpaceDE/>
        <w:autoSpaceDN/>
        <w:bidi w:val="0"/>
        <w:adjustRightInd/>
        <w:snapToGrid/>
        <w:spacing w:line="360" w:lineRule="auto"/>
        <w:ind w:firstLine="42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178"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7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7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7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7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7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被告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72"/>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本协议书</w:t>
      </w:r>
      <w:r>
        <w:rPr>
          <w:rFonts w:hint="eastAsia" w:ascii="宋体" w:hAnsi="宋体"/>
          <w:sz w:val="24"/>
          <w:highlight w:val="none"/>
        </w:rPr>
        <w:t>以纸质书面形式订立的，自投资者签</w:t>
      </w:r>
      <w:r>
        <w:rPr>
          <w:rFonts w:hint="eastAsia" w:ascii="宋体" w:hAnsi="宋体"/>
          <w:sz w:val="24"/>
          <w:highlight w:val="none"/>
          <w:lang w:val="en-US" w:eastAsia="zh-CN"/>
        </w:rPr>
        <w:t>署（如投资者为个人，应签字；如投资者为机构，应法定代表人或授权代理人签字或盖章并加盖公章或有效授权印章）</w:t>
      </w:r>
      <w:r>
        <w:rPr>
          <w:rFonts w:hint="eastAsia" w:ascii="宋体" w:hAnsi="宋体"/>
          <w:sz w:val="24"/>
          <w:highlight w:val="none"/>
        </w:rPr>
        <w:t>和</w:t>
      </w:r>
      <w:r>
        <w:rPr>
          <w:rFonts w:hint="eastAsia" w:ascii="宋体" w:hAnsi="宋体"/>
          <w:sz w:val="24"/>
          <w:highlight w:val="none"/>
          <w:lang w:eastAsia="zh-CN"/>
        </w:rPr>
        <w:t>销售机构</w:t>
      </w:r>
      <w:r>
        <w:rPr>
          <w:rFonts w:hint="eastAsia" w:ascii="宋体" w:hAnsi="宋体"/>
          <w:sz w:val="24"/>
          <w:highlight w:val="none"/>
        </w:rPr>
        <w:t>签章之后立即生效。协议一式叁份，投资者、管理人和</w:t>
      </w:r>
      <w:r>
        <w:rPr>
          <w:rFonts w:hint="eastAsia" w:ascii="宋体" w:hAnsi="宋体"/>
          <w:sz w:val="24"/>
          <w:highlight w:val="none"/>
          <w:lang w:eastAsia="zh-CN"/>
        </w:rPr>
        <w:t>销售机构</w:t>
      </w:r>
      <w:r>
        <w:rPr>
          <w:rFonts w:hint="eastAsia" w:ascii="宋体" w:hAnsi="宋体"/>
          <w:sz w:val="24"/>
          <w:highlight w:val="none"/>
        </w:rPr>
        <w:t>各执壹份，具有同等法律效力。</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宋体" w:eastAsia="宋体" w:cs="黑体"/>
          <w:b w:val="0"/>
          <w:bCs w:val="0"/>
          <w:sz w:val="24"/>
          <w:szCs w:val="24"/>
          <w:highlight w:val="none"/>
          <w:lang w:val="en-US" w:eastAsia="zh-CN"/>
        </w:rPr>
      </w:pPr>
      <w:r>
        <w:rPr>
          <w:rFonts w:hint="eastAsia" w:ascii="宋体" w:hAnsi="宋体" w:eastAsia="宋体" w:cs="宋体"/>
          <w:kern w:val="0"/>
          <w:sz w:val="24"/>
          <w:szCs w:val="24"/>
          <w:highlight w:val="none"/>
          <w:lang w:val="en-US" w:eastAsia="zh-CN" w:bidi="ar-SA"/>
        </w:rPr>
        <w:t>杭银理财有限责任公司</w:t>
      </w:r>
    </w:p>
    <w:p>
      <w:pPr>
        <w:rPr>
          <w:rFonts w:hint="eastAsia" w:ascii="宋体" w:hAnsi="宋体" w:eastAsia="宋体" w:cs="黑体"/>
          <w:b w:val="0"/>
          <w:bCs w:val="0"/>
          <w:sz w:val="24"/>
          <w:szCs w:val="24"/>
          <w:highlight w:val="none"/>
          <w:lang w:val="en-US" w:eastAsia="zh-CN"/>
        </w:rPr>
      </w:pPr>
      <w:r>
        <w:rPr>
          <w:rFonts w:hint="eastAsia" w:ascii="宋体" w:hAnsi="宋体" w:eastAsia="宋体" w:cs="黑体"/>
          <w:b w:val="0"/>
          <w:bCs w:val="0"/>
          <w:sz w:val="24"/>
          <w:szCs w:val="24"/>
          <w:highlight w:val="none"/>
          <w:lang w:val="en-US" w:eastAsia="zh-CN"/>
        </w:rPr>
        <w:br w:type="page"/>
      </w:r>
    </w:p>
    <w:p>
      <w:pPr>
        <w:rPr>
          <w:rFonts w:hint="default" w:ascii="宋体" w:hAnsi="宋体" w:eastAsia="宋体" w:cs="黑体"/>
          <w:b w:val="0"/>
          <w:bCs w:val="0"/>
          <w:sz w:val="24"/>
          <w:szCs w:val="24"/>
          <w:highlight w:val="none"/>
          <w:lang w:val="en-US" w:eastAsia="zh-CN"/>
        </w:rPr>
      </w:pPr>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ascii="宋体" w:hAnsi="宋体" w:cs="宋体"/>
          <w:bCs/>
          <w:color w:val="000000"/>
          <w:sz w:val="24"/>
        </w:rPr>
      </w:pPr>
      <w:r>
        <w:rPr>
          <w:rFonts w:hint="eastAsia" w:ascii="Arial" w:hAnsi="Arial"/>
          <w:sz w:val="24"/>
          <w:highlight w:val="none"/>
        </w:rPr>
        <w:t xml:space="preserve">   年   月   日</w:t>
      </w:r>
    </w:p>
    <w:p>
      <w:pPr>
        <w:spacing w:before="156" w:beforeLines="50" w:after="156" w:afterLines="50" w:line="360" w:lineRule="auto"/>
        <w:ind w:firstLine="0" w:firstLineChars="0"/>
        <w:jc w:val="center"/>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13</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13</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single" w:color="auto" w:sz="4" w:space="1"/>
      </w:pBdr>
    </w:pPr>
    <w:r>
      <w:rPr>
        <w:rFonts w:hint="eastAsia"/>
        <w:b/>
        <w:bCs/>
      </w:rPr>
      <w:t>理财非存款 产品有风险 投资须谨慎</w:t>
    </w:r>
    <w:r>
      <w:rPr>
        <w:b/>
        <w:bCs/>
      </w:rPr>
      <w:drawing>
        <wp:anchor distT="0" distB="0" distL="114300" distR="114300" simplePos="0" relativeHeight="251660288" behindDoc="1" locked="0" layoutInCell="1" allowOverlap="1">
          <wp:simplePos x="0" y="0"/>
          <wp:positionH relativeFrom="column">
            <wp:posOffset>5120640</wp:posOffset>
          </wp:positionH>
          <wp:positionV relativeFrom="paragraph">
            <wp:posOffset>-553085</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1">
    <w:nsid w:val="8493557F"/>
    <w:multiLevelType w:val="singleLevel"/>
    <w:tmpl w:val="8493557F"/>
    <w:lvl w:ilvl="0" w:tentative="0">
      <w:start w:val="2"/>
      <w:numFmt w:val="decimal"/>
      <w:suff w:val="nothing"/>
      <w:lvlText w:val="%1．"/>
      <w:lvlJc w:val="left"/>
      <w:pPr>
        <w:ind w:left="0" w:firstLine="403"/>
      </w:pPr>
      <w:rPr>
        <w:rFonts w:hint="default" w:ascii="宋体" w:hAnsi="宋体" w:eastAsia="宋体" w:cs="宋体"/>
        <w:b w:val="0"/>
        <w:bCs w:val="0"/>
      </w:rPr>
    </w:lvl>
  </w:abstractNum>
  <w:abstractNum w:abstractNumId="2">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3">
    <w:nsid w:val="8906C252"/>
    <w:multiLevelType w:val="singleLevel"/>
    <w:tmpl w:val="8906C252"/>
    <w:lvl w:ilvl="0" w:tentative="0">
      <w:start w:val="1"/>
      <w:numFmt w:val="decimal"/>
      <w:suff w:val="nothing"/>
      <w:lvlText w:val="（%1）"/>
      <w:lvlJc w:val="left"/>
      <w:rPr>
        <w:rFonts w:hint="default"/>
        <w:b w:val="0"/>
        <w:bCs w:val="0"/>
      </w:rPr>
    </w:lvl>
  </w:abstractNum>
  <w:abstractNum w:abstractNumId="4">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5">
    <w:nsid w:val="8CBA9D88"/>
    <w:multiLevelType w:val="singleLevel"/>
    <w:tmpl w:val="8CBA9D88"/>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7">
    <w:nsid w:val="8D2AB5FD"/>
    <w:multiLevelType w:val="singleLevel"/>
    <w:tmpl w:val="8D2AB5FD"/>
    <w:lvl w:ilvl="0" w:tentative="0">
      <w:start w:val="1"/>
      <w:numFmt w:val="chineseCounting"/>
      <w:suff w:val="nothing"/>
      <w:lvlText w:val="（%1）"/>
      <w:lvlJc w:val="left"/>
      <w:pPr>
        <w:ind w:left="0" w:firstLine="420"/>
      </w:pPr>
      <w:rPr>
        <w:rFonts w:hint="eastAsia"/>
      </w:rPr>
    </w:lvl>
  </w:abstractNum>
  <w:abstractNum w:abstractNumId="8">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9">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0">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1">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2">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3">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4">
    <w:nsid w:val="AC40BB97"/>
    <w:multiLevelType w:val="singleLevel"/>
    <w:tmpl w:val="AC40BB97"/>
    <w:lvl w:ilvl="0" w:tentative="0">
      <w:start w:val="1"/>
      <w:numFmt w:val="chineseCounting"/>
      <w:suff w:val="nothing"/>
      <w:lvlText w:val="%1、"/>
      <w:lvlJc w:val="left"/>
      <w:rPr>
        <w:rFonts w:hint="eastAsia"/>
      </w:rPr>
    </w:lvl>
  </w:abstractNum>
  <w:abstractNum w:abstractNumId="15">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6">
    <w:nsid w:val="B08226EF"/>
    <w:multiLevelType w:val="singleLevel"/>
    <w:tmpl w:val="B08226EF"/>
    <w:lvl w:ilvl="0" w:tentative="0">
      <w:start w:val="1"/>
      <w:numFmt w:val="chineseCounting"/>
      <w:suff w:val="space"/>
      <w:lvlText w:val="第%1条"/>
      <w:lvlJc w:val="left"/>
      <w:rPr>
        <w:rFonts w:hint="eastAsia"/>
      </w:rPr>
    </w:lvl>
  </w:abstractNum>
  <w:abstractNum w:abstractNumId="17">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18">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19">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0">
    <w:nsid w:val="D51C2339"/>
    <w:multiLevelType w:val="singleLevel"/>
    <w:tmpl w:val="D51C2339"/>
    <w:lvl w:ilvl="0" w:tentative="0">
      <w:start w:val="1"/>
      <w:numFmt w:val="decimal"/>
      <w:suff w:val="nothing"/>
      <w:lvlText w:val="%1．"/>
      <w:lvlJc w:val="left"/>
      <w:pPr>
        <w:ind w:left="0" w:firstLine="400"/>
      </w:pPr>
      <w:rPr>
        <w:rFonts w:hint="default" w:ascii="宋体" w:hAnsi="宋体" w:eastAsia="宋体" w:cs="宋体"/>
        <w:b/>
        <w:bCs/>
      </w:rPr>
    </w:lvl>
  </w:abstractNum>
  <w:abstractNum w:abstractNumId="21">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2">
    <w:nsid w:val="D8D75090"/>
    <w:multiLevelType w:val="singleLevel"/>
    <w:tmpl w:val="D8D75090"/>
    <w:lvl w:ilvl="0" w:tentative="0">
      <w:start w:val="1"/>
      <w:numFmt w:val="decimal"/>
      <w:suff w:val="nothing"/>
      <w:lvlText w:val="（%1）"/>
      <w:lvlJc w:val="left"/>
      <w:rPr>
        <w:rFonts w:hint="default"/>
        <w:b w:val="0"/>
        <w:bCs w:val="0"/>
      </w:rPr>
    </w:lvl>
  </w:abstractNum>
  <w:abstractNum w:abstractNumId="23">
    <w:nsid w:val="DD2251DF"/>
    <w:multiLevelType w:val="singleLevel"/>
    <w:tmpl w:val="DD2251DF"/>
    <w:lvl w:ilvl="0" w:tentative="0">
      <w:start w:val="1"/>
      <w:numFmt w:val="decimal"/>
      <w:suff w:val="nothing"/>
      <w:lvlText w:val="（%1）"/>
      <w:lvlJc w:val="left"/>
      <w:rPr>
        <w:rFonts w:hint="default"/>
        <w:b w:val="0"/>
        <w:bCs w:val="0"/>
      </w:rPr>
    </w:lvl>
  </w:abstractNum>
  <w:abstractNum w:abstractNumId="24">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5">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26">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27">
    <w:nsid w:val="F574F5B6"/>
    <w:multiLevelType w:val="singleLevel"/>
    <w:tmpl w:val="F574F5B6"/>
    <w:lvl w:ilvl="0" w:tentative="0">
      <w:start w:val="1"/>
      <w:numFmt w:val="decimal"/>
      <w:suff w:val="nothing"/>
      <w:lvlText w:val="（%1）"/>
      <w:lvlJc w:val="left"/>
    </w:lvl>
  </w:abstractNum>
  <w:abstractNum w:abstractNumId="28">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29">
    <w:nsid w:val="FE7FCF71"/>
    <w:multiLevelType w:val="multilevel"/>
    <w:tmpl w:val="FE7FCF71"/>
    <w:lvl w:ilvl="0" w:tentative="0">
      <w:start w:val="1"/>
      <w:numFmt w:val="decimal"/>
      <w:suff w:val="nothing"/>
      <w:lvlText w:val="%1．"/>
      <w:lvlJc w:val="left"/>
      <w:pPr>
        <w:ind w:left="0" w:firstLine="40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30">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1">
    <w:nsid w:val="084A6179"/>
    <w:multiLevelType w:val="singleLevel"/>
    <w:tmpl w:val="084A6179"/>
    <w:lvl w:ilvl="0" w:tentative="0">
      <w:start w:val="1"/>
      <w:numFmt w:val="decimal"/>
      <w:suff w:val="nothing"/>
      <w:lvlText w:val="（%1）"/>
      <w:lvlJc w:val="left"/>
      <w:rPr>
        <w:rFonts w:hint="default"/>
        <w:highlight w:val="none"/>
      </w:rPr>
    </w:lvl>
  </w:abstractNum>
  <w:abstractNum w:abstractNumId="32">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3">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34">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35">
    <w:nsid w:val="167B0BB4"/>
    <w:multiLevelType w:val="singleLevel"/>
    <w:tmpl w:val="167B0BB4"/>
    <w:lvl w:ilvl="0" w:tentative="0">
      <w:start w:val="1"/>
      <w:numFmt w:val="decimal"/>
      <w:suff w:val="nothing"/>
      <w:lvlText w:val="（%1）"/>
      <w:lvlJc w:val="left"/>
    </w:lvl>
  </w:abstractNum>
  <w:abstractNum w:abstractNumId="36">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37">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38">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39">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40">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41">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42">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43">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44">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45">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46">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47">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48">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49">
    <w:nsid w:val="597D161E"/>
    <w:multiLevelType w:val="multilevel"/>
    <w:tmpl w:val="597D161E"/>
    <w:lvl w:ilvl="0" w:tentative="0">
      <w:start w:val="1"/>
      <w:numFmt w:val="chineseCounting"/>
      <w:suff w:val="nothing"/>
      <w:lvlText w:val="（%1）"/>
      <w:lvlJc w:val="left"/>
      <w:pPr>
        <w:ind w:left="0" w:firstLine="420"/>
      </w:pPr>
      <w:rPr>
        <w:rFonts w:hint="eastAsia" w:ascii="宋体" w:hAnsi="宋体" w:eastAsia="宋体" w:cs="宋体"/>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50">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51">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52">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53">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54">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55">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56">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57">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58">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59">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60">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61">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62">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63">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64">
    <w:nsid w:val="61CBC088"/>
    <w:multiLevelType w:val="singleLevel"/>
    <w:tmpl w:val="61CBC088"/>
    <w:lvl w:ilvl="0" w:tentative="0">
      <w:start w:val="1"/>
      <w:numFmt w:val="chineseCounting"/>
      <w:suff w:val="nothing"/>
      <w:lvlText w:val="（%1）"/>
      <w:lvlJc w:val="left"/>
      <w:pPr>
        <w:ind w:left="0" w:firstLine="420"/>
      </w:pPr>
      <w:rPr>
        <w:rFonts w:hint="eastAsia"/>
        <w:b w:val="0"/>
        <w:bCs w:val="0"/>
      </w:rPr>
    </w:lvl>
  </w:abstractNum>
  <w:abstractNum w:abstractNumId="65">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66">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67">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68">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69">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70">
    <w:nsid w:val="68F6C37C"/>
    <w:multiLevelType w:val="singleLevel"/>
    <w:tmpl w:val="68F6C37C"/>
    <w:lvl w:ilvl="0" w:tentative="0">
      <w:start w:val="1"/>
      <w:numFmt w:val="decimal"/>
      <w:lvlText w:val="%1."/>
      <w:lvlJc w:val="left"/>
      <w:pPr>
        <w:tabs>
          <w:tab w:val="left" w:pos="312"/>
        </w:tabs>
      </w:pPr>
      <w:rPr>
        <w:rFonts w:hint="default"/>
        <w:highlight w:val="none"/>
      </w:rPr>
    </w:lvl>
  </w:abstractNum>
  <w:abstractNum w:abstractNumId="71">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72">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73">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4"/>
  </w:num>
  <w:num w:numId="2">
    <w:abstractNumId w:val="0"/>
  </w:num>
  <w:num w:numId="3">
    <w:abstractNumId w:val="42"/>
  </w:num>
  <w:num w:numId="4">
    <w:abstractNumId w:val="37"/>
  </w:num>
  <w:num w:numId="5">
    <w:abstractNumId w:val="49"/>
  </w:num>
  <w:num w:numId="6">
    <w:abstractNumId w:val="72"/>
  </w:num>
  <w:num w:numId="7">
    <w:abstractNumId w:val="32"/>
  </w:num>
  <w:num w:numId="8">
    <w:abstractNumId w:val="73"/>
  </w:num>
  <w:num w:numId="9">
    <w:abstractNumId w:val="47"/>
  </w:num>
  <w:num w:numId="10">
    <w:abstractNumId w:val="44"/>
  </w:num>
  <w:num w:numId="11">
    <w:abstractNumId w:val="28"/>
  </w:num>
  <w:num w:numId="12">
    <w:abstractNumId w:val="26"/>
  </w:num>
  <w:num w:numId="13">
    <w:abstractNumId w:val="33"/>
  </w:num>
  <w:num w:numId="14">
    <w:abstractNumId w:val="25"/>
  </w:num>
  <w:num w:numId="15">
    <w:abstractNumId w:val="20"/>
  </w:num>
  <w:num w:numId="16">
    <w:abstractNumId w:val="11"/>
  </w:num>
  <w:num w:numId="17">
    <w:abstractNumId w:val="17"/>
  </w:num>
  <w:num w:numId="18">
    <w:abstractNumId w:val="8"/>
  </w:num>
  <w:num w:numId="19">
    <w:abstractNumId w:val="9"/>
  </w:num>
  <w:num w:numId="20">
    <w:abstractNumId w:val="7"/>
  </w:num>
  <w:num w:numId="21">
    <w:abstractNumId w:val="70"/>
  </w:num>
  <w:num w:numId="22">
    <w:abstractNumId w:val="5"/>
  </w:num>
  <w:num w:numId="23">
    <w:abstractNumId w:val="1"/>
  </w:num>
  <w:num w:numId="24">
    <w:abstractNumId w:val="43"/>
  </w:num>
  <w:num w:numId="25">
    <w:abstractNumId w:val="27"/>
  </w:num>
  <w:num w:numId="26">
    <w:abstractNumId w:val="19"/>
  </w:num>
  <w:num w:numId="27">
    <w:abstractNumId w:val="38"/>
  </w:num>
  <w:num w:numId="28">
    <w:abstractNumId w:val="21"/>
  </w:num>
  <w:num w:numId="29">
    <w:abstractNumId w:val="6"/>
  </w:num>
  <w:num w:numId="30">
    <w:abstractNumId w:val="46"/>
  </w:num>
  <w:num w:numId="31">
    <w:abstractNumId w:val="4"/>
  </w:num>
  <w:num w:numId="32">
    <w:abstractNumId w:val="31"/>
  </w:num>
  <w:num w:numId="33">
    <w:abstractNumId w:val="36"/>
  </w:num>
  <w:num w:numId="34">
    <w:abstractNumId w:val="71"/>
  </w:num>
  <w:num w:numId="35">
    <w:abstractNumId w:val="30"/>
  </w:num>
  <w:num w:numId="36">
    <w:abstractNumId w:val="23"/>
  </w:num>
  <w:num w:numId="37">
    <w:abstractNumId w:val="41"/>
  </w:num>
  <w:num w:numId="38">
    <w:abstractNumId w:val="2"/>
  </w:num>
  <w:num w:numId="39">
    <w:abstractNumId w:val="24"/>
  </w:num>
  <w:num w:numId="40">
    <w:abstractNumId w:val="29"/>
  </w:num>
  <w:num w:numId="41">
    <w:abstractNumId w:val="45"/>
  </w:num>
  <w:num w:numId="42">
    <w:abstractNumId w:val="34"/>
  </w:num>
  <w:num w:numId="43">
    <w:abstractNumId w:val="18"/>
  </w:num>
  <w:num w:numId="44">
    <w:abstractNumId w:val="48"/>
  </w:num>
  <w:num w:numId="45">
    <w:abstractNumId w:val="12"/>
  </w:num>
  <w:num w:numId="46">
    <w:abstractNumId w:val="10"/>
  </w:num>
  <w:num w:numId="47">
    <w:abstractNumId w:val="13"/>
  </w:num>
  <w:num w:numId="48">
    <w:abstractNumId w:val="35"/>
  </w:num>
  <w:num w:numId="49">
    <w:abstractNumId w:val="22"/>
  </w:num>
  <w:num w:numId="50">
    <w:abstractNumId w:val="3"/>
  </w:num>
  <w:num w:numId="51">
    <w:abstractNumId w:val="40"/>
  </w:num>
  <w:num w:numId="52">
    <w:abstractNumId w:val="57"/>
  </w:num>
  <w:num w:numId="53">
    <w:abstractNumId w:val="56"/>
  </w:num>
  <w:num w:numId="54">
    <w:abstractNumId w:val="58"/>
  </w:num>
  <w:num w:numId="55">
    <w:abstractNumId w:val="59"/>
  </w:num>
  <w:num w:numId="56">
    <w:abstractNumId w:val="60"/>
  </w:num>
  <w:num w:numId="57">
    <w:abstractNumId w:val="61"/>
  </w:num>
  <w:num w:numId="58">
    <w:abstractNumId w:val="62"/>
  </w:num>
  <w:num w:numId="59">
    <w:abstractNumId w:val="63"/>
  </w:num>
  <w:num w:numId="60">
    <w:abstractNumId w:val="39"/>
  </w:num>
  <w:num w:numId="61">
    <w:abstractNumId w:val="16"/>
  </w:num>
  <w:num w:numId="62">
    <w:abstractNumId w:val="50"/>
  </w:num>
  <w:num w:numId="63">
    <w:abstractNumId w:val="51"/>
  </w:num>
  <w:num w:numId="64">
    <w:abstractNumId w:val="52"/>
  </w:num>
  <w:num w:numId="65">
    <w:abstractNumId w:val="53"/>
  </w:num>
  <w:num w:numId="66">
    <w:abstractNumId w:val="54"/>
  </w:num>
  <w:num w:numId="67">
    <w:abstractNumId w:val="55"/>
  </w:num>
  <w:num w:numId="68">
    <w:abstractNumId w:val="64"/>
  </w:num>
  <w:num w:numId="69">
    <w:abstractNumId w:val="65"/>
  </w:num>
  <w:num w:numId="70">
    <w:abstractNumId w:val="15"/>
  </w:num>
  <w:num w:numId="71">
    <w:abstractNumId w:val="66"/>
  </w:num>
  <w:num w:numId="72">
    <w:abstractNumId w:val="67"/>
  </w:num>
  <w:num w:numId="73">
    <w:abstractNumId w:val="68"/>
  </w:num>
  <w:num w:numId="74">
    <w:abstractNumId w:val="6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hyphenationZone w:val="360"/>
  <w:drawingGridHorizontalSpacing w:val="0"/>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M5ZjUwYzE3NDdkZDY1ZTUwZTQwZTM5ODM0MmI1ZGMifQ=="/>
    <w:docVar w:name="KSO_WPS_MARK_KEY" w:val="7d0c4fc6-43cc-4bf7-81fa-344b25226340"/>
  </w:docVars>
  <w:rsids>
    <w:rsidRoot w:val="00172A27"/>
    <w:rsid w:val="005E72A2"/>
    <w:rsid w:val="00EE55AC"/>
    <w:rsid w:val="0226402A"/>
    <w:rsid w:val="02266A4E"/>
    <w:rsid w:val="0233240B"/>
    <w:rsid w:val="03AE1ACD"/>
    <w:rsid w:val="052107D7"/>
    <w:rsid w:val="05305490"/>
    <w:rsid w:val="05D650B2"/>
    <w:rsid w:val="05DE6E8D"/>
    <w:rsid w:val="05E42C31"/>
    <w:rsid w:val="07506656"/>
    <w:rsid w:val="089F06F0"/>
    <w:rsid w:val="08EC59C1"/>
    <w:rsid w:val="09012D55"/>
    <w:rsid w:val="093A6D15"/>
    <w:rsid w:val="09C724A3"/>
    <w:rsid w:val="09C80899"/>
    <w:rsid w:val="0A057859"/>
    <w:rsid w:val="0CB54915"/>
    <w:rsid w:val="0CE01EEC"/>
    <w:rsid w:val="0D2F3D4F"/>
    <w:rsid w:val="0D5B65FA"/>
    <w:rsid w:val="0D7A6610"/>
    <w:rsid w:val="0E0C54BC"/>
    <w:rsid w:val="0E4F5341"/>
    <w:rsid w:val="10E7747B"/>
    <w:rsid w:val="10F25E29"/>
    <w:rsid w:val="11FA0C01"/>
    <w:rsid w:val="128B25FE"/>
    <w:rsid w:val="12DA17D8"/>
    <w:rsid w:val="15862C7E"/>
    <w:rsid w:val="164976A9"/>
    <w:rsid w:val="178D1D7E"/>
    <w:rsid w:val="17EA7887"/>
    <w:rsid w:val="18321B09"/>
    <w:rsid w:val="18616AA2"/>
    <w:rsid w:val="191F0F43"/>
    <w:rsid w:val="19E235E1"/>
    <w:rsid w:val="1A7E4CCF"/>
    <w:rsid w:val="1BCD72C9"/>
    <w:rsid w:val="1BFB7C22"/>
    <w:rsid w:val="1C09008C"/>
    <w:rsid w:val="1D0817CE"/>
    <w:rsid w:val="1E635082"/>
    <w:rsid w:val="1F0F7AA5"/>
    <w:rsid w:val="1F962D64"/>
    <w:rsid w:val="213B4CFA"/>
    <w:rsid w:val="21527232"/>
    <w:rsid w:val="21575C30"/>
    <w:rsid w:val="21B70797"/>
    <w:rsid w:val="21F67436"/>
    <w:rsid w:val="220D70EF"/>
    <w:rsid w:val="24885625"/>
    <w:rsid w:val="24A063EA"/>
    <w:rsid w:val="24C8157C"/>
    <w:rsid w:val="255170B3"/>
    <w:rsid w:val="25BD3406"/>
    <w:rsid w:val="260415D7"/>
    <w:rsid w:val="26896537"/>
    <w:rsid w:val="27DB5649"/>
    <w:rsid w:val="284E53B8"/>
    <w:rsid w:val="28F73A05"/>
    <w:rsid w:val="29E223F6"/>
    <w:rsid w:val="2A7A79DE"/>
    <w:rsid w:val="2B5C1F0C"/>
    <w:rsid w:val="2BD054E2"/>
    <w:rsid w:val="2EAD6691"/>
    <w:rsid w:val="2F0D25D9"/>
    <w:rsid w:val="3086176D"/>
    <w:rsid w:val="31124CF4"/>
    <w:rsid w:val="31A3269E"/>
    <w:rsid w:val="322D08A3"/>
    <w:rsid w:val="32626F15"/>
    <w:rsid w:val="329E36D6"/>
    <w:rsid w:val="34105616"/>
    <w:rsid w:val="3486580A"/>
    <w:rsid w:val="34A35A92"/>
    <w:rsid w:val="34A453A9"/>
    <w:rsid w:val="34EC3C25"/>
    <w:rsid w:val="351A5D92"/>
    <w:rsid w:val="35AA025C"/>
    <w:rsid w:val="35CA7D73"/>
    <w:rsid w:val="36FD5D01"/>
    <w:rsid w:val="377307FA"/>
    <w:rsid w:val="394B6E53"/>
    <w:rsid w:val="3B1C12F3"/>
    <w:rsid w:val="3BD53B5C"/>
    <w:rsid w:val="3CC57F13"/>
    <w:rsid w:val="3D4C282D"/>
    <w:rsid w:val="3D970F4E"/>
    <w:rsid w:val="3DE106C6"/>
    <w:rsid w:val="3E540971"/>
    <w:rsid w:val="3E786275"/>
    <w:rsid w:val="3E931F0D"/>
    <w:rsid w:val="3F7E2660"/>
    <w:rsid w:val="3FA31FDD"/>
    <w:rsid w:val="3FBF6D08"/>
    <w:rsid w:val="3FFA261A"/>
    <w:rsid w:val="40A430BB"/>
    <w:rsid w:val="40E135DA"/>
    <w:rsid w:val="40FB25F3"/>
    <w:rsid w:val="41F528C8"/>
    <w:rsid w:val="427C1487"/>
    <w:rsid w:val="42FA026B"/>
    <w:rsid w:val="43C800C0"/>
    <w:rsid w:val="444440BE"/>
    <w:rsid w:val="44AC49CD"/>
    <w:rsid w:val="44B91F56"/>
    <w:rsid w:val="46184F00"/>
    <w:rsid w:val="466F6F60"/>
    <w:rsid w:val="46A726DE"/>
    <w:rsid w:val="4745701D"/>
    <w:rsid w:val="478A432C"/>
    <w:rsid w:val="47AC6180"/>
    <w:rsid w:val="48BF1281"/>
    <w:rsid w:val="4B2F6DF6"/>
    <w:rsid w:val="4CC51C60"/>
    <w:rsid w:val="4D3204EA"/>
    <w:rsid w:val="4D697EB1"/>
    <w:rsid w:val="4D7EE1B8"/>
    <w:rsid w:val="4DFF95C2"/>
    <w:rsid w:val="4E08799D"/>
    <w:rsid w:val="4E2B414A"/>
    <w:rsid w:val="4F5679CC"/>
    <w:rsid w:val="501840BA"/>
    <w:rsid w:val="52B042C0"/>
    <w:rsid w:val="53827B5D"/>
    <w:rsid w:val="53E86B53"/>
    <w:rsid w:val="54D66C67"/>
    <w:rsid w:val="54ED47F2"/>
    <w:rsid w:val="568633C7"/>
    <w:rsid w:val="57061882"/>
    <w:rsid w:val="57280BF2"/>
    <w:rsid w:val="57CFCB0F"/>
    <w:rsid w:val="57FE8B5E"/>
    <w:rsid w:val="582C3B01"/>
    <w:rsid w:val="582D059F"/>
    <w:rsid w:val="582D396D"/>
    <w:rsid w:val="59083CAE"/>
    <w:rsid w:val="592570E8"/>
    <w:rsid w:val="59435FE6"/>
    <w:rsid w:val="59480030"/>
    <w:rsid w:val="59A3360E"/>
    <w:rsid w:val="5ADE2855"/>
    <w:rsid w:val="5ADF8627"/>
    <w:rsid w:val="5B056CAE"/>
    <w:rsid w:val="5C664A4B"/>
    <w:rsid w:val="5CE67D31"/>
    <w:rsid w:val="5E5F4050"/>
    <w:rsid w:val="5F04726A"/>
    <w:rsid w:val="5F6D37D2"/>
    <w:rsid w:val="5F9C081D"/>
    <w:rsid w:val="5FED5180"/>
    <w:rsid w:val="606677EA"/>
    <w:rsid w:val="60F34C3C"/>
    <w:rsid w:val="617668BD"/>
    <w:rsid w:val="61D01645"/>
    <w:rsid w:val="63723353"/>
    <w:rsid w:val="64164D78"/>
    <w:rsid w:val="648E3087"/>
    <w:rsid w:val="64993141"/>
    <w:rsid w:val="659F27EB"/>
    <w:rsid w:val="659F600E"/>
    <w:rsid w:val="67CE6661"/>
    <w:rsid w:val="680A5A06"/>
    <w:rsid w:val="68B9403E"/>
    <w:rsid w:val="68D511B9"/>
    <w:rsid w:val="68FA6041"/>
    <w:rsid w:val="69827CEE"/>
    <w:rsid w:val="6BDE71F2"/>
    <w:rsid w:val="6C9577EB"/>
    <w:rsid w:val="6CBA3A99"/>
    <w:rsid w:val="6D3A1203"/>
    <w:rsid w:val="6DFE35A5"/>
    <w:rsid w:val="6E9C369D"/>
    <w:rsid w:val="6EF41B11"/>
    <w:rsid w:val="6FF79273"/>
    <w:rsid w:val="702573F3"/>
    <w:rsid w:val="70B57531"/>
    <w:rsid w:val="70FA499F"/>
    <w:rsid w:val="730C182D"/>
    <w:rsid w:val="73F5BB6D"/>
    <w:rsid w:val="73FC9A3F"/>
    <w:rsid w:val="751974A1"/>
    <w:rsid w:val="758B30E4"/>
    <w:rsid w:val="75F42331"/>
    <w:rsid w:val="761F7C3C"/>
    <w:rsid w:val="76683D2A"/>
    <w:rsid w:val="76C62D9E"/>
    <w:rsid w:val="78244617"/>
    <w:rsid w:val="7A923507"/>
    <w:rsid w:val="7AAFF850"/>
    <w:rsid w:val="7ACB640D"/>
    <w:rsid w:val="7BFF1A29"/>
    <w:rsid w:val="7C044D89"/>
    <w:rsid w:val="7C63442B"/>
    <w:rsid w:val="7D3AA22F"/>
    <w:rsid w:val="7D9F2F3F"/>
    <w:rsid w:val="7DE35ECA"/>
    <w:rsid w:val="7DF186E2"/>
    <w:rsid w:val="7E1A0C5A"/>
    <w:rsid w:val="7E3212D3"/>
    <w:rsid w:val="7E7F7BE9"/>
    <w:rsid w:val="7F5F887D"/>
    <w:rsid w:val="7F9FC635"/>
    <w:rsid w:val="7FCC7D05"/>
    <w:rsid w:val="7FEF42B8"/>
    <w:rsid w:val="7FEFE414"/>
    <w:rsid w:val="7FF2B36D"/>
    <w:rsid w:val="9FD01BC3"/>
    <w:rsid w:val="9FDF7357"/>
    <w:rsid w:val="B3FE25BF"/>
    <w:rsid w:val="BE6E0F8F"/>
    <w:rsid w:val="C679D4D5"/>
    <w:rsid w:val="C7EFAC2C"/>
    <w:rsid w:val="CFBD1285"/>
    <w:rsid w:val="D3FFF2E3"/>
    <w:rsid w:val="D4B948F0"/>
    <w:rsid w:val="D7BE90C3"/>
    <w:rsid w:val="DFFBF81E"/>
    <w:rsid w:val="E2F2C526"/>
    <w:rsid w:val="E7F7B356"/>
    <w:rsid w:val="F3F331A4"/>
    <w:rsid w:val="F3F6346F"/>
    <w:rsid w:val="F3FF81F7"/>
    <w:rsid w:val="F6D74091"/>
    <w:rsid w:val="F7FE62B6"/>
    <w:rsid w:val="FA543BA3"/>
    <w:rsid w:val="FD7F9463"/>
    <w:rsid w:val="FEAED78B"/>
    <w:rsid w:val="FF5D960F"/>
    <w:rsid w:val="FFFFE025"/>
  </w:rsids>
  <m:mathPr>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character" w:default="1" w:styleId="10">
    <w:name w:val="Default Paragraph Font"/>
    <w:semiHidden/>
    <w:qFormat/>
    <w:uiPriority w:val="0"/>
  </w:style>
  <w:style w:type="table" w:default="1" w:styleId="8">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Layout w:type="fixed"/>
      <w:tblCellMar>
        <w:top w:w="0" w:type="dxa"/>
        <w:left w:w="108" w:type="dxa"/>
        <w:bottom w:w="0" w:type="dxa"/>
        <w:right w:w="108" w:type="dxa"/>
      </w:tblCellMar>
    </w:tblPr>
  </w:style>
  <w:style w:type="paragraph" w:styleId="2">
    <w:name w:val="annotation text"/>
    <w:basedOn w:val="1"/>
    <w:link w:val="18"/>
    <w:uiPriority w:val="0"/>
    <w:pPr>
      <w:jc w:val="left"/>
    </w:pPr>
  </w:style>
  <w:style w:type="paragraph" w:styleId="3">
    <w:name w:val="Balloon Text"/>
    <w:basedOn w:val="1"/>
    <w:link w:val="20"/>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rPr>
      <w:sz w:val="24"/>
    </w:rPr>
  </w:style>
  <w:style w:type="paragraph" w:styleId="7">
    <w:name w:val="annotation subject"/>
    <w:basedOn w:val="2"/>
    <w:next w:val="2"/>
    <w:link w:val="19"/>
    <w:uiPriority w:val="0"/>
    <w:rPr>
      <w:b/>
      <w:bCs/>
    </w:rPr>
  </w:style>
  <w:style w:type="table" w:styleId="9">
    <w:name w:val="Table Grid"/>
    <w:basedOn w:val="8"/>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1">
    <w:name w:val="Hyperlink"/>
    <w:qFormat/>
    <w:uiPriority w:val="0"/>
    <w:rPr>
      <w:color w:val="0000FF"/>
      <w:u w:val="single"/>
    </w:rPr>
  </w:style>
  <w:style w:type="character" w:styleId="12">
    <w:name w:val="annotation reference"/>
    <w:uiPriority w:val="0"/>
    <w:rPr>
      <w:sz w:val="21"/>
      <w:szCs w:val="21"/>
    </w:rPr>
  </w:style>
  <w:style w:type="character" w:customStyle="1" w:styleId="13">
    <w:name w:val="批注文字 字符"/>
    <w:link w:val="2"/>
    <w:uiPriority w:val="0"/>
    <w:rPr>
      <w:rFonts w:ascii="Calibri" w:hAnsi="Calibri" w:cs="黑体"/>
      <w:kern w:val="2"/>
      <w:sz w:val="21"/>
      <w:szCs w:val="24"/>
    </w:rPr>
  </w:style>
  <w:style w:type="character" w:customStyle="1" w:styleId="14">
    <w:name w:val="批注框文本 字符"/>
    <w:link w:val="3"/>
    <w:uiPriority w:val="0"/>
    <w:rPr>
      <w:rFonts w:ascii="Calibri" w:hAnsi="Calibri" w:cs="黑体"/>
      <w:kern w:val="2"/>
      <w:sz w:val="18"/>
      <w:szCs w:val="18"/>
    </w:rPr>
  </w:style>
  <w:style w:type="character" w:customStyle="1" w:styleId="15">
    <w:name w:val="批注主题 字符"/>
    <w:link w:val="7"/>
    <w:uiPriority w:val="0"/>
    <w:rPr>
      <w:rFonts w:ascii="Calibri" w:hAnsi="Calibri" w:cs="黑体"/>
      <w:b/>
      <w:bCs/>
      <w:kern w:val="2"/>
      <w:sz w:val="21"/>
      <w:szCs w:val="24"/>
    </w:rPr>
  </w:style>
  <w:style w:type="paragraph" w:customStyle="1" w:styleId="16">
    <w:name w:val="List Paragraph"/>
    <w:basedOn w:val="1"/>
    <w:unhideWhenUsed/>
    <w:uiPriority w:val="99"/>
    <w:pPr>
      <w:ind w:firstLine="420" w:firstLineChars="200"/>
    </w:pPr>
  </w:style>
  <w:style w:type="paragraph" w:customStyle="1" w:styleId="17">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18">
    <w:name w:val="批注文字 Char"/>
    <w:link w:val="2"/>
    <w:uiPriority w:val="0"/>
    <w:rPr>
      <w:rFonts w:ascii="Calibri" w:hAnsi="Calibri" w:cs="黑体"/>
      <w:kern w:val="2"/>
      <w:sz w:val="21"/>
      <w:szCs w:val="24"/>
    </w:rPr>
  </w:style>
  <w:style w:type="character" w:customStyle="1" w:styleId="19">
    <w:name w:val="批注主题 Char"/>
    <w:link w:val="7"/>
    <w:uiPriority w:val="0"/>
    <w:rPr>
      <w:rFonts w:ascii="Calibri" w:hAnsi="Calibri" w:cs="黑体"/>
      <w:b/>
      <w:bCs/>
      <w:kern w:val="2"/>
      <w:sz w:val="21"/>
      <w:szCs w:val="24"/>
    </w:rPr>
  </w:style>
  <w:style w:type="character" w:customStyle="1" w:styleId="20">
    <w:name w:val="批注框文本 Char"/>
    <w:link w:val="3"/>
    <w:uiPriority w:val="0"/>
    <w:rPr>
      <w:rFonts w:ascii="Calibri" w:hAnsi="Calibri" w:cs="黑体"/>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61</Pages>
  <Words>39989</Words>
  <Characters>43324</Characters>
  <Lines>1</Lines>
  <Paragraphs>1</Paragraphs>
  <TotalTime>1</TotalTime>
  <ScaleCrop>false</ScaleCrop>
  <LinksUpToDate>false</LinksUpToDate>
  <CharactersWithSpaces>43847</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2014-11-05T04:08:00Z</dcterms:created>
  <dc:creator>Administrator</dc:creator>
  <cp:lastModifiedBy>hccb</cp:lastModifiedBy>
  <dcterms:modified xsi:type="dcterms:W3CDTF">2026-05-14T07:03:58Z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643A7FBC5D397A2E002B056A26AF4DB9_43</vt:lpwstr>
  </property>
</Properties>
</file>