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苏银理财恒源1年定开6期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苏银理财恒源1年定开6期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（2026年5月版）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等。请仔细阅读《“苏银理财恒源1年定开6期”理财产品风险揭示书》的“风险揭示”部分。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Z7003121000019</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A份额:苏银理财恒源1年定开6期A/JSA000000193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B份额:苏银理财恒源1年定开6期B/JSA000000194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C份额:苏银理财恒源1年定开6期C/J19884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D份额:苏银理财恒源1年定开6期D/J03273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F份额:苏银理财恒源1年定开6期F/J03274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G份额:苏银理财恒源1年定开6期G/J03275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J份额:苏银理财恒源1年定开6期J/J03276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M份额:苏银理财恒源1年定开6期M/J03277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P份额:苏银理财恒源1年定开6期P/J04065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GS份额:苏银理财恒源1年定开6期GS/J19885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LM份额:苏银理财恒源1年定开6期LM（兰马专属）/J19886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SX份额:苏银理财恒源1年定开6期SX（山银晋晟）/J19887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U份额:苏银理财恒源1年定开6期U/J19888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Z份额:苏银理财恒源1年定开6期Z/J19889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ZA份额:苏银理财恒源1年定开6期ZA鑫福款（自动赎回）/J03278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ZF份额:苏银理财恒源1年定开6期ZF（自动赎回）/J03279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ZJ份额:苏银理财恒源1年定开6期ZJ（自动赎回）/J19890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ZL份额:苏银理财恒源1年定开6期ZL（自动赎回）/J19891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ZN份额:苏银理财恒源1年定开6期ZN（自动赎回）/J04067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ZQ份额:苏银理财恒源1年定开6期ZQ（自动赎回）/J04068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ZC份额:苏银理财恒源1年定开6期ZC鑫福优享（自动赎回）/J19892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ZK份额:苏银理财恒源1年定开6期ZK鑫福尊享（自动赎回）/J19893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SX份额:100元/100元的整数倍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2021年4月1日至2021年4月6日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2021年4月7日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2031年4月15日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最新投资周期（2026年6月5日-2027年6月24日）开放申购与赎回时间为：2026年5月27日至2026年6月4日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各类份额最新投资周期（2026年6月5日-2027年6月24日）业绩比较基准如下：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2021年4月7日</w:t>
                  </w:r>
                </w:p>
              </w:tc>
              <w:tc>
                <w:tcPr>
                  <w:tcW w:w="1803" w:type="dxa"/>
                  <w:vAlign w:val="center"/>
                </w:tcPr>
                <w:p>
                  <w:pPr>
                    <w:spacing w:before="0" w:after="0" w:line="0" w:lineRule="atLeast"/>
                    <w:jc w:val="center"/>
                  </w:pPr>
                  <w:r>
                    <w:rPr>
                      <w:rFonts w:ascii="楷体" w:hAnsi="楷体" w:eastAsia="楷体"/>
                      <w:sz w:val="18"/>
                    </w:rPr>
                    <w:t>2022年4月28日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2022年4月29日</w:t>
                  </w:r>
                </w:p>
              </w:tc>
              <w:tc>
                <w:tcPr>
                  <w:tcW w:w="1803" w:type="dxa"/>
                  <w:vAlign w:val="center"/>
                </w:tcPr>
                <w:p>
                  <w:pPr>
                    <w:spacing w:before="0" w:after="0" w:line="0" w:lineRule="atLeast"/>
                    <w:jc w:val="center"/>
                  </w:pPr>
                  <w:r>
                    <w:rPr>
                      <w:rFonts w:ascii="楷体" w:hAnsi="楷体" w:eastAsia="楷体"/>
                      <w:sz w:val="18"/>
                    </w:rPr>
                    <w:t>2023年4月27日</w:t>
                  </w:r>
                </w:p>
              </w:tc>
              <w:tc>
                <w:tcPr>
                  <w:tcW w:w="2701" w:type="dxa"/>
                  <w:vAlign w:val="center"/>
                </w:tcPr>
                <w:p>
                  <w:pPr>
                    <w:spacing w:before="0" w:after="0" w:line="0" w:lineRule="atLeast"/>
                    <w:jc w:val="center"/>
                  </w:pPr>
                  <w:r>
                    <w:rPr>
                      <w:rFonts w:ascii="楷体" w:hAnsi="楷体" w:eastAsia="楷体"/>
                      <w:sz w:val="18"/>
                    </w:rPr>
                    <w:t>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2023年4月28日</w:t>
                  </w:r>
                </w:p>
              </w:tc>
              <w:tc>
                <w:tcPr>
                  <w:tcW w:w="1803" w:type="dxa"/>
                  <w:vAlign w:val="center"/>
                </w:tcPr>
                <w:p>
                  <w:pPr>
                    <w:spacing w:before="0" w:after="0" w:line="0" w:lineRule="atLeast"/>
                    <w:jc w:val="center"/>
                  </w:pPr>
                  <w:r>
                    <w:rPr>
                      <w:rFonts w:ascii="楷体" w:hAnsi="楷体" w:eastAsia="楷体"/>
                      <w:sz w:val="18"/>
                    </w:rPr>
                    <w:t>2024年5月6日</w:t>
                  </w:r>
                </w:p>
              </w:tc>
              <w:tc>
                <w:tcPr>
                  <w:tcW w:w="2701" w:type="dxa"/>
                  <w:vAlign w:val="center"/>
                </w:tcPr>
                <w:p>
                  <w:pPr>
                    <w:spacing w:before="0" w:after="0" w:line="0" w:lineRule="atLeast"/>
                    <w:jc w:val="center"/>
                  </w:pPr>
                  <w:r>
                    <w:rPr>
                      <w:rFonts w:ascii="楷体" w:hAnsi="楷体" w:eastAsia="楷体"/>
                      <w:sz w:val="18"/>
                    </w:rPr>
                    <w:t>A份额 4</w:t>
                  </w:r>
                  <w:r>
                    <w:rPr>
                      <w:rFonts w:hint="eastAsia" w:ascii="楷体" w:hAnsi="楷体" w:eastAsia="楷体"/>
                      <w:sz w:val="18"/>
                      <w:lang w:val="en-US" w:eastAsia="zh-CN"/>
                    </w:rPr>
                    <w:t>.00</w:t>
                  </w:r>
                  <w:r>
                    <w:rPr>
                      <w:rFonts w:ascii="楷体" w:hAnsi="楷体" w:eastAsia="楷体"/>
                      <w:sz w:val="18"/>
                    </w:rPr>
                    <w:t>%</w:t>
                  </w:r>
                  <w:r>
                    <w:rPr>
                      <w:rFonts w:ascii="楷体" w:hAnsi="楷体" w:eastAsia="楷体"/>
                      <w:sz w:val="18"/>
                    </w:rPr>
                    <w:br w:type="textWrapping"/>
                  </w:r>
                  <w:r>
                    <w:rPr>
                      <w:rFonts w:ascii="楷体" w:hAnsi="楷体" w:eastAsia="楷体"/>
                      <w:sz w:val="18"/>
                    </w:rPr>
                    <w:t>B份额 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2024年5月7日</w:t>
                  </w:r>
                </w:p>
              </w:tc>
              <w:tc>
                <w:tcPr>
                  <w:tcW w:w="1803" w:type="dxa"/>
                  <w:vAlign w:val="center"/>
                </w:tcPr>
                <w:p>
                  <w:pPr>
                    <w:spacing w:before="0" w:after="0" w:line="0" w:lineRule="atLeast"/>
                    <w:jc w:val="center"/>
                  </w:pPr>
                  <w:r>
                    <w:rPr>
                      <w:rFonts w:ascii="楷体" w:hAnsi="楷体" w:eastAsia="楷体"/>
                      <w:sz w:val="18"/>
                    </w:rPr>
                    <w:t>2025年5月12日</w:t>
                  </w:r>
                </w:p>
              </w:tc>
              <w:tc>
                <w:tcPr>
                  <w:tcW w:w="2701" w:type="dxa"/>
                  <w:vAlign w:val="center"/>
                </w:tcPr>
                <w:p>
                  <w:pPr>
                    <w:spacing w:before="0" w:after="0" w:line="0" w:lineRule="atLeast"/>
                    <w:jc w:val="center"/>
                  </w:pPr>
                  <w:r>
                    <w:rPr>
                      <w:rFonts w:ascii="楷体" w:hAnsi="楷体" w:eastAsia="楷体"/>
                      <w:sz w:val="18"/>
                    </w:rPr>
                    <w:t>A份额3.05%-3.65%</w:t>
                  </w:r>
                  <w:r>
                    <w:rPr>
                      <w:rFonts w:ascii="楷体" w:hAnsi="楷体" w:eastAsia="楷体"/>
                      <w:sz w:val="18"/>
                    </w:rPr>
                    <w:br w:type="textWrapping"/>
                  </w:r>
                  <w:r>
                    <w:rPr>
                      <w:rFonts w:ascii="楷体" w:hAnsi="楷体" w:eastAsia="楷体"/>
                      <w:sz w:val="18"/>
                    </w:rPr>
                    <w:t>B份额3.08%-3.68%</w:t>
                  </w:r>
                  <w:r>
                    <w:rPr>
                      <w:rFonts w:ascii="楷体" w:hAnsi="楷体" w:eastAsia="楷体"/>
                      <w:sz w:val="18"/>
                    </w:rPr>
                    <w:br w:type="textWrapping"/>
                  </w:r>
                  <w:r>
                    <w:rPr>
                      <w:rFonts w:ascii="楷体" w:hAnsi="楷体" w:eastAsia="楷体"/>
                      <w:sz w:val="18"/>
                    </w:rPr>
                    <w:t>D份额3.20%-3.80%</w:t>
                  </w:r>
                  <w:r>
                    <w:rPr>
                      <w:rFonts w:ascii="楷体" w:hAnsi="楷体" w:eastAsia="楷体"/>
                      <w:sz w:val="18"/>
                    </w:rPr>
                    <w:br w:type="textWrapping"/>
                  </w:r>
                  <w:r>
                    <w:rPr>
                      <w:rFonts w:ascii="楷体" w:hAnsi="楷体" w:eastAsia="楷体"/>
                      <w:sz w:val="18"/>
                    </w:rPr>
                    <w:t>F份额3.05%-3.65%</w:t>
                  </w:r>
                  <w:r>
                    <w:rPr>
                      <w:rFonts w:ascii="楷体" w:hAnsi="楷体" w:eastAsia="楷体"/>
                      <w:sz w:val="18"/>
                    </w:rPr>
                    <w:br w:type="textWrapping"/>
                  </w:r>
                  <w:r>
                    <w:rPr>
                      <w:rFonts w:ascii="楷体" w:hAnsi="楷体" w:eastAsia="楷体"/>
                      <w:sz w:val="18"/>
                    </w:rPr>
                    <w:t>G份额3.10%-3.70%</w:t>
                  </w:r>
                  <w:r>
                    <w:rPr>
                      <w:rFonts w:ascii="楷体" w:hAnsi="楷体" w:eastAsia="楷体"/>
                      <w:sz w:val="18"/>
                    </w:rPr>
                    <w:br w:type="textWrapping"/>
                  </w:r>
                  <w:r>
                    <w:rPr>
                      <w:rFonts w:ascii="楷体" w:hAnsi="楷体" w:eastAsia="楷体"/>
                      <w:sz w:val="18"/>
                    </w:rPr>
                    <w:t>J份额3.15%-3.75%</w:t>
                  </w:r>
                  <w:r>
                    <w:rPr>
                      <w:rFonts w:ascii="楷体" w:hAnsi="楷体" w:eastAsia="楷体"/>
                      <w:sz w:val="18"/>
                    </w:rPr>
                    <w:br w:type="textWrapping"/>
                  </w:r>
                  <w:r>
                    <w:rPr>
                      <w:rFonts w:ascii="楷体" w:hAnsi="楷体" w:eastAsia="楷体"/>
                      <w:sz w:val="18"/>
                    </w:rPr>
                    <w:t>M份额 3.15%-3.75%</w:t>
                  </w:r>
                  <w:r>
                    <w:rPr>
                      <w:rFonts w:ascii="楷体" w:hAnsi="楷体" w:eastAsia="楷体"/>
                      <w:sz w:val="18"/>
                    </w:rPr>
                    <w:br w:type="textWrapping"/>
                  </w:r>
                  <w:r>
                    <w:rPr>
                      <w:rFonts w:ascii="楷体" w:hAnsi="楷体" w:eastAsia="楷体"/>
                      <w:sz w:val="18"/>
                    </w:rPr>
                    <w:t>ZA份额3.05%-3.65%</w:t>
                  </w:r>
                  <w:r>
                    <w:rPr>
                      <w:rFonts w:ascii="楷体" w:hAnsi="楷体" w:eastAsia="楷体"/>
                      <w:sz w:val="18"/>
                    </w:rPr>
                    <w:br w:type="textWrapping"/>
                  </w:r>
                  <w:r>
                    <w:rPr>
                      <w:rFonts w:ascii="楷体" w:hAnsi="楷体" w:eastAsia="楷体"/>
                      <w:sz w:val="18"/>
                    </w:rPr>
                    <w:t>ZF份额3.05%-3.65%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2025年5月13日</w:t>
                  </w:r>
                </w:p>
              </w:tc>
              <w:tc>
                <w:tcPr>
                  <w:tcW w:w="1803" w:type="dxa"/>
                  <w:vAlign w:val="center"/>
                </w:tcPr>
                <w:p>
                  <w:pPr>
                    <w:spacing w:before="0" w:after="0" w:line="0" w:lineRule="atLeast"/>
                    <w:jc w:val="center"/>
                  </w:pPr>
                  <w:r>
                    <w:rPr>
                      <w:rFonts w:ascii="楷体" w:hAnsi="楷体" w:eastAsia="楷体"/>
                      <w:sz w:val="18"/>
                    </w:rPr>
                    <w:t>2026年6月4日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V份额 2.75%-3.35%</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ZR份额 2.85%-3.45%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2026年6月5日</w:t>
                  </w:r>
                </w:p>
              </w:tc>
              <w:tc>
                <w:tcPr>
                  <w:tcW w:w="1803" w:type="dxa"/>
                  <w:vAlign w:val="center"/>
                </w:tcPr>
                <w:p>
                  <w:pPr>
                    <w:spacing w:before="0" w:after="0" w:line="0" w:lineRule="atLeast"/>
                    <w:jc w:val="center"/>
                  </w:pPr>
                  <w:r>
                    <w:rPr>
                      <w:rFonts w:ascii="楷体" w:hAnsi="楷体" w:eastAsia="楷体"/>
                      <w:sz w:val="18"/>
                    </w:rPr>
                    <w:t>2027年6月24日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LM份额2.65%-3.25%</w:t>
                  </w:r>
                  <w:r>
                    <w:rPr>
                      <w:rFonts w:ascii="楷体" w:hAnsi="楷体" w:eastAsia="楷体"/>
                      <w:sz w:val="18"/>
                    </w:rPr>
                    <w:br w:type="textWrapping"/>
                  </w:r>
                  <w:r>
                    <w:rPr>
                      <w:rFonts w:ascii="楷体" w:hAnsi="楷体" w:eastAsia="楷体"/>
                      <w:sz w:val="18"/>
                    </w:rPr>
                    <w:t>SX份额2.55%-3.15%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0.45%，GS份额 0.55%，LM份额 0.50%，SX份额 0.55%，U份额 0.60%，Z份额 0.65%，ZA份额 0.65%，ZF份额 0.65%，ZJ份额 0.45%，ZL份额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0.65%，GS份额 0.65%，LM份额 0.60%，SX份额 0.65%，U份额 0.70%，Z份额 0.65%，ZA份额 0.65%，ZF份额 0.65%，ZJ份额 0.60%，ZL份额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紫金农村商业银行股份有限公司/江苏银行股份有限公司/江苏扬州农村商业银行股份有限公司/江苏盱眙农村商业银行股份有限公司/江苏邳州农村商业银行股份有限公司/江苏丹阳农村商业银行股份有限公司/江苏溧水农村商业银行股份有限公司/江苏江阴农村商业银行股份有限公司/江苏扬中农村商业银行股份有限公司/江苏沭阳农村商业银行股份有限公司/江苏淮安农村商业银行股份有限公司/江苏涟水农村商业银行股份有限公司/江苏海安农村商业银行股份有限公司/江苏阜宁农村商业银行股份有限公司/江苏新沂农村商业银行股份有限公司/江苏洪泽农村商业银行股份有限公司/江苏高淳农村商业银行股份有限公司/江苏靖江农村商业银行股份有限公司/江苏仪征农村商业银行股份有限公司/江苏句容农村商业银行股份有限公司/江苏宜兴农村商业银行股份有限公司/江苏东台农村商业银行股份有限公司/江苏如东农村商业银行股份有限公司/九江银行股份有限公司/江苏如皋农村商业银行股份有限公司/江苏南通农村商业银行股份有限公司/江苏高邮农村商业银行股份有限公司/江苏泰兴农村商业银行股份有限公司/宁波东海银行股份有限公司/齐鲁银行股份有限公司/苏银理财有限责任公司/上海农村商业银行股份有限公司/上海银行股份有限公司/威海银行股份有限公司/兴业银行股份有限公司/徐州农村商业银行股份有限公司/兴业银行股份有限公司钱大</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紫金农村商业银行股份有限公司/江苏银行股份有限公司/江苏扬州农村商业银行股份有限公司/江苏盱眙农村商业银行股份有限公司/江苏邳州农村商业银行股份有限公司/江苏丹阳农村商业银行股份有限公司/江苏溧水农村商业银行股份有限公司/江苏扬中农村商业银行股份有限公司/江苏沭阳农村商业银行股份有限公司/江苏淮安农村商业银行股份有限公司/江苏涟水农村商业银行股份有限公司/江苏海安农村商业银行股份有限公司/江苏常熟农村商业银行股份有限公司/江苏阜宁农村商业银行股份有限公司/江苏新沂农村商业银行股份有限公司/江苏洪泽农村商业银行股份有限公司/江苏高淳农村商业银行股份有限公司/江苏靖江农村商业银行股份有限公司/江苏仪征农村商业银行股份有限公司/江苏句容农村商业银行股份有限公司/江苏宜兴农村商业银行股份有限公司/江苏东台农村商业银行股份有限公司/江苏如东农村商业银行股份有限公司/江苏如皋农村商业银行股份有限公司/江苏南通农村商业银行股份有限公司/江苏苏州农村商业银行股份有限公司/江苏高邮农村商业银行股份有限公司/江苏泰兴农村商业银行股份有限公司/宁波东海银行股份有限公司/齐鲁银行股份有限公司/苏银理财有限责任公司/威海银行股份有限公司/徐州农村商业银行股份有限公司/兴业银行股份有限公司钱大</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D份额:江苏江阴农村商业银行股份有限公司/江苏银行股份有限公司/上海银行股份有限公司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广州农村商业银行股份有限公司/甘肃银行股份有限公司/华侨银行有限公司/杭州联合农村商业银行股份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天津滨海农村商业银行股份有限公司/潍坊银行股份有限公司/兴业银行股份有限公司/浙江义乌农村商业银行股份有限公司/浙江绍兴瑞丰农村商业银行股份有限公司/浙江德清农村商业银行股份有限公司/浙江永康农村商业银行股份有限公司/浙江临海农村商业银行股份有限公司/浙商银行股份有限公司/浙江永嘉农村商业银行股份有限公司/浙江青田农村商业银行股份有限公司/浙江萧山农村商业银行股份有限公司/浙江海宁农村商业银行股份有限公司/浙江乐清农村商业银行股份有限公司/浙江泰顺农村商业银行股份有限公司/浙江温州龙湾农村商业银行股份有限公司/浙江杭州余杭农村商业银行股份有限公司/浙江温州瓯海农村商业银行股份有限公司/浙江江山农村商业银行股份有限公司/浙江开化农村商业银行股份有限公司/浙江桐庐农村商业银行股份有限公司/浙江舟山定海海洋农村商业银行股份有限公司/浙江嘉善农村商业银行股份有限公司/浙江岱山农村商业银行股份有限公司/浙江上虞农村商业银行股份有限公司/浙江长兴农村商业银行股份有限公司/中邮邮惠万家银行有限责任公司/浙江淳安农村商业银行股份有限公司/浙江武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银行股份有限公司/广州农村商业银行股份有限公司/徽商银行股份有限公司/杭州联合农村商业银行股份有限公司/九江银行股份有限公司/宁波通商银行股份有限公司/宁波余姚农村商业银行股份有限公司/山西银行股份有限公司/深圳农村商业银行股份有限公司/兴业银行股份有限公司/浙江衢州衢江农村商业银行股份有限公司/浙江绍兴瑞丰农村商业银行股份有限公司/浙江德清农村商业银行股份有限公司/浙商银行股份有限公司/浙江永嘉农村商业银行股份有限公司/浙江青田农村商业银行股份有限公司/浙江海宁农村商业银行股份有限公司/浙江杭州余杭农村商业银行股份有限公司/浙江桐庐农村商业银行股份有限公司/浙江舟山定海海洋农村商业银行股份有限公司/浙江嘉善农村商业银行股份有限公司/浙江岱山农村商业银行股份有限公司/浙江上虞农村商业银行股份有限公司/浙江淳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J份额:江苏如皋农村商业银行股份有限公司/江苏银行股份有限公司/上海银行股份有限公司/苏银理财有限责任公司/威海银行股份有限公司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LM份额:兰州银行股份有限公司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SX份额:山西银行股份有限公司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紫金农村商业银行股份有限公司/江苏盐城农村商业银行股份有限公司/江苏东海农村商业银行股份有限公司/江苏泗阳农村商业银行股份有限公司/江苏扬州农村商业银行股份有限公司/江苏盱眙农村商业银行股份有限公司/江苏邳州农村商业银行股份有限公司/江苏灌云农村商业银行股份有限公司/江苏丹阳农村商业银行股份有限公司/江苏溧水农村商业银行股份有限公司/江苏镇江农村商业银行股份有限公司/江苏姜堰农村商业银行股份有限公司/江苏民丰农村商业银行股份有限公司/江苏江都农村商业银行股份有限公司/江苏扬中农村商业银行股份有限公司/江苏沭阳农村商业银行股份有限公司/江苏建湖农村商业银行股份有限公司/江苏淮安农村商业银行股份有限公司/江苏涟水农村商业银行股份有限公司/江苏海安农村商业银行股份有限公司/江苏常熟农村商业银行股份有限公司/江苏阜宁农村商业银行股份有限公司/江苏新沂农村商业银行股份有限公司/江苏洪泽农村商业银行股份有限公司/江苏灌南农村商业银行股份有限公司/江苏高淳农村商业银行股份有限公司/江苏大丰农村商业银行股份有限公司/江苏靖江农村商业银行股份有限公司/江苏仪征农村商业银行股份有限公司/江苏句容农村商业银行股份有限公司/江苏宜兴农村商业银行股份有限公司/江苏丰县农村商业银行股份有限公司/江苏泗洪农村商业银行股份有限公司/江苏东台农村商业银行股份有限公司/江苏如东农村商业银行股份有限公司/江苏金湖农村商业银行股份有限公司/江苏响水农村商业银行股份有限公司/江苏睢宁农村商业银行股份有限公司/江苏启东农村商业银行股份有限公司/江苏如皋农村商业银行股份有限公司/江苏南通农村商业银行股份有限公司/江苏苏州农村商业银行股份有限公司/江苏高邮农村商业银行股份有限公司/江苏泰兴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江苏江南农村商业银行股份有限公司/江苏张家港农村商业银行股份有限公司/江门农村商业银行股份有限公司/嘉兴银行股份有限公司/莱商银行股份有限公司/宁波慈溪农村商业银行股份有限公司/宁波余姚农村商业银行股份有限公司/宁波镇海农村商业银行股份有限公司/宁波甬城农村商业银行股份有限公司/厦门银行股份有限公司/石嘴山银行股份有限公司/苏州银行股份有限公司/兴业银行股份有限公司/浙江民泰商业银行股份有限公司/中山农村商业银行股份有限公司/浙江义乌农村商业银行股份有限公司/浙江临安农村商业银行股份有限公司/浙江龙泉农村商业银行股份有限公司/浙江衢州柯城农村商业银行股份有限公司/浙江衢州衢江农村商业银行股份有限公司/浙江德清农村商业银行股份有限公司/浙江浦江农村商业银行股份有限公司/浙江永康农村商业银行股份有限公司/浙江临海农村商业银行股份有限公司/浙江南浔农村商业银行股份有限公司/浙江青田农村商业银行股份有限公司/浙江萧山农村商业银行股份有限公司/浙江泰顺农村商业银行股份有限公司/浙江温州龙湾农村商业银行股份有限公司/浙江杭州余杭农村商业银行股份有限公司/浙江温州瓯海农村商业银行股份有限公司/浙江江山农村商业银行股份有限公司/浙江开化农村商业银行股份有限公司/浙江东阳农村商业银行股份有限公司/浙江嘉善农村商业银行股份有限公司/浙江嵊州农村商业银行股份有限公司/浙江岱山农村商业银行股份有限公司/浙江上虞农村商业银行股份有限公司/浙江新昌农村商业银行股份有限公司/浙江温岭农村商业银行股份有限公司/浙江武义农村商业银行股份有限公司/浙江兰溪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苏银理财有限责任公司/浙江禾城农村商业银行股份有限公司/浙江义乌农村商业银行股份有限公司/浙江缙云农村商业银行股份有限公司/浙江龙泉农村商业银行股份有限公司/浙江衢州柯城农村商业银行股份有限公司/浙江绍兴瑞丰农村商业银行股份有限公司/浙江衢州衢江农村商业银行股份有限公司/浙江苍南农村商业银行股份有限公司/浙江德清农村商业银行股份有限公司/浙江仙居农村商业银行股份有限公司/浙江桐乡农村商业银行股份有限公司/浙江浦江农村商业银行股份有限公司/浙江永康农村商业银行股份有限公司/浙江临海农村商业银行股份有限公司/浙江舟山普陀农村商业银行股份有限公司/浙江永嘉农村商业银行股份有限公司/浙江温州鹿城农村商业银行股份有限公司/浙江天台农村商业银行股份有限公司/浙江青田农村商业银行股份有限公司/浙江南浔农村商业银行股份有限公司/浙江遂昌农村商业银行股份有限公司/浙江海宁农村商业银行股份有限公司/浙江台州路桥农村商业银行股份有限公司/浙江乐清农村商业银行股份有限公司/浙江瑞安农村商业银行股份有限公司/浙江泰顺农村商业银行股份有限公司/浙江平湖农村商业银行股份有限公司/浙江温州龙湾农村商业银行股份有限公司/浙江温州瓯海农村商业银行股份有限公司/浙江江山农村商业银行股份有限公司/浙江开化农村商业银行股份有限公司/浙江舟山定海海洋农村商业银行股份有限公司/浙江东阳农村商业银行股份有限公司/浙江嘉善农村商业银行股份有限公司/浙江台州黄岩农村商业银行股份有限公司/浙江嵊州农村商业银行股份有限公司/浙江岱山农村商业银行股份有限公司/浙江金华成泰农村商业银行股份有限公司/浙江文成农村商业银行股份有限公司/浙江上虞农村商业银行股份有限公司/浙江龙游农村商业银行股份有限公司/浙江新昌农村商业银行股份有限公司/浙江绍兴恒信农村商业银行股份有限公司/浙江温岭农村商业银行股份有限公司/浙江安吉农村商业银行股份有限公司/浙江长兴农村商业银行股份有限公司/浙江诸暨农村商业银行股份有限公司/浙江武义农村商业银行股份有限公司/浙江海盐农村商业银行股份有限公司/浙江兰溪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ZN份额:广西北部湾银行股份有限公司/河北银行股份有限公司/宁波通商银行股份有限公司/苏银理财有限责任公司/浙江萧山农村商业银行股份有限公司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紫金农村商业银行股份有限公司/江苏盐城农村商业银行股份有限公司/江苏兴化农村商业银行股份有限公司/江苏东海农村商业银行股份有限公司/江苏泗阳农村商业银行股份有限公司/江苏扬州农村商业银行股份有限公司/江苏丹阳农村商业银行股份有限公司/江苏溧水农村商业银行股份有限公司/江苏姜堰农村商业银行股份有限公司/江苏民丰农村商业银行股份有限公司/江苏江都农村商业银行股份有限公司/江苏建湖农村商业银行股份有限公司/江苏海安农村商业银行股份有限公司/江苏常熟农村商业银行股份有限公司/江苏阜宁农村商业银行股份有限公司/江苏新沂农村商业银行股份有限公司/江苏灌南农村商业银行股份有限公司/江苏高淳农村商业银行股份有限公司/江苏大丰农村商业银行股份有限公司/江苏仪征农村商业银行股份有限公司/江苏宜兴农村商业银行股份有限公司/江苏东台农村商业银行股份有限公司/江苏如东农村商业银行股份有限公司/江苏响水农村商业银行股份有限公司/江苏如皋农村商业银行股份有限公司/江苏高邮农村商业银行股份有限公司/江苏泰兴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紫金农村商业银行股份有限公司/江苏盐城农村商业银行股份有限公司/江苏兴化农村商业银行股份有限公司/江苏泗阳农村商业银行股份有限公司/江苏扬州农村商业银行股份有限公司/江苏沛县农村商业银行股份有限公司/江苏丹阳农村商业银行股份有限公司/江苏溧水农村商业银行股份有限公司/江苏姜堰农村商业银行股份有限公司/江苏民丰农村商业银行股份有限公司/江苏江都农村商业银行股份有限公司/江苏建湖农村商业银行股份有限公司/江苏海安农村商业银行股份有限公司/江苏常熟农村商业银行股份有限公司/江苏阜宁农村商业银行股份有限公司/江苏新沂农村商业银行股份有限公司/江苏灌南农村商业银行股份有限公司/江苏高淳农村商业银行股份有限公司/江苏大丰农村商业银行股份有限公司/江苏仪征农村商业银行股份有限公司/江苏宜兴农村商业银行股份有限公司/江苏东台农村商业银行股份有限公司/江苏如东农村商业银行股份有限公司/江苏响水农村商业银行股份有限公司/江苏如皋农村商业银行股份有限公司/江苏南通农村商业银行股份有限公司/江苏高邮农村商业银行股份有限公司/江苏泰兴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default" w:ascii="楷体" w:hAnsi="楷体" w:eastAsia="楷体"/>
          <w:sz w:val="21"/>
          <w:szCs w:val="21"/>
          <w:highlight w:val="none"/>
          <w:lang w:val="en-US" w:eastAsia="zh-CN"/>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扬州高新国控集团有限公司。融资人经营正常，是依法设立的国有公司，主要股东为扬州市人民政府，实际控制人为扬州市人民政府。（4）非标准化债权类资产：融资人为无锡市太湖新城资产经营管理有限公司。融资人经营正常，是依法设立的国有公司，主要股东为无锡市太湖新城发展集团有限公司，实际控制人为无锡市人民政府国有资产监督管理委员会。（5）非标准化债权类资产：融资人为靖江市北辰城乡投资建设有限公司。融资人经营正常，是依法设立的国有公司，主要股东为靖江经济技术开发区管理委员会，实际控制人为靖江经济技术开发区管理委员会。（6）非标准化债权类资产：融资人为江苏淮阴城市产业投资集团有限公司。融资人经营正常，是依法设立的国有公司，主要股东为淮安国控投资集团有限公司，实际控制人为淮安市人民政府。（7）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8）非标准化债权类资产：融资人为富港建设集团有限公司。融资人经营正常，是依法设立的国有公司，主要股东为如皋市人民政府、工银金融资产投资有限公司，实际控制人为如皋市人民政府。（9）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10）非标准化债权类资产：融资人为诸暨市城乡投资集团有限公司。融资人经营正常，是依法设立的国有公司，主要股东为诸暨市建设集团有限公司，实际控制人为诸暨市财政局。（11）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12）非标准化债权类资产：融资人为台州市黄岩国有资本投资运营集团有限公司。融资人经营正常，是依法设立的国有公司，主要股东为台州市黄岩区财政局，实际控制人为台州市黄岩区财政局。（13）非标准化债权类资产：融资人为镇江文化广电产业集团有限公司。融资人经营正常，是依法设立的国有公司，主要股东为镇江市广播电视台，实际控制人为江苏省镇江市人民政府。（14）非标准化债权类资产：融资人为绍兴市镜湖开发集团有限公司。融资人经营正常，是依法设立的国有公司，主要股东为绍兴市人民政府国有资产监督管理委员会，实际控制人为绍兴市人民政府国有资产监督管理委员会。（15）非标准化债权类资产：融资人为泰兴市城市投资发展集团有限公司。融资人经营正常，是依法设立的国有公司，主要股东为江苏平仲科技发展集团有限公司，实际控制人为泰兴市人民政府国有资产监督管理办公室。（16）非标准化债权类资产：融资人为湖州经开投资发展集团有限公司。融资人经营正常，是依法设立的国有公司，主要股东为湖州南太湖国有控股集团有限公司，实际控制人为湖州市人民政府国有资产监督管理委员会。（17）非标准化债权类资产：融资人为湖州吴兴城市投资发展集团有限公司。融资人经营正常，是依法设立的国有公司，主要股东为湖州吴兴国控投资运营发展集团有限公司，实际控制人为湖州市吴兴区财政局。（18）非标准化债权类资产：融资人为江苏皋开投资发展集团有限公司。融资人经营正常，是依法设立的国有公司，主要股东为如皋市人民政府，实际控制人为如皋市人民政府。（19）非标准化债权类资产：融资人为燕舞集团有限公司。融资人经营正常，是依法设立的国有公司，主要股东为盐城市人民政府、盐城市城市资产投资集团有限公司、江苏悦达集团有限公司，实际控制人为盐城市人民政府。（20）非标准化债权类资产：融资人为兰溪市城市投资集团有限公司。融资人经营正常，是依法设立的国有公司，主要股东为兰溪市城市发展集团有限公司，实际控制人为兰溪市人民政府国有资产监督管理办公室。（21）非标准化债权类资产：融资人为绍兴市越城区城市发展建设集团有限公司。融资人经营正常，是依法设立的国有公司，主要股东为绍兴市越城区财政局，实际控制人为绍兴市越城区财政局。（22）非标准化债权类资产：融资人为桐庐县城市建设投资集团有限公司。融资人经营正常，是依法设立的国有公司，主要股东为桐庐投资建设发展集团有限公司，实际控制人为桐庐县人民政府国有资产监督管理委员会。（23）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24）同业借款：融资人为中国中信金融资产管理股份有限公司。融资人经营正常，是依法成立的国有公司，主要股东为中国中信集团有限公司、财政局、中国融信私募基金有限公司，实际控制人为财政部。（25）同业借款：融资人为中国东方资产管理股份有限公司。融资人经营正常，是依法成立的国有公司，主要股东为中央汇金投资有限责任公司、全国社会保障基金理事会、中国电信集团有限公司，实际控制人为国务院。（26）同业借款：融资人为中国信达资产管理股份有限公司。融资人经营正常，是依法成立的国有公司，主要股东为中央汇金投资有限责任公司，实际控制人为国务院。（27）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28）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29）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30）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31）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32）收益凭证：融资人为华泰证券股份有限公司。融资人经营正常，是依法设立的持牌金融机构，主要股东为江苏省国信集团有限公司、香港中央结算（代理人）有限公司、江苏交通控股有限公司，无实际控制人。（33）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34）收益凭证：融资人为申万宏源证券有限公司。融资人经营正常，是依法设立的持牌金融机构，主要股东为申万宏源集团股份有限公司，实际控制人为中央汇金投资有限责任公司。（35）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36）收益凭证：融资人为浙商证券股份有限公司。融资人经营正常，是依法设立的持牌金融机构，主要股东为浙江上三高速公路有限公司、台州市金融投资集团有限公司，实际控制人为浙江省交通投资集团有限公司。（37）收益凭证：融资人为国投证券股份有限公司。融资人经营正常，是依法设立的持牌金融机构，主要股东为国投资本股份有限公司、上海毅胜投资有限公司，实际控制人为国家开发投资集团有限公司。（38）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39）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40）收益凭证：融资人为兴业证券股份有限公司。融资人经营正常，是依法设立的持牌金融机构，主要股东为福建省财政厅、福建省投资开发集团有限责任公司、上海申新（集团）有限公司，实际控制人为福建省财政厅。（41）收益凭证：融资人为财通证券股份有限公司。融资人经营正常，是依法设立的持牌金融机构，主要股东为浙江省创新投资集团有限公司、浙江省财开集团有限公司、台州市金融投资集团有限</w:t>
      </w:r>
      <w:r>
        <w:rPr>
          <w:rFonts w:hint="eastAsia" w:ascii="楷体" w:hAnsi="楷体" w:eastAsia="楷体" w:cs="楷体"/>
          <w:color w:val="auto"/>
          <w:kern w:val="2"/>
          <w:sz w:val="21"/>
          <w:szCs w:val="21"/>
          <w:highlight w:val="none"/>
          <w:lang w:val="en-US" w:eastAsia="zh-CN" w:bidi="ar-SA"/>
        </w:rPr>
        <w:t>公司，实际控制人为浙江省财政厅。（42）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43）收益凭证：融资人为东海证券股份有限公司。融资人经营正常，是依法设立的持牌金融机构，主要股东为常州投资集团有限公司、山东金控资本管理有限公司，实际控制人为常州投资集团有限公司。（44）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45）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46）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47）收益凭证：融资人为中国中金财富证券有限公司。融资人经营正常，是依法设立的持牌金融机构，主要股东为中国国际金融股份有限公司，实际控制人为中央汇金投资有限责任公司。（48）收益凭证：融资人为山西证券股份有限公司。融资人经营正常，是依法设立的持牌金融机构，主要股东为山西金融投资控股集团有限公司、太原钢铁（集团）有限公司、山西国际电力集团有限公司，实际控制人为山西省财政厅。（49）收益凭证：融资人为广发证券股份有限公司。融资人经营正常，是依法设立的持牌金融机构，主要股东为香港中央结算（代理人）有限公司、吉林敖东药业集团股份有限公司、辽宁成大股份有限公司，无实际控制人。（50）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51）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1）-（2）各资产到期日不超过理财产品投资周期终止日，循环期不还本、摊还期过手摊还本息；（3）-（27）各资产到期日不超过理财产品投资周期终止日，定期付息、到期一次性还本；（28）-（51）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w:t>
      </w:r>
      <w:r>
        <w:rPr>
          <w:rFonts w:hint="eastAsia" w:ascii="楷体" w:hAnsi="楷体" w:eastAsia="楷体"/>
          <w:sz w:val="21"/>
          <w:szCs w:val="21"/>
          <w:highlight w:val="none"/>
          <w:lang w:val="en-US" w:eastAsia="zh-CN"/>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bookmarkStart w:id="0" w:name="_GoBack"/>
      <w:bookmarkEnd w:id="0"/>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D94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2026-05-20T08:04:45Z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