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A7470">
      <w:pPr>
        <w:tabs>
          <w:tab w:val="left" w:pos="915"/>
          <w:tab w:val="center" w:pos="5273"/>
        </w:tabs>
        <w:spacing w:before="50"/>
        <w:jc w:val="center"/>
        <w:outlineLvl w:val="0"/>
        <w:rPr>
          <w:rFonts w:hint="eastAsia" w:ascii="黑体" w:hAnsi="Times New Roman" w:eastAsia="黑体" w:cs="Times New Roman"/>
          <w:b/>
          <w:bCs/>
          <w:color w:val="000000"/>
          <w:sz w:val="30"/>
          <w:szCs w:val="30"/>
        </w:rPr>
      </w:pPr>
      <w:r>
        <w:rPr>
          <w:rFonts w:hint="eastAsia" w:ascii="黑体" w:hAnsi="Times New Roman" w:eastAsia="黑体" w:cs="Times New Roman"/>
          <w:b/>
          <w:bCs/>
          <w:color w:val="000000"/>
          <w:sz w:val="30"/>
          <w:szCs w:val="30"/>
        </w:rPr>
        <w:t>北银理财京华远见春系列易淘金2号现金管理类理财产品</w:t>
      </w:r>
    </w:p>
    <w:p w14:paraId="71603C2A">
      <w:pPr>
        <w:tabs>
          <w:tab w:val="left" w:pos="915"/>
          <w:tab w:val="center" w:pos="5273"/>
        </w:tabs>
        <w:spacing w:before="50"/>
        <w:jc w:val="center"/>
        <w:outlineLvl w:val="0"/>
        <w:rPr>
          <w:rFonts w:ascii="黑体" w:hAnsi="Times New Roman" w:eastAsia="黑体" w:cs="Times New Roman"/>
          <w:b/>
          <w:bCs/>
          <w:color w:val="000000"/>
          <w:sz w:val="30"/>
          <w:szCs w:val="30"/>
        </w:rPr>
      </w:pPr>
      <w:r>
        <w:rPr>
          <w:rFonts w:hint="eastAsia" w:ascii="黑体" w:hAnsi="Times New Roman" w:eastAsia="黑体" w:cs="Times New Roman"/>
          <w:b/>
          <w:bCs/>
          <w:color w:val="000000"/>
          <w:sz w:val="30"/>
          <w:szCs w:val="30"/>
        </w:rPr>
        <w:t>（产品登记编码：Z7008923000177）</w:t>
      </w:r>
    </w:p>
    <w:p w14:paraId="7B48E674">
      <w:pPr>
        <w:tabs>
          <w:tab w:val="left" w:pos="915"/>
          <w:tab w:val="center" w:pos="5273"/>
        </w:tabs>
        <w:spacing w:before="50"/>
        <w:jc w:val="center"/>
        <w:outlineLvl w:val="0"/>
        <w:rPr>
          <w:rFonts w:ascii="宋体" w:hAnsi="宋体" w:eastAsia="宋体" w:cs="宋体"/>
          <w:b/>
          <w:color w:val="000000"/>
          <w:sz w:val="30"/>
          <w:szCs w:val="30"/>
        </w:rPr>
      </w:pPr>
      <w:r>
        <w:rPr>
          <w:rFonts w:hint="eastAsia" w:ascii="黑体" w:hAnsi="楷体" w:eastAsia="黑体" w:cs="Times New Roman"/>
          <w:b/>
          <w:color w:val="000000"/>
          <w:sz w:val="30"/>
          <w:szCs w:val="30"/>
        </w:rPr>
        <w:t>投资者权益须知（代销版本）</w:t>
      </w:r>
    </w:p>
    <w:p w14:paraId="0A07E462">
      <w:pPr>
        <w:autoSpaceDE w:val="0"/>
        <w:autoSpaceDN w:val="0"/>
        <w:adjustRightInd w:val="0"/>
        <w:spacing w:line="360" w:lineRule="auto"/>
        <w:rPr>
          <w:rFonts w:ascii="宋体" w:hAnsi="宋体" w:eastAsia="宋体" w:cs="宋体"/>
          <w:b/>
          <w:color w:val="000000"/>
          <w:szCs w:val="21"/>
        </w:rPr>
      </w:pPr>
      <w:r>
        <w:rPr>
          <w:rFonts w:hint="eastAsia" w:ascii="宋体" w:hAnsi="宋体" w:eastAsia="宋体" w:cs="宋体"/>
          <w:b/>
          <w:color w:val="000000"/>
          <w:szCs w:val="21"/>
        </w:rPr>
        <w:t>尊敬的投资者：</w:t>
      </w:r>
    </w:p>
    <w:p w14:paraId="213AB89F">
      <w:pPr>
        <w:widowControl/>
        <w:autoSpaceDE w:val="0"/>
        <w:autoSpaceDN w:val="0"/>
        <w:adjustRightInd w:val="0"/>
        <w:spacing w:line="360" w:lineRule="auto"/>
        <w:ind w:firstLine="422" w:firstLineChars="200"/>
        <w:jc w:val="left"/>
        <w:rPr>
          <w:rFonts w:ascii="宋体" w:hAnsi="宋体" w:eastAsia="宋体" w:cs="宋体"/>
          <w:b/>
          <w:bCs/>
          <w:color w:val="000000"/>
          <w:szCs w:val="21"/>
        </w:rPr>
      </w:pPr>
      <w:r>
        <w:rPr>
          <w:rFonts w:hint="eastAsia" w:ascii="宋体" w:hAnsi="宋体" w:eastAsia="宋体" w:cs="宋体"/>
          <w:b/>
          <w:bCs/>
          <w:color w:val="000000"/>
          <w:szCs w:val="21"/>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09D1DCC8">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lang w:bidi="ar"/>
        </w:rPr>
        <w:t>为方便您办理理财业务，请仔细阅读以下内容。</w:t>
      </w:r>
      <w:r>
        <w:rPr>
          <w:rFonts w:hint="eastAsia" w:ascii="宋体" w:hAnsi="宋体" w:eastAsia="宋体" w:cs="宋体"/>
          <w:b/>
          <w:bCs/>
          <w:color w:val="000000"/>
          <w:szCs w:val="21"/>
        </w:rPr>
        <w:t>如对本理财产品销售文件或购买流程等有不明之处，请及时与代销机构相关人员进行咨询。在购买本理财产品后，请关注本理财产品的信息披露情况，及时获取相关信息。如对本理财产品有任何意见或建议，请关注产品管理人相关联络方式并予以反馈，或通过代销机构转达。</w:t>
      </w:r>
    </w:p>
    <w:p w14:paraId="7A410341">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投资者可依据该产品登记编码在“</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”查询本理财产品信息，“</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”网址：</w:t>
      </w:r>
      <w:r>
        <w:rPr>
          <w:rFonts w:hint="eastAsia" w:ascii="宋体" w:hAnsi="宋体" w:eastAsia="宋体" w:cs="宋体"/>
          <w:b/>
          <w:bCs/>
          <w:color w:val="000000"/>
          <w:szCs w:val="21"/>
        </w:rPr>
        <w:fldChar w:fldCharType="begin"/>
      </w:r>
      <w:r>
        <w:rPr>
          <w:rFonts w:hint="eastAsia" w:ascii="宋体" w:hAnsi="宋体" w:eastAsia="宋体" w:cs="宋体"/>
          <w:b/>
          <w:bCs/>
          <w:color w:val="000000"/>
          <w:szCs w:val="21"/>
        </w:rPr>
        <w:instrText xml:space="preserve"> HYPERLINK "http://www.chinawealth.com.cn。" </w:instrText>
      </w:r>
      <w:r>
        <w:rPr>
          <w:rFonts w:hint="eastAsia" w:ascii="宋体" w:hAnsi="宋体" w:eastAsia="宋体" w:cs="宋体"/>
          <w:b/>
          <w:bCs/>
          <w:color w:val="000000"/>
          <w:szCs w:val="21"/>
        </w:rPr>
        <w:fldChar w:fldCharType="separate"/>
      </w:r>
      <w:r>
        <w:rPr>
          <w:rFonts w:hint="eastAsia" w:ascii="宋体" w:hAnsi="宋体" w:eastAsia="宋体" w:cs="宋体"/>
          <w:b/>
          <w:bCs/>
          <w:color w:val="000000"/>
          <w:szCs w:val="21"/>
          <w:u w:val="single"/>
        </w:rPr>
        <w:t>www.chinawealth.com.cn</w:t>
      </w:r>
      <w:r>
        <w:rPr>
          <w:rFonts w:hint="eastAsia" w:ascii="宋体" w:hAnsi="宋体" w:eastAsia="宋体" w:cs="宋体"/>
          <w:b/>
          <w:bCs/>
          <w:color w:val="000000"/>
          <w:szCs w:val="21"/>
        </w:rPr>
        <w:fldChar w:fldCharType="end"/>
      </w:r>
      <w:r>
        <w:rPr>
          <w:rFonts w:hint="eastAsia" w:ascii="宋体" w:hAnsi="宋体" w:eastAsia="宋体" w:cs="宋体"/>
          <w:b/>
          <w:bCs/>
          <w:color w:val="000000"/>
          <w:szCs w:val="21"/>
          <w:lang w:eastAsia="zh-CN"/>
        </w:rPr>
        <w:t>。</w:t>
      </w:r>
    </w:p>
    <w:p w14:paraId="016E5E8D">
      <w:pPr>
        <w:autoSpaceDE w:val="0"/>
        <w:autoSpaceDN w:val="0"/>
        <w:adjustRightInd w:val="0"/>
        <w:spacing w:line="360" w:lineRule="auto"/>
        <w:ind w:firstLine="422" w:firstLineChars="200"/>
        <w:outlineLvl w:val="0"/>
        <w:rPr>
          <w:rFonts w:ascii="宋体" w:hAnsi="宋体" w:eastAsia="宋体" w:cs="宋体"/>
          <w:b/>
          <w:bCs/>
          <w:color w:val="000000"/>
          <w:szCs w:val="21"/>
        </w:rPr>
      </w:pPr>
      <w:r>
        <w:rPr>
          <w:rFonts w:hint="eastAsia" w:ascii="宋体" w:hAnsi="宋体" w:eastAsia="宋体" w:cs="宋体"/>
          <w:b/>
          <w:bCs/>
          <w:color w:val="000000"/>
          <w:szCs w:val="21"/>
        </w:rPr>
        <w:t>一、投资者风险承受能力评估</w:t>
      </w:r>
    </w:p>
    <w:p w14:paraId="3F7B45E4">
      <w:pPr>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本理财产品全部销售工作及投资者适当性评估由代销机构负责。投资者首次通过代销机构购买北银理财理财产品的，需要与代销机构签署相关理财产品销售文件，并须按照该理财产品销售文件约定在代销机构销售渠道进行风险承受能力评估，并对评估结果签字确认。</w:t>
      </w:r>
    </w:p>
    <w:p w14:paraId="104930DE">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投资者风险承受能力评估结果有效期为一年，如投资者超过一年未进行风险承受能力评估或发生可能影响自身风险承受能力情况的，再次购买理财产品时须在理财产品代销机构营业场所（含电子渠道）完成风险承受能力的重新评估。</w:t>
      </w:r>
    </w:p>
    <w:p w14:paraId="2ABB7CA7">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（三）投资者风险承受能力评估流程</w:t>
      </w:r>
    </w:p>
    <w:p w14:paraId="2843E7FF">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1.投资者在理财产品代销机构营业场所（含电子渠道）进行风险承受能力评估；</w:t>
      </w:r>
    </w:p>
    <w:p w14:paraId="34ADF54E">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2.填写代销机构投资者风险承受能力测试问卷；</w:t>
      </w:r>
    </w:p>
    <w:p w14:paraId="7C587DA4">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3.生成相应的投资者风险承受能力评估结果；</w:t>
      </w:r>
    </w:p>
    <w:p w14:paraId="3C59C7FD">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4.投资者对评估结果进行确认。</w:t>
      </w:r>
    </w:p>
    <w:p w14:paraId="7B21A245">
      <w:pPr>
        <w:numPr>
          <w:ilvl w:val="0"/>
          <w:numId w:val="1"/>
        </w:numPr>
        <w:autoSpaceDE w:val="0"/>
        <w:autoSpaceDN w:val="0"/>
        <w:adjustRightInd w:val="0"/>
        <w:spacing w:line="360" w:lineRule="auto"/>
        <w:ind w:firstLine="420"/>
        <w:rPr>
          <w:rFonts w:ascii="宋体" w:hAnsi="宋体" w:eastAsia="宋体" w:cs="宋体"/>
          <w:color w:val="000000"/>
          <w:szCs w:val="21"/>
        </w:rPr>
      </w:pPr>
      <w:r>
        <w:rPr>
          <w:rFonts w:hint="eastAsia" w:ascii="宋体" w:hAnsi="宋体" w:eastAsia="宋体" w:cs="宋体"/>
          <w:color w:val="000000"/>
          <w:szCs w:val="21"/>
        </w:rPr>
        <w:t xml:space="preserve">风险承受能力评估结果将作为评价投资者是否适合购买理财产品的重要因素，风险承受能力评级越高适合购买的理财产品风险评级越高，适合购买的理财产品类型越丰富。 </w:t>
      </w:r>
    </w:p>
    <w:p w14:paraId="515000C7">
      <w:pPr>
        <w:autoSpaceDE w:val="0"/>
        <w:autoSpaceDN w:val="0"/>
        <w:adjustRightInd w:val="0"/>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五）代销机构应确保投资者的风险承受能力等级评估结果不低于本理财产品风险评级结果。代销过程中，代销机构可参考北银理财的产品风险评级结果，自行判断确定本理财产品的风险评级。当代销机构对本理财产品的风险评级结果与北银理财产品风险评级结果不一致的，代销机构应当采用较高风险等级的产品风险评级结果并予以披露。</w:t>
      </w:r>
    </w:p>
    <w:p w14:paraId="65C5CEA0">
      <w:pPr>
        <w:autoSpaceDE w:val="0"/>
        <w:autoSpaceDN w:val="0"/>
        <w:adjustRightInd w:val="0"/>
        <w:spacing w:line="360" w:lineRule="auto"/>
        <w:ind w:firstLine="420"/>
        <w:outlineLvl w:val="0"/>
        <w:rPr>
          <w:rFonts w:ascii="宋体" w:hAnsi="宋体" w:eastAsia="宋体" w:cs="宋体"/>
          <w:b/>
          <w:bCs/>
          <w:color w:val="000000"/>
          <w:szCs w:val="21"/>
        </w:rPr>
      </w:pPr>
      <w:r>
        <w:rPr>
          <w:rFonts w:hint="eastAsia" w:ascii="宋体" w:hAnsi="宋体" w:eastAsia="宋体" w:cs="宋体"/>
          <w:b/>
          <w:bCs/>
          <w:color w:val="000000"/>
          <w:szCs w:val="21"/>
        </w:rPr>
        <w:t>二、北银理财产品风险评级说明</w:t>
      </w:r>
    </w:p>
    <w:p w14:paraId="605C2356">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北银理财所对应的产品风险评级说明详见下表。</w:t>
      </w:r>
    </w:p>
    <w:tbl>
      <w:tblPr>
        <w:tblStyle w:val="5"/>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14:paraId="35DF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vAlign w:val="center"/>
          </w:tcPr>
          <w:p w14:paraId="602F1161">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产品风险评级</w:t>
            </w:r>
          </w:p>
        </w:tc>
        <w:tc>
          <w:tcPr>
            <w:tcW w:w="4395" w:type="dxa"/>
            <w:vAlign w:val="center"/>
          </w:tcPr>
          <w:p w14:paraId="2B1161D1">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产品风险评级说明</w:t>
            </w:r>
          </w:p>
        </w:tc>
        <w:tc>
          <w:tcPr>
            <w:tcW w:w="3402" w:type="dxa"/>
            <w:vAlign w:val="center"/>
          </w:tcPr>
          <w:p w14:paraId="2D4092F5">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目标客户类型</w:t>
            </w:r>
          </w:p>
        </w:tc>
      </w:tr>
      <w:tr w14:paraId="5DAB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0C833576">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低风险产品（PR1）</w:t>
            </w:r>
          </w:p>
        </w:tc>
        <w:tc>
          <w:tcPr>
            <w:tcW w:w="4395" w:type="dxa"/>
          </w:tcPr>
          <w:p w14:paraId="0805AC59">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理财产品的总体风险低，净值波动小，理财投资本金遭受损失的可能性低。</w:t>
            </w:r>
          </w:p>
        </w:tc>
        <w:tc>
          <w:tcPr>
            <w:tcW w:w="3402" w:type="dxa"/>
          </w:tcPr>
          <w:p w14:paraId="05EA38BD">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color w:val="000000"/>
                <w:sz w:val="21"/>
                <w:szCs w:val="21"/>
                <w:lang w:val="en-US" w:eastAsia="zh-CN" w:bidi="ar-SA"/>
              </w:rPr>
            </w:pPr>
            <w:r>
              <w:rPr>
                <w:rFonts w:hint="eastAsia" w:ascii="宋体" w:hAnsi="宋体" w:eastAsia="宋体" w:cs="宋体"/>
                <w:color w:val="000000"/>
                <w:kern w:val="2"/>
                <w:sz w:val="21"/>
                <w:szCs w:val="21"/>
                <w:lang w:val="en-US" w:eastAsia="zh-CN" w:bidi="ar-SA"/>
              </w:rPr>
              <w:t>投资者风险承受能力评估为：</w:t>
            </w:r>
            <w:r>
              <w:rPr>
                <w:rFonts w:hint="eastAsia" w:ascii="宋体" w:hAnsi="宋体" w:eastAsia="宋体" w:cs="宋体"/>
                <w:color w:val="000000"/>
                <w:sz w:val="21"/>
                <w:szCs w:val="21"/>
                <w:lang w:val="en-US" w:eastAsia="zh-CN" w:bidi="ar-SA"/>
              </w:rPr>
              <w:t>谨慎型、稳健型、平衡型、进取型、激进型的投资者</w:t>
            </w:r>
          </w:p>
        </w:tc>
      </w:tr>
      <w:tr w14:paraId="6B30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612" w:type="dxa"/>
            <w:vAlign w:val="center"/>
          </w:tcPr>
          <w:p w14:paraId="3933D91E">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较低风险产品（PR2）</w:t>
            </w:r>
          </w:p>
        </w:tc>
        <w:tc>
          <w:tcPr>
            <w:tcW w:w="4395" w:type="dxa"/>
          </w:tcPr>
          <w:p w14:paraId="5D310409">
            <w:pPr>
              <w:keepNext w:val="0"/>
              <w:keepLines w:val="0"/>
              <w:suppressLineNumbers w:val="0"/>
              <w:autoSpaceDE w:val="0"/>
              <w:autoSpaceDN w:val="0"/>
              <w:adjustRightIn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理财产品的总体风险较低，净值波动较小</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理财投资</w:t>
            </w:r>
            <w:r>
              <w:rPr>
                <w:rFonts w:hint="eastAsia" w:ascii="宋体" w:hAnsi="宋体" w:eastAsia="宋体" w:cs="宋体"/>
                <w:color w:val="000000"/>
                <w:szCs w:val="21"/>
              </w:rPr>
              <w:t>本金</w:t>
            </w:r>
            <w:r>
              <w:rPr>
                <w:rFonts w:hint="eastAsia" w:ascii="宋体" w:hAnsi="宋体" w:eastAsia="宋体" w:cs="宋体"/>
                <w:color w:val="000000"/>
                <w:szCs w:val="21"/>
                <w:lang w:val="en-US" w:eastAsia="zh-CN"/>
              </w:rPr>
              <w:t>遭受</w:t>
            </w:r>
            <w:r>
              <w:rPr>
                <w:rFonts w:hint="eastAsia" w:ascii="宋体" w:hAnsi="宋体" w:eastAsia="宋体" w:cs="宋体"/>
                <w:color w:val="000000"/>
                <w:szCs w:val="21"/>
              </w:rPr>
              <w:t>损失的可能性较低。</w:t>
            </w:r>
          </w:p>
        </w:tc>
        <w:tc>
          <w:tcPr>
            <w:tcW w:w="3402" w:type="dxa"/>
          </w:tcPr>
          <w:p w14:paraId="549A4069">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color w:val="000000"/>
                <w:sz w:val="21"/>
                <w:szCs w:val="21"/>
                <w:lang w:val="en-US" w:eastAsia="zh-CN" w:bidi="ar-SA"/>
              </w:rPr>
            </w:pPr>
            <w:r>
              <w:rPr>
                <w:rFonts w:hint="eastAsia" w:ascii="宋体" w:hAnsi="宋体" w:eastAsia="宋体" w:cs="宋体"/>
                <w:color w:val="000000"/>
                <w:kern w:val="2"/>
                <w:sz w:val="21"/>
                <w:szCs w:val="21"/>
                <w:lang w:val="en-US" w:eastAsia="zh-CN" w:bidi="ar-SA"/>
              </w:rPr>
              <w:t>投资者风险承受能力评估为：</w:t>
            </w:r>
            <w:r>
              <w:rPr>
                <w:rFonts w:hint="eastAsia" w:ascii="宋体" w:hAnsi="宋体" w:eastAsia="宋体" w:cs="宋体"/>
                <w:color w:val="000000"/>
                <w:sz w:val="21"/>
                <w:szCs w:val="21"/>
                <w:lang w:val="en-US" w:eastAsia="zh-CN" w:bidi="ar-SA"/>
              </w:rPr>
              <w:t>稳健型、平衡型、进取型、激进型的投资者</w:t>
            </w:r>
          </w:p>
        </w:tc>
      </w:tr>
      <w:tr w14:paraId="2B04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4C98DE32">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中等风险产品（PR3）</w:t>
            </w:r>
          </w:p>
        </w:tc>
        <w:tc>
          <w:tcPr>
            <w:tcW w:w="4395" w:type="dxa"/>
          </w:tcPr>
          <w:p w14:paraId="2B8A6688">
            <w:pPr>
              <w:keepNext w:val="0"/>
              <w:keepLines w:val="0"/>
              <w:suppressLineNumbers w:val="0"/>
              <w:autoSpaceDE w:val="0"/>
              <w:autoSpaceDN w:val="0"/>
              <w:adjustRightIn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理财产品的总体风险中</w:t>
            </w:r>
            <w:r>
              <w:rPr>
                <w:rFonts w:hint="eastAsia" w:ascii="宋体" w:hAnsi="宋体" w:eastAsia="宋体" w:cs="宋体"/>
                <w:color w:val="000000"/>
                <w:szCs w:val="21"/>
                <w:lang w:val="en-US" w:eastAsia="zh-CN"/>
              </w:rPr>
              <w:t>等</w:t>
            </w:r>
            <w:r>
              <w:rPr>
                <w:rFonts w:hint="eastAsia" w:ascii="宋体" w:hAnsi="宋体" w:eastAsia="宋体" w:cs="宋体"/>
                <w:color w:val="000000"/>
                <w:szCs w:val="21"/>
              </w:rPr>
              <w:t>，净值</w:t>
            </w:r>
            <w:r>
              <w:rPr>
                <w:rFonts w:hint="eastAsia" w:ascii="宋体" w:hAnsi="宋体" w:eastAsia="宋体" w:cs="宋体"/>
                <w:color w:val="000000"/>
                <w:sz w:val="21"/>
                <w:szCs w:val="21"/>
                <w:highlight w:val="none"/>
                <w:lang w:eastAsia="zh-CN"/>
              </w:rPr>
              <w:t>波动较大</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理财投资</w:t>
            </w:r>
            <w:r>
              <w:rPr>
                <w:rFonts w:hint="eastAsia" w:ascii="宋体" w:hAnsi="宋体" w:eastAsia="宋体" w:cs="宋体"/>
                <w:color w:val="000000"/>
                <w:szCs w:val="21"/>
              </w:rPr>
              <w:t>本金</w:t>
            </w:r>
            <w:r>
              <w:rPr>
                <w:rFonts w:hint="eastAsia" w:ascii="宋体" w:hAnsi="宋体" w:eastAsia="宋体" w:cs="宋体"/>
                <w:color w:val="000000"/>
                <w:szCs w:val="21"/>
                <w:lang w:val="en-US" w:eastAsia="zh-CN"/>
              </w:rPr>
              <w:t>遭受</w:t>
            </w:r>
            <w:r>
              <w:rPr>
                <w:rFonts w:hint="eastAsia" w:ascii="宋体" w:hAnsi="宋体" w:eastAsia="宋体" w:cs="宋体"/>
                <w:color w:val="000000"/>
                <w:szCs w:val="21"/>
              </w:rPr>
              <w:t>损失的可能性</w:t>
            </w:r>
            <w:r>
              <w:rPr>
                <w:rFonts w:hint="eastAsia" w:ascii="宋体" w:hAnsi="宋体" w:eastAsia="宋体" w:cs="宋体"/>
                <w:color w:val="000000"/>
                <w:szCs w:val="21"/>
                <w:lang w:val="en-US" w:eastAsia="zh-CN"/>
              </w:rPr>
              <w:t>较高</w:t>
            </w:r>
            <w:r>
              <w:rPr>
                <w:rFonts w:hint="eastAsia" w:ascii="宋体" w:hAnsi="宋体" w:eastAsia="宋体" w:cs="宋体"/>
                <w:color w:val="000000"/>
                <w:szCs w:val="21"/>
              </w:rPr>
              <w:t>。</w:t>
            </w:r>
          </w:p>
        </w:tc>
        <w:tc>
          <w:tcPr>
            <w:tcW w:w="3402" w:type="dxa"/>
          </w:tcPr>
          <w:p w14:paraId="67E2C218">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color w:val="000000"/>
                <w:sz w:val="21"/>
                <w:szCs w:val="21"/>
                <w:lang w:val="en-US" w:eastAsia="zh-CN" w:bidi="ar-SA"/>
              </w:rPr>
            </w:pPr>
            <w:r>
              <w:rPr>
                <w:rFonts w:hint="eastAsia" w:ascii="宋体" w:hAnsi="宋体" w:eastAsia="宋体" w:cs="宋体"/>
                <w:color w:val="000000"/>
                <w:kern w:val="2"/>
                <w:sz w:val="21"/>
                <w:szCs w:val="21"/>
                <w:lang w:val="en-US" w:eastAsia="zh-CN" w:bidi="ar-SA"/>
              </w:rPr>
              <w:t>投资者风险承受能力评估为：</w:t>
            </w:r>
            <w:r>
              <w:rPr>
                <w:rFonts w:hint="eastAsia" w:ascii="宋体" w:hAnsi="宋体" w:eastAsia="宋体" w:cs="宋体"/>
                <w:color w:val="000000"/>
                <w:sz w:val="21"/>
                <w:szCs w:val="21"/>
                <w:lang w:val="en-US" w:eastAsia="zh-CN" w:bidi="ar-SA"/>
              </w:rPr>
              <w:t>平衡型、进取型、激进型的投资者</w:t>
            </w:r>
          </w:p>
        </w:tc>
      </w:tr>
      <w:tr w14:paraId="6828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20A45F67">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较高风险产品（PR4）</w:t>
            </w:r>
          </w:p>
        </w:tc>
        <w:tc>
          <w:tcPr>
            <w:tcW w:w="4395" w:type="dxa"/>
          </w:tcPr>
          <w:p w14:paraId="189E0B48">
            <w:pPr>
              <w:keepNext w:val="0"/>
              <w:keepLines w:val="0"/>
              <w:suppressLineNumbers w:val="0"/>
              <w:autoSpaceDE w:val="0"/>
              <w:autoSpaceDN w:val="0"/>
              <w:adjustRightIn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理财产品的总体风险较高，净值</w:t>
            </w:r>
            <w:r>
              <w:rPr>
                <w:rFonts w:hint="eastAsia" w:ascii="宋体" w:hAnsi="宋体" w:eastAsia="宋体" w:cs="宋体"/>
                <w:color w:val="000000"/>
                <w:sz w:val="21"/>
                <w:szCs w:val="21"/>
                <w:lang w:eastAsia="zh-CN"/>
              </w:rPr>
              <w:t>波动较大，</w:t>
            </w:r>
            <w:r>
              <w:rPr>
                <w:rFonts w:hint="eastAsia" w:ascii="宋体" w:hAnsi="宋体" w:eastAsia="宋体" w:cs="宋体"/>
                <w:color w:val="000000"/>
                <w:sz w:val="21"/>
                <w:szCs w:val="21"/>
                <w:lang w:val="en-US" w:eastAsia="zh-CN"/>
              </w:rPr>
              <w:t>理财投资</w:t>
            </w:r>
            <w:r>
              <w:rPr>
                <w:rFonts w:hint="eastAsia" w:ascii="宋体" w:hAnsi="宋体" w:eastAsia="宋体" w:cs="宋体"/>
                <w:color w:val="000000"/>
                <w:szCs w:val="21"/>
              </w:rPr>
              <w:t>本金</w:t>
            </w:r>
            <w:r>
              <w:rPr>
                <w:rFonts w:hint="eastAsia" w:ascii="宋体" w:hAnsi="宋体" w:eastAsia="宋体" w:cs="宋体"/>
                <w:color w:val="000000"/>
                <w:szCs w:val="21"/>
                <w:lang w:val="en-US" w:eastAsia="zh-CN"/>
              </w:rPr>
              <w:t>遭受</w:t>
            </w:r>
            <w:r>
              <w:rPr>
                <w:rFonts w:hint="eastAsia" w:ascii="宋体" w:hAnsi="宋体" w:eastAsia="宋体" w:cs="宋体"/>
                <w:color w:val="000000"/>
                <w:szCs w:val="21"/>
              </w:rPr>
              <w:t>损失的可能性高。</w:t>
            </w:r>
          </w:p>
        </w:tc>
        <w:tc>
          <w:tcPr>
            <w:tcW w:w="3402" w:type="dxa"/>
          </w:tcPr>
          <w:p w14:paraId="59C4B07C">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color w:val="000000"/>
                <w:sz w:val="21"/>
                <w:szCs w:val="21"/>
                <w:lang w:val="en-US" w:eastAsia="zh-CN" w:bidi="ar-SA"/>
              </w:rPr>
            </w:pPr>
            <w:r>
              <w:rPr>
                <w:rFonts w:hint="eastAsia" w:ascii="宋体" w:hAnsi="宋体" w:eastAsia="宋体" w:cs="宋体"/>
                <w:color w:val="000000"/>
                <w:kern w:val="2"/>
                <w:sz w:val="21"/>
                <w:szCs w:val="21"/>
                <w:lang w:val="en-US" w:eastAsia="zh-CN" w:bidi="ar-SA"/>
              </w:rPr>
              <w:t>投资者风险承受能力评估为：</w:t>
            </w:r>
            <w:r>
              <w:rPr>
                <w:rFonts w:hint="eastAsia" w:ascii="宋体" w:hAnsi="宋体" w:eastAsia="宋体" w:cs="宋体"/>
                <w:color w:val="000000"/>
                <w:sz w:val="21"/>
                <w:szCs w:val="21"/>
                <w:lang w:val="en-US" w:eastAsia="zh-CN" w:bidi="ar-SA"/>
              </w:rPr>
              <w:t>进取型、激进型的投资者</w:t>
            </w:r>
          </w:p>
        </w:tc>
      </w:tr>
      <w:tr w14:paraId="5147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4C022C01">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宋体"/>
                <w:color w:val="000000"/>
                <w:szCs w:val="21"/>
              </w:rPr>
            </w:pPr>
            <w:r>
              <w:rPr>
                <w:rFonts w:hint="eastAsia" w:ascii="宋体" w:hAnsi="宋体" w:eastAsia="宋体" w:cs="宋体"/>
                <w:color w:val="000000"/>
                <w:szCs w:val="21"/>
              </w:rPr>
              <w:t>高风险产品（PR5）</w:t>
            </w:r>
          </w:p>
        </w:tc>
        <w:tc>
          <w:tcPr>
            <w:tcW w:w="4395" w:type="dxa"/>
          </w:tcPr>
          <w:p w14:paraId="26C8D7D4">
            <w:pPr>
              <w:keepNext w:val="0"/>
              <w:keepLines w:val="0"/>
              <w:suppressLineNumbers w:val="0"/>
              <w:autoSpaceDE w:val="0"/>
              <w:autoSpaceDN w:val="0"/>
              <w:adjustRightIn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理财产品的总体风险高，净值</w:t>
            </w:r>
            <w:r>
              <w:rPr>
                <w:rFonts w:hint="eastAsia" w:ascii="宋体" w:hAnsi="宋体" w:eastAsia="宋体" w:cs="宋体"/>
                <w:color w:val="000000"/>
                <w:sz w:val="21"/>
                <w:szCs w:val="21"/>
                <w:lang w:eastAsia="zh-CN"/>
              </w:rPr>
              <w:t>波动</w:t>
            </w:r>
            <w:r>
              <w:rPr>
                <w:rFonts w:hint="eastAsia" w:ascii="宋体" w:hAnsi="宋体" w:eastAsia="宋体" w:cs="宋体"/>
                <w:color w:val="000000"/>
                <w:sz w:val="21"/>
                <w:szCs w:val="21"/>
                <w:lang w:val="en-US" w:eastAsia="zh-CN"/>
              </w:rPr>
              <w:t>极</w:t>
            </w:r>
            <w:r>
              <w:rPr>
                <w:rFonts w:hint="eastAsia" w:ascii="宋体" w:hAnsi="宋体" w:eastAsia="宋体" w:cs="宋体"/>
                <w:color w:val="000000"/>
                <w:sz w:val="21"/>
                <w:szCs w:val="21"/>
                <w:lang w:eastAsia="zh-CN"/>
              </w:rPr>
              <w:t>大，</w:t>
            </w:r>
            <w:r>
              <w:rPr>
                <w:rFonts w:hint="eastAsia" w:ascii="宋体" w:hAnsi="宋体" w:eastAsia="宋体" w:cs="宋体"/>
                <w:color w:val="000000"/>
                <w:sz w:val="21"/>
                <w:szCs w:val="21"/>
                <w:lang w:val="en-US" w:eastAsia="zh-CN"/>
              </w:rPr>
              <w:t>理财投资</w:t>
            </w:r>
            <w:r>
              <w:rPr>
                <w:rFonts w:hint="eastAsia" w:ascii="宋体" w:hAnsi="宋体" w:eastAsia="宋体" w:cs="宋体"/>
                <w:color w:val="000000"/>
                <w:szCs w:val="21"/>
              </w:rPr>
              <w:t>本金</w:t>
            </w:r>
            <w:r>
              <w:rPr>
                <w:rFonts w:hint="eastAsia" w:ascii="宋体" w:hAnsi="宋体" w:eastAsia="宋体" w:cs="宋体"/>
                <w:color w:val="000000"/>
                <w:szCs w:val="21"/>
                <w:lang w:val="en-US" w:eastAsia="zh-CN"/>
              </w:rPr>
              <w:t>遭受</w:t>
            </w:r>
            <w:r>
              <w:rPr>
                <w:rFonts w:hint="eastAsia" w:ascii="宋体" w:hAnsi="宋体" w:eastAsia="宋体" w:cs="宋体"/>
                <w:color w:val="000000"/>
                <w:szCs w:val="21"/>
              </w:rPr>
              <w:t>损失的可能性极高。</w:t>
            </w:r>
          </w:p>
        </w:tc>
        <w:tc>
          <w:tcPr>
            <w:tcW w:w="3402" w:type="dxa"/>
          </w:tcPr>
          <w:p w14:paraId="6A7143C8">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投资者风险承受能力评估为：</w:t>
            </w:r>
            <w:r>
              <w:rPr>
                <w:rFonts w:hint="eastAsia" w:ascii="宋体" w:hAnsi="宋体" w:eastAsia="宋体" w:cs="宋体"/>
                <w:color w:val="000000"/>
                <w:sz w:val="21"/>
                <w:szCs w:val="21"/>
                <w:lang w:val="en-US" w:eastAsia="zh-CN" w:bidi="ar-SA"/>
              </w:rPr>
              <w:t>激进型的投资者</w:t>
            </w:r>
          </w:p>
        </w:tc>
      </w:tr>
    </w:tbl>
    <w:p w14:paraId="1B3144AA">
      <w:pPr>
        <w:spacing w:line="360" w:lineRule="auto"/>
        <w:outlineLvl w:val="0"/>
        <w:rPr>
          <w:rFonts w:hint="eastAsia" w:ascii="宋体" w:hAnsi="宋体" w:eastAsia="宋体" w:cs="宋体"/>
          <w:color w:val="000000"/>
          <w:szCs w:val="21"/>
        </w:rPr>
      </w:pPr>
      <w:r>
        <w:rPr>
          <w:rFonts w:hint="eastAsia" w:ascii="宋体" w:hAnsi="宋体" w:eastAsia="宋体" w:cs="宋体"/>
          <w:color w:val="000000"/>
          <w:szCs w:val="21"/>
          <w:lang w:val="en-US" w:eastAsia="zh-CN"/>
        </w:rPr>
        <w:t>专业投资者具体管理要求</w:t>
      </w:r>
      <w:r>
        <w:rPr>
          <w:rFonts w:hint="eastAsia" w:ascii="宋体" w:hAnsi="宋体" w:eastAsia="宋体" w:cs="宋体"/>
          <w:color w:val="000000"/>
          <w:szCs w:val="21"/>
        </w:rPr>
        <w:t>以销售机构为准</w:t>
      </w: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    </w:t>
      </w:r>
    </w:p>
    <w:p w14:paraId="484A870D">
      <w:pPr>
        <w:spacing w:line="360" w:lineRule="auto"/>
        <w:ind w:firstLine="422" w:firstLineChars="200"/>
        <w:outlineLvl w:val="0"/>
        <w:rPr>
          <w:rFonts w:ascii="宋体" w:hAnsi="宋体" w:eastAsia="宋体" w:cs="宋体"/>
          <w:color w:val="000000"/>
          <w:szCs w:val="21"/>
        </w:rPr>
      </w:pPr>
      <w:r>
        <w:rPr>
          <w:rFonts w:hint="eastAsia" w:ascii="宋体" w:hAnsi="宋体" w:eastAsia="宋体" w:cs="宋体"/>
          <w:b/>
          <w:bCs/>
          <w:color w:val="000000"/>
          <w:szCs w:val="21"/>
        </w:rPr>
        <w:t>三、代销机构代理销售理财产品的流程</w:t>
      </w:r>
    </w:p>
    <w:p w14:paraId="08DB3A03">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（一）首次在代销机构购买理财产品的投资者需开立相应资金账户，提供并确认正确的联系方式。 </w:t>
      </w:r>
    </w:p>
    <w:p w14:paraId="21E65FC2">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（二）首次在代销机构购买北银理财理财产品的投资者需进行投资者风险承受能力评估，并确认风险承受能力等级评估结果不低于本理财产品风险评级。</w:t>
      </w:r>
    </w:p>
    <w:p w14:paraId="7455AD30">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（三）仔细阅读本理财产品完整销售文件，理解并确认本理财产品完整销售文件全部条款及产品风险。 </w:t>
      </w:r>
    </w:p>
    <w:p w14:paraId="032A98EC">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（四）确定购买金额，完成交易申请，并在北银理财系统确认投资者购买份额后及时进行查询。</w:t>
      </w:r>
    </w:p>
    <w:p w14:paraId="68EF4AD0">
      <w:pPr>
        <w:spacing w:line="360" w:lineRule="auto"/>
        <w:ind w:firstLine="422" w:firstLineChars="200"/>
        <w:outlineLvl w:val="0"/>
        <w:rPr>
          <w:rFonts w:ascii="宋体" w:hAnsi="宋体" w:eastAsia="宋体" w:cs="宋体"/>
          <w:b/>
          <w:bCs/>
          <w:color w:val="000000"/>
          <w:szCs w:val="21"/>
        </w:rPr>
      </w:pPr>
      <w:r>
        <w:rPr>
          <w:rFonts w:hint="eastAsia" w:ascii="宋体" w:hAnsi="宋体" w:eastAsia="宋体" w:cs="宋体"/>
          <w:b/>
          <w:bCs/>
          <w:color w:val="000000"/>
          <w:szCs w:val="21"/>
        </w:rPr>
        <w:t>四、理财产品信息披露的方式、渠道和频率</w:t>
      </w:r>
    </w:p>
    <w:p w14:paraId="136DD32E">
      <w:pPr>
        <w:spacing w:line="360" w:lineRule="auto"/>
        <w:ind w:firstLine="420" w:firstLineChars="200"/>
        <w:outlineLvl w:val="0"/>
        <w:rPr>
          <w:rFonts w:ascii="宋体" w:hAnsi="宋体" w:eastAsia="宋体" w:cs="宋体"/>
          <w:color w:val="000000"/>
          <w:szCs w:val="21"/>
        </w:rPr>
      </w:pPr>
      <w:r>
        <w:rPr>
          <w:rFonts w:hint="eastAsia" w:ascii="宋体" w:hAnsi="宋体" w:eastAsia="宋体" w:cs="宋体"/>
          <w:color w:val="000000"/>
          <w:szCs w:val="21"/>
        </w:rPr>
        <w:t>信息披露的方式、渠道和频率，投资者可以根据《理财产品说明书》“十一、产品的信息披露”</w:t>
      </w:r>
      <w:r>
        <w:rPr>
          <w:rFonts w:hint="eastAsia" w:ascii="宋体" w:hAnsi="宋体" w:eastAsia="宋体" w:cs="宋体"/>
          <w:color w:val="000000"/>
          <w:szCs w:val="21"/>
          <w:lang w:val="en-US" w:eastAsia="zh-CN"/>
        </w:rPr>
        <w:t>及“</w:t>
      </w:r>
      <w:r>
        <w:rPr>
          <w:rFonts w:hint="eastAsia" w:ascii="宋体" w:hAnsi="宋体" w:eastAsia="宋体" w:cs="宋体"/>
          <w:color w:val="000000"/>
          <w:szCs w:val="21"/>
        </w:rPr>
        <w:t>十二、相关机构的概况</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部分的约定，或通过拨打代销机构客户服务热线以及通过代销机构营业网点进行查询。</w:t>
      </w:r>
    </w:p>
    <w:p w14:paraId="5552497C">
      <w:pPr>
        <w:spacing w:line="360" w:lineRule="auto"/>
        <w:ind w:firstLine="413" w:firstLineChars="196"/>
        <w:outlineLvl w:val="0"/>
        <w:rPr>
          <w:rFonts w:ascii="宋体" w:hAnsi="宋体" w:eastAsia="宋体" w:cs="宋体"/>
          <w:b/>
          <w:bCs/>
          <w:color w:val="000000"/>
          <w:szCs w:val="21"/>
        </w:rPr>
      </w:pPr>
      <w:r>
        <w:rPr>
          <w:rFonts w:hint="eastAsia" w:ascii="宋体" w:hAnsi="宋体" w:eastAsia="宋体" w:cs="宋体"/>
          <w:b/>
          <w:bCs/>
          <w:color w:val="000000"/>
          <w:szCs w:val="21"/>
        </w:rPr>
        <w:t>五、投资者投诉</w:t>
      </w:r>
      <w:r>
        <w:rPr>
          <w:rFonts w:hint="eastAsia" w:ascii="宋体" w:hAnsi="宋体" w:eastAsia="宋体" w:cs="宋体"/>
          <w:b/>
          <w:bCs/>
          <w:color w:val="000000"/>
          <w:szCs w:val="21"/>
          <w:lang w:val="en-US" w:eastAsia="zh-CN"/>
        </w:rPr>
        <w:t>途径、</w:t>
      </w:r>
      <w:r>
        <w:rPr>
          <w:rFonts w:hint="eastAsia" w:ascii="宋体" w:hAnsi="宋体" w:eastAsia="宋体" w:cs="宋体"/>
          <w:b/>
          <w:bCs/>
          <w:color w:val="000000"/>
          <w:szCs w:val="21"/>
        </w:rPr>
        <w:t>方式和程序</w:t>
      </w:r>
    </w:p>
    <w:p w14:paraId="0C72F363">
      <w:pPr>
        <w:spacing w:line="360" w:lineRule="auto"/>
        <w:ind w:firstLine="411" w:firstLineChars="196"/>
        <w:outlineLvl w:val="0"/>
        <w:rPr>
          <w:rFonts w:ascii="宋体" w:hAnsi="宋体" w:eastAsia="宋体" w:cs="宋体"/>
          <w:color w:val="000000"/>
          <w:szCs w:val="21"/>
        </w:rPr>
      </w:pPr>
      <w:r>
        <w:rPr>
          <w:rFonts w:hint="eastAsia" w:ascii="宋体" w:hAnsi="宋体" w:eastAsia="宋体" w:cs="宋体"/>
          <w:color w:val="000000"/>
          <w:szCs w:val="21"/>
        </w:rPr>
        <w:t>投资者如认为代销机构推介、销售产品时有不实或未尽风险告知职责或其他疑义事项，或对本理财产品、代销机构及产品管理人服务有任何意见或建议，投资者可通过拨打代销机构客户服务热线或至代销机构营业网点等方式进行反馈，代销机构将由专人接听、记录您的意见或建议，并由双方协商共同解决。</w:t>
      </w:r>
    </w:p>
    <w:p w14:paraId="0FBEB095">
      <w:pPr>
        <w:spacing w:line="360" w:lineRule="auto"/>
        <w:ind w:firstLine="413" w:firstLineChars="196"/>
        <w:outlineLvl w:val="0"/>
        <w:rPr>
          <w:rFonts w:ascii="宋体" w:hAnsi="宋体" w:eastAsia="宋体" w:cs="宋体"/>
          <w:b/>
          <w:bCs/>
          <w:color w:val="000000"/>
          <w:szCs w:val="21"/>
        </w:rPr>
      </w:pPr>
      <w:r>
        <w:rPr>
          <w:rFonts w:hint="eastAsia" w:ascii="宋体" w:hAnsi="宋体" w:eastAsia="宋体" w:cs="宋体"/>
          <w:b/>
          <w:bCs/>
          <w:color w:val="000000"/>
          <w:szCs w:val="21"/>
        </w:rPr>
        <w:t>六、联络方式</w:t>
      </w:r>
    </w:p>
    <w:p w14:paraId="0B051C05">
      <w:pPr>
        <w:spacing w:line="360" w:lineRule="auto"/>
        <w:ind w:firstLine="411" w:firstLineChars="196"/>
        <w:outlineLvl w:val="0"/>
        <w:rPr>
          <w:rFonts w:ascii="宋体" w:hAnsi="宋体" w:eastAsia="宋体" w:cs="宋体"/>
          <w:b/>
          <w:bCs/>
          <w:color w:val="000000"/>
          <w:szCs w:val="21"/>
        </w:rPr>
      </w:pPr>
      <w:r>
        <w:rPr>
          <w:rFonts w:hint="eastAsia" w:ascii="宋体" w:hAnsi="宋体" w:eastAsia="宋体" w:cs="宋体"/>
          <w:color w:val="000000"/>
          <w:szCs w:val="21"/>
        </w:rPr>
        <w:t>（一）代销机构的联络方式</w:t>
      </w:r>
    </w:p>
    <w:p w14:paraId="2D6AF571">
      <w:pPr>
        <w:spacing w:line="360" w:lineRule="auto"/>
        <w:ind w:firstLine="411" w:firstLineChars="196"/>
        <w:outlineLvl w:val="0"/>
        <w:rPr>
          <w:rFonts w:hint="eastAsia" w:ascii="宋体" w:hAnsi="宋体" w:eastAsia="宋体" w:cs="宋体"/>
          <w:color w:val="000000"/>
          <w:szCs w:val="21"/>
        </w:rPr>
      </w:pPr>
      <w:r>
        <w:rPr>
          <w:rFonts w:hint="eastAsia" w:ascii="宋体" w:hAnsi="宋体" w:eastAsia="宋体" w:cs="宋体"/>
          <w:bCs/>
          <w:color w:val="000000"/>
          <w:szCs w:val="21"/>
        </w:rPr>
        <w:t>FS类份额：浙江嵊州农村商业银行股份有限公司、宁波慈溪农村商业银行股份有限公司、浙江龙泉农村商业银行股份有限公司、浙江台州路桥农村商业银行股份有限公司、浙江浦江农村商业银行股份有限公司、浙江青田农村商业银行股份有限公司、浙江德清农村商业银行股份有限公司、浙江建德农村商业银行股份有限公司、浙江绍兴瑞丰农村商业银行股份有限公司、浙江平湖农村商业银行股份有限公司、浙江龙游农村商业银行股份有限公司、浙江舟山普陀农村商业银行股份有限公司、杭州联合农村商业银行股份有限公司、浙江临安农村商业银行股份有限公司、浙江诸暨农村商业银行股份有限公司、浙江富阳农村商业银行股份有限公司、宁波余姚农村商业银行股份有限公司、浙江上虞农村商业银行股份有限公司、浙江兰溪农村商业银行股份有限公司、宁波北仑农村商业银行股份有限公司、浙江义乌农村商业银行股份有限公司、浙江桐乡农村商业银行股份有限公司、浙江衢州柯城农村商业银行股份有限公司、浙江松阳农村商业银行股份有限公司、浙江新昌农村商业银行股份有限公司、浙江江山农村商业银行股份有限公司、浙江衢州衢江农村商业银行股份有限公司、浙江桐庐农村商业银行股份有限公司、浙江缙云农村商业银行股份有限公司、浙江温岭农村商业银行股份有限公司、浙江萧山农村商业银行股份有限公司、浙江仙居农村商业银行股份有限公司、浙江长兴农村商业银行股份有限公司、浙江天台农村商业银行股份有限公司、浙江开化农村商业银行股份有限公司、浙江杭州余杭农村商业银行股份有限公司、浙江海宁农村商业银行股份有限公司、浙江遂昌农村商业银行股份有限公司、浙江临海农村商业银行股份有限公司、浙江庆元农村商业银行股份有限公司、浙江丽水莲都农村商业银行股份有限公司、浙江武义农村商业银行股份有限公司、浙江台州黄岩农村商业银行股份有限公司、浙江金华成泰农村商业银行股份有限公司、浙江禾城农村商业银行股份有限公司、浙江安吉农村商业银行股份有限公司、浙江绍兴恒信农村商业银行股份有限公司、宁波鄞州农村商业银行股份有限公司、浙江嘉善农村商业银行股份有限公司</w:t>
      </w:r>
    </w:p>
    <w:p w14:paraId="76D95D0A">
      <w:pPr>
        <w:spacing w:line="360" w:lineRule="auto"/>
        <w:ind w:firstLine="411" w:firstLineChars="196"/>
        <w:outlineLvl w:val="0"/>
        <w:rPr>
          <w:rFonts w:hint="eastAsia" w:ascii="宋体" w:hAnsi="宋体" w:eastAsia="宋体" w:cs="宋体"/>
          <w:color w:val="000000"/>
          <w:szCs w:val="21"/>
        </w:rPr>
      </w:pPr>
      <w:r>
        <w:rPr>
          <w:rFonts w:hint="eastAsia" w:ascii="宋体" w:hAnsi="宋体" w:eastAsia="宋体" w:cs="宋体"/>
          <w:color w:val="000000"/>
          <w:szCs w:val="21"/>
        </w:rPr>
        <w:t>客户服务热线：96596</w:t>
      </w:r>
    </w:p>
    <w:p w14:paraId="6AC2CCAA">
      <w:pPr>
        <w:spacing w:line="360" w:lineRule="auto"/>
        <w:ind w:firstLine="411" w:firstLineChars="196"/>
        <w:outlineLvl w:val="0"/>
        <w:rPr>
          <w:rFonts w:ascii="宋体" w:hAnsi="宋体" w:eastAsia="宋体" w:cs="宋体"/>
          <w:color w:val="000000"/>
          <w:szCs w:val="21"/>
        </w:rPr>
      </w:pPr>
      <w:r>
        <w:rPr>
          <w:rFonts w:hint="eastAsia" w:ascii="宋体" w:hAnsi="宋体" w:eastAsia="宋体" w:cs="宋体"/>
          <w:color w:val="000000"/>
          <w:szCs w:val="21"/>
        </w:rPr>
        <w:t>官方网站：www.zj96596.com</w:t>
      </w:r>
    </w:p>
    <w:p w14:paraId="61D4E1C4">
      <w:pPr>
        <w:numPr>
          <w:ilvl w:val="0"/>
          <w:numId w:val="2"/>
        </w:numPr>
        <w:spacing w:line="360" w:lineRule="auto"/>
        <w:ind w:firstLine="411" w:firstLineChars="196"/>
        <w:outlineLvl w:val="0"/>
        <w:rPr>
          <w:rFonts w:ascii="宋体" w:hAnsi="宋体" w:eastAsia="宋体" w:cs="宋体"/>
          <w:color w:val="000000"/>
          <w:szCs w:val="21"/>
        </w:rPr>
      </w:pPr>
      <w:r>
        <w:rPr>
          <w:rFonts w:hint="eastAsia" w:ascii="宋体" w:hAnsi="宋体" w:eastAsia="宋体" w:cs="宋体"/>
          <w:color w:val="000000"/>
          <w:szCs w:val="21"/>
        </w:rPr>
        <w:t>产品管理人的联络方式</w:t>
      </w:r>
    </w:p>
    <w:p w14:paraId="0CEB130B">
      <w:pPr>
        <w:spacing w:line="360" w:lineRule="auto"/>
        <w:ind w:firstLine="420" w:firstLineChars="200"/>
        <w:outlineLvl w:val="0"/>
        <w:rPr>
          <w:rFonts w:hint="eastAsia" w:ascii="宋体" w:hAnsi="宋体" w:eastAsia="宋体" w:cs="宋体"/>
          <w:color w:val="000000"/>
          <w:szCs w:val="21"/>
        </w:rPr>
      </w:pPr>
      <w:r>
        <w:rPr>
          <w:rFonts w:hint="eastAsia" w:ascii="宋体" w:hAnsi="宋体" w:eastAsia="宋体" w:cs="宋体"/>
          <w:color w:val="000000"/>
          <w:szCs w:val="21"/>
        </w:rPr>
        <w:t>北银理财通讯地址：北京市西城区金融大街甲9号金融街中心大厦A座11层，邮编：100035</w:t>
      </w:r>
    </w:p>
    <w:p w14:paraId="27D8ECA5">
      <w:pPr>
        <w:spacing w:line="360" w:lineRule="auto"/>
        <w:ind w:firstLine="420" w:firstLineChars="200"/>
        <w:outlineLvl w:val="0"/>
        <w:rPr>
          <w:rFonts w:ascii="宋体" w:hAnsi="宋体" w:eastAsia="宋体" w:cs="宋体"/>
          <w:b/>
          <w:bCs/>
          <w:color w:val="000000"/>
          <w:szCs w:val="21"/>
        </w:rPr>
      </w:pPr>
      <w:r>
        <w:rPr>
          <w:rFonts w:hint="eastAsia" w:ascii="宋体" w:hAnsi="宋体" w:eastAsia="宋体" w:cs="宋体"/>
          <w:b w:val="0"/>
          <w:bCs w:val="0"/>
          <w:color w:val="000000"/>
          <w:szCs w:val="21"/>
          <w:lang w:val="en-US" w:eastAsia="zh-CN"/>
        </w:rPr>
        <w:t>北银理财官方网站：</w:t>
      </w:r>
      <w:r>
        <w:rPr>
          <w:rFonts w:hint="eastAsia" w:ascii="宋体" w:hAnsi="宋体" w:eastAsia="宋体" w:cs="宋体"/>
          <w:color w:val="000000"/>
          <w:szCs w:val="21"/>
        </w:rPr>
        <w:t>www.beijingbobwealth.com.cn</w:t>
      </w:r>
    </w:p>
    <w:p w14:paraId="461B013E">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声明：本人/本公司知悉《风险揭示书》、《理财产品投资协议书》、《理财产品说明书》、《投资者权益须知》和《销售（代理销售）协议书》等共同构成本理财产品完整的不可分割的理财产品销售文件，本人/本公司确认已经收到本理财产品完整销售文件，且已经认真阅读、理解并接受所有条款及相关法律规定，确认已经获得满意的信息披露，理解并认可本理财产品的性质、风险及可能的损失，并愿意承担且有能力承担该等风险。</w:t>
      </w:r>
    </w:p>
    <w:p w14:paraId="22E4B292">
      <w:pPr>
        <w:widowControl w:val="0"/>
        <w:spacing w:before="120" w:after="12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（以下无正文，为《投资者权益须知》签署栏）</w:t>
      </w:r>
    </w:p>
    <w:p w14:paraId="558E1E80">
      <w:pPr>
        <w:spacing w:line="360" w:lineRule="auto"/>
        <w:ind w:firstLine="422" w:firstLineChars="200"/>
        <w:rPr>
          <w:rFonts w:ascii="宋体" w:hAnsi="宋体" w:eastAsia="宋体" w:cs="宋体"/>
          <w:b/>
          <w:bCs/>
          <w:color w:val="000000"/>
          <w:szCs w:val="21"/>
        </w:rPr>
      </w:pPr>
    </w:p>
    <w:p w14:paraId="39A8EBD1">
      <w:pPr>
        <w:widowControl w:val="0"/>
        <w:spacing w:after="0"/>
        <w:ind w:left="420" w:leftChars="200" w:firstLine="360"/>
        <w:jc w:val="both"/>
        <w:rPr>
          <w:rFonts w:ascii="Times New Roman" w:hAnsi="Times New Roman" w:eastAsia="宋体" w:cs="Times New Roman"/>
          <w:color w:val="000000"/>
          <w:kern w:val="2"/>
          <w:sz w:val="21"/>
          <w:szCs w:val="21"/>
          <w:lang w:val="en-US" w:eastAsia="zh-CN" w:bidi="ar-SA"/>
        </w:rPr>
      </w:pPr>
    </w:p>
    <w:p w14:paraId="5E8FF3BE">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个人投资者（签名）：</w:t>
      </w:r>
    </w:p>
    <w:p w14:paraId="23EEB0A4">
      <w:pPr>
        <w:spacing w:line="360" w:lineRule="auto"/>
        <w:ind w:firstLine="5460" w:firstLineChars="2600"/>
        <w:rPr>
          <w:rFonts w:ascii="宋体" w:hAnsi="宋体" w:eastAsia="宋体" w:cs="宋体"/>
          <w:color w:val="000000"/>
          <w:szCs w:val="21"/>
        </w:rPr>
      </w:pPr>
      <w:r>
        <w:rPr>
          <w:rFonts w:hint="eastAsia" w:ascii="宋体" w:hAnsi="宋体" w:eastAsia="宋体" w:cs="宋体"/>
          <w:color w:val="000000"/>
          <w:szCs w:val="21"/>
        </w:rPr>
        <w:t>日期：</w:t>
      </w:r>
    </w:p>
    <w:p w14:paraId="2F93334C">
      <w:pPr>
        <w:widowControl w:val="0"/>
        <w:spacing w:after="0"/>
        <w:ind w:left="420" w:leftChars="200" w:firstLine="360"/>
        <w:jc w:val="both"/>
        <w:rPr>
          <w:rFonts w:ascii="宋体" w:hAnsi="宋体" w:eastAsia="宋体" w:cs="宋体"/>
          <w:color w:val="000000"/>
          <w:kern w:val="2"/>
          <w:sz w:val="21"/>
          <w:szCs w:val="21"/>
          <w:lang w:val="en-US" w:eastAsia="zh-CN" w:bidi="ar-SA"/>
        </w:rPr>
      </w:pPr>
    </w:p>
    <w:p w14:paraId="3F66EF87">
      <w:pPr>
        <w:widowControl w:val="0"/>
        <w:spacing w:before="120" w:after="120"/>
        <w:jc w:val="both"/>
        <w:rPr>
          <w:rFonts w:ascii="宋体" w:hAnsi="宋体" w:eastAsia="宋体" w:cs="宋体"/>
          <w:color w:val="000000"/>
          <w:kern w:val="2"/>
          <w:sz w:val="21"/>
          <w:szCs w:val="21"/>
          <w:lang w:val="en-US" w:eastAsia="zh-CN" w:bidi="ar-SA"/>
        </w:rPr>
      </w:pPr>
    </w:p>
    <w:p w14:paraId="72A669D1">
      <w:pPr>
        <w:rPr>
          <w:rFonts w:ascii="宋体" w:hAnsi="宋体" w:eastAsia="宋体" w:cs="宋体"/>
          <w:color w:val="000000"/>
          <w:szCs w:val="21"/>
        </w:rPr>
      </w:pPr>
    </w:p>
    <w:p w14:paraId="22F8776E">
      <w:pPr>
        <w:widowControl w:val="0"/>
        <w:spacing w:after="0"/>
        <w:ind w:left="420" w:leftChars="200" w:firstLine="360"/>
        <w:jc w:val="both"/>
        <w:rPr>
          <w:rFonts w:ascii="Times New Roman" w:hAnsi="Times New Roman" w:eastAsia="宋体" w:cs="Times New Roman"/>
          <w:color w:val="000000"/>
          <w:kern w:val="2"/>
          <w:sz w:val="21"/>
          <w:szCs w:val="21"/>
          <w:lang w:val="en-US" w:eastAsia="zh-CN" w:bidi="ar-SA"/>
        </w:rPr>
      </w:pPr>
    </w:p>
    <w:p w14:paraId="7118AA1F">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机构投资者（盖章）：</w:t>
      </w:r>
    </w:p>
    <w:p w14:paraId="2B1C2E6F">
      <w:pPr>
        <w:spacing w:line="360" w:lineRule="auto"/>
        <w:rPr>
          <w:rFonts w:ascii="宋体" w:hAnsi="宋体" w:eastAsia="宋体" w:cs="宋体"/>
          <w:color w:val="000000"/>
          <w:szCs w:val="21"/>
        </w:rPr>
      </w:pPr>
      <w:r>
        <w:rPr>
          <w:rFonts w:hint="eastAsia" w:ascii="宋体" w:hAnsi="宋体" w:eastAsia="宋体" w:cs="宋体"/>
          <w:color w:val="000000"/>
          <w:szCs w:val="21"/>
        </w:rPr>
        <w:t>机构投资者法定代表人（或负责人）或授权代表（签名或盖章）：</w:t>
      </w:r>
    </w:p>
    <w:p w14:paraId="7D9EA8E2">
      <w:pPr>
        <w:autoSpaceDE w:val="0"/>
        <w:autoSpaceDN w:val="0"/>
        <w:adjustRightInd w:val="0"/>
        <w:spacing w:line="360" w:lineRule="auto"/>
        <w:ind w:firstLine="5460" w:firstLineChars="2600"/>
        <w:rPr>
          <w:rFonts w:ascii="宋体" w:hAnsi="宋体" w:eastAsia="宋体" w:cs="宋体"/>
          <w:color w:val="000000"/>
          <w:szCs w:val="21"/>
        </w:rPr>
      </w:pPr>
      <w:r>
        <w:rPr>
          <w:rFonts w:hint="eastAsia" w:ascii="宋体" w:hAnsi="宋体" w:eastAsia="宋体" w:cs="宋体"/>
          <w:color w:val="000000"/>
          <w:szCs w:val="21"/>
        </w:rPr>
        <w:t>日期：</w:t>
      </w:r>
    </w:p>
    <w:p w14:paraId="712B6397">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kern w:val="2"/>
        <w:sz w:val="21"/>
        <w:szCs w:val="24"/>
        <w:lang w:val="en-US" w:eastAsia="zh-CN" w:bidi="ar-SA"/>
      </w:rPr>
      <w:id w:val="4123877"/>
    </w:sdtPr>
    <w:sdtEndPr>
      <w:rPr>
        <w:rFonts w:ascii="Times New Roman" w:hAnsi="Times New Roman" w:eastAsia="宋体" w:cs="Times New Roman"/>
        <w:kern w:val="2"/>
        <w:sz w:val="18"/>
        <w:szCs w:val="18"/>
        <w:lang w:val="en-US" w:eastAsia="zh-CN" w:bidi="ar-SA"/>
      </w:rPr>
    </w:sdtEndPr>
    <w:sdtContent>
      <w:sdt>
        <w:sdtPr>
          <w:rPr>
            <w:rFonts w:ascii="Times New Roman" w:hAnsi="Times New Roman" w:eastAsia="宋体" w:cs="Times New Roman"/>
            <w:kern w:val="2"/>
            <w:sz w:val="21"/>
            <w:szCs w:val="24"/>
            <w:lang w:val="en-US" w:eastAsia="zh-CN" w:bidi="ar-SA"/>
          </w:rPr>
          <w:id w:val="171357217"/>
        </w:sdtPr>
        <w:sdtEndPr>
          <w:rPr>
            <w:rFonts w:ascii="Times New Roman" w:hAnsi="Times New Roman" w:eastAsia="宋体" w:cs="Times New Roman"/>
            <w:kern w:val="2"/>
            <w:sz w:val="18"/>
            <w:szCs w:val="18"/>
            <w:lang w:val="en-US" w:eastAsia="zh-CN" w:bidi="ar-SA"/>
          </w:rPr>
        </w:sdtEndPr>
        <w:sdtContent>
          <w:p w14:paraId="22EB459F">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zh-CN" w:eastAsia="zh-CN" w:bidi="ar-SA"/>
              </w:rPr>
              <w:t xml:space="preserve">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PAGE</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36</w:t>
            </w:r>
            <w:r>
              <w:rPr>
                <w:rFonts w:ascii="Times New Roman" w:hAnsi="Times New Roman" w:eastAsia="宋体" w:cs="Times New Roman"/>
                <w:b/>
                <w:kern w:val="2"/>
                <w:sz w:val="24"/>
                <w:szCs w:val="24"/>
                <w:lang w:val="en-US" w:eastAsia="zh-CN" w:bidi="ar-SA"/>
              </w:rPr>
              <w:fldChar w:fldCharType="end"/>
            </w:r>
            <w:r>
              <w:rPr>
                <w:rFonts w:ascii="Times New Roman" w:hAnsi="Times New Roman" w:eastAsia="宋体" w:cs="Times New Roman"/>
                <w:kern w:val="2"/>
                <w:sz w:val="18"/>
                <w:szCs w:val="18"/>
                <w:lang w:val="zh-CN" w:eastAsia="zh-CN" w:bidi="ar-SA"/>
              </w:rPr>
              <w:t xml:space="preserve"> /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NUMPAGES</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44</w:t>
            </w:r>
            <w:r>
              <w:rPr>
                <w:rFonts w:ascii="Times New Roman" w:hAnsi="Times New Roman" w:eastAsia="宋体" w:cs="Times New Roman"/>
                <w:b/>
                <w:kern w:val="2"/>
                <w:sz w:val="24"/>
                <w:szCs w:val="24"/>
                <w:lang w:val="en-US" w:eastAsia="zh-CN" w:bidi="ar-SA"/>
              </w:rPr>
              <w:fldChar w:fldCharType="end"/>
            </w:r>
          </w:p>
        </w:sdtContent>
      </w:sdt>
    </w:sdtContent>
  </w:sdt>
  <w:p w14:paraId="68B33BAB">
    <w:pPr>
      <w:widowControl w:val="0"/>
      <w:tabs>
        <w:tab w:val="center" w:pos="4153"/>
        <w:tab w:val="right" w:pos="8306"/>
      </w:tabs>
      <w:snapToGrid w:val="0"/>
      <w:jc w:val="center"/>
      <w:rPr>
        <w:rFonts w:ascii="Times New Roman" w:hAnsi="Times New Roman" w:eastAsia="宋体" w:cs="Times New Roman"/>
        <w:kern w:val="2"/>
        <w:sz w:val="21"/>
        <w:szCs w:val="21"/>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C0F4B">
    <w:pPr>
      <w:framePr w:wrap="around" w:vAnchor="text" w:hAnchor="margin" w:xAlign="center" w:y="1"/>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14:paraId="0C1A6637">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06670">
    <w:pPr>
      <w:rPr>
        <w:rFonts w:ascii="Times New Roman" w:hAnsi="Times New Roman" w:eastAsia="宋体" w:cs="Times New Roman"/>
        <w:b/>
        <w:u w:val="single"/>
      </w:rPr>
    </w:pPr>
    <w:r>
      <w:rPr>
        <w:rFonts w:hint="eastAsia" w:ascii="黑体" w:hAnsi="黑体" w:eastAsia="黑体" w:cs="Times New Roman"/>
        <w:b/>
      </w:rPr>
      <w:t>北银理财·</w:t>
    </w:r>
    <w:r>
      <w:rPr>
        <w:rFonts w:hint="eastAsia" w:ascii="黑体" w:hAnsi="黑体" w:eastAsia="黑体" w:cs="Times New Roman"/>
        <w:b/>
        <w:color w:val="auto"/>
      </w:rPr>
      <w:t>春系列易淘金</w:t>
    </w:r>
    <w:r>
      <w:rPr>
        <w:rFonts w:hint="eastAsia" w:ascii="黑体" w:hAnsi="黑体" w:eastAsia="黑体" w:cs="Times New Roman"/>
        <w:b/>
        <w:color w:val="FF0000"/>
      </w:rPr>
      <w:t xml:space="preserve"> </w:t>
    </w:r>
    <w:r>
      <w:rPr>
        <w:rFonts w:hint="eastAsia" w:ascii="黑体" w:hAnsi="黑体" w:eastAsia="黑体" w:cs="Times New Roman"/>
        <w:b/>
      </w:rPr>
      <w:t xml:space="preserve">     </w:t>
    </w:r>
    <w:r>
      <w:rPr>
        <w:rFonts w:hint="eastAsia" w:ascii="黑体" w:hAnsi="黑体" w:eastAsia="黑体" w:cs="Times New Roman"/>
        <w:b/>
        <w:sz w:val="24"/>
        <w:szCs w:val="32"/>
      </w:rPr>
      <w:t>理财非存款，产品有风险，投资须谨慎！</w:t>
    </w:r>
    <w:r>
      <w:rPr>
        <w:rFonts w:ascii="Times New Roman" w:hAnsi="Times New Roman" w:eastAsia="宋体" w:cs="Times New Roman"/>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000000"/>
    <w:rsid w:val="084A0EA6"/>
    <w:rsid w:val="08CE7EA0"/>
    <w:rsid w:val="0E7436A2"/>
    <w:rsid w:val="275E6049"/>
    <w:rsid w:val="31FF71EA"/>
    <w:rsid w:val="32134DB6"/>
    <w:rsid w:val="38973718"/>
    <w:rsid w:val="424F2CF6"/>
    <w:rsid w:val="46523F90"/>
    <w:rsid w:val="601B50B8"/>
    <w:rsid w:val="63141C32"/>
    <w:rsid w:val="72534E9D"/>
    <w:rsid w:val="751402A4"/>
    <w:rsid w:val="7EFF4131"/>
    <w:rsid w:val="7FBD7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next w:val="3"/>
    <w:unhideWhenUsed/>
    <w:qFormat/>
    <w:uiPriority w:val="99"/>
    <w:pPr>
      <w:widowControl w:val="0"/>
      <w:spacing w:after="0"/>
      <w:ind w:left="360" w:leftChars="200" w:firstLine="360"/>
      <w:jc w:val="both"/>
    </w:pPr>
    <w:rPr>
      <w:rFonts w:ascii="Times New Roman" w:hAnsi="Times New Roman" w:eastAsia="宋体" w:cs="Times New Roman"/>
      <w:kern w:val="0"/>
      <w:sz w:val="20"/>
      <w:szCs w:val="21"/>
      <w:lang w:val="en-US" w:eastAsia="zh-CN" w:bidi="ar-SA"/>
    </w:rPr>
  </w:style>
  <w:style w:type="paragraph" w:styleId="3">
    <w:name w:val="Body Text"/>
    <w:unhideWhenUsed/>
    <w:qFormat/>
    <w:uiPriority w:val="99"/>
    <w:pPr>
      <w:widowControl w:val="0"/>
      <w:spacing w:before="120" w:after="12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20"/>
      <w:ind w:left="420" w:leftChars="200"/>
      <w:jc w:val="both"/>
    </w:pPr>
    <w:rPr>
      <w:rFonts w:ascii="Times New Roman" w:hAnsi="Times New Roman" w:eastAsia="宋体" w:cs="Times New Roman"/>
      <w:kern w:val="0"/>
      <w:sz w:val="20"/>
      <w:szCs w:val="21"/>
      <w:lang w:val="en-US" w:eastAsia="zh-CN" w:bidi="ar-SA"/>
    </w:rPr>
  </w:style>
  <w:style w:type="character" w:customStyle="1" w:styleId="7">
    <w:name w:val="15"/>
    <w:basedOn w:val="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1</Lines>
  <Paragraphs>1</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2026-05-12T01:44:00Z</dcterms:created>
  <dc:creator>Administrator</dc:creator>
  <cp:lastModifiedBy>00031</cp:lastModifiedBy>
  <dcterms:modified xsi:type="dcterms:W3CDTF">2026-05-13T07:40:26Z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AEF8A24D645947C5880E3553D650EFDC</vt:lpwstr>
  </property>
</Properties>
</file>