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27F38">
      <w:pPr>
        <w:tabs>
          <w:tab w:val="left" w:pos="915"/>
          <w:tab w:val="center" w:pos="5273"/>
        </w:tabs>
        <w:spacing w:before="50"/>
        <w:jc w:val="center"/>
        <w:outlineLvl w:val="0"/>
        <w:rPr>
          <w:rFonts w:hint="eastAsia" w:ascii="黑体" w:hAnsi="Times New Roman" w:eastAsia="黑体" w:cs="Times New Roman"/>
          <w:b/>
          <w:bCs/>
          <w:color w:val="000000"/>
          <w:sz w:val="30"/>
          <w:szCs w:val="30"/>
        </w:rPr>
      </w:pPr>
      <w:bookmarkStart w:id="0" w:name="_GoBack"/>
      <w:bookmarkEnd w:id="0"/>
      <w:r>
        <w:rPr>
          <w:rFonts w:hint="eastAsia" w:ascii="黑体" w:hAnsi="Times New Roman" w:eastAsia="黑体" w:cs="Times New Roman"/>
          <w:b/>
          <w:bCs/>
          <w:color w:val="000000"/>
          <w:sz w:val="30"/>
          <w:szCs w:val="30"/>
        </w:rPr>
        <w:t>北银理财京华远见春系列易淘金2号现金管理类理财产品</w:t>
      </w:r>
    </w:p>
    <w:p w14:paraId="543D97A4">
      <w:pPr>
        <w:tabs>
          <w:tab w:val="left" w:pos="915"/>
          <w:tab w:val="center" w:pos="5273"/>
        </w:tabs>
        <w:spacing w:before="50"/>
        <w:jc w:val="center"/>
        <w:outlineLvl w:val="0"/>
        <w:rPr>
          <w:rFonts w:ascii="黑体" w:hAnsi="Times New Roman" w:eastAsia="黑体" w:cs="Times New Roman"/>
          <w:b/>
          <w:bCs/>
          <w:color w:val="000000"/>
          <w:sz w:val="28"/>
          <w:szCs w:val="28"/>
        </w:rPr>
      </w:pPr>
      <w:r>
        <w:rPr>
          <w:rFonts w:hint="eastAsia" w:ascii="黑体" w:hAnsi="Times New Roman" w:eastAsia="黑体" w:cs="Times New Roman"/>
          <w:b/>
          <w:bCs/>
          <w:color w:val="000000"/>
          <w:sz w:val="30"/>
          <w:szCs w:val="30"/>
        </w:rPr>
        <w:t>（产品登记编码：Z7008923000177）</w:t>
      </w:r>
    </w:p>
    <w:p w14:paraId="7E2E2EAB">
      <w:pPr>
        <w:tabs>
          <w:tab w:val="left" w:pos="915"/>
          <w:tab w:val="center" w:pos="5273"/>
        </w:tabs>
        <w:spacing w:before="50"/>
        <w:jc w:val="center"/>
        <w:outlineLvl w:val="0"/>
        <w:rPr>
          <w:rFonts w:ascii="黑体" w:hAnsi="楷体" w:eastAsia="黑体" w:cs="Times New Roman"/>
          <w:b/>
          <w:color w:val="000000"/>
          <w:sz w:val="30"/>
          <w:szCs w:val="30"/>
        </w:rPr>
      </w:pPr>
      <w:r>
        <w:rPr>
          <w:rFonts w:hint="eastAsia" w:ascii="黑体" w:hAnsi="楷体" w:eastAsia="黑体" w:cs="Times New Roman"/>
          <w:b/>
          <w:color w:val="000000"/>
          <w:sz w:val="30"/>
          <w:szCs w:val="30"/>
        </w:rPr>
        <w:t>理财产品投资协议书</w:t>
      </w:r>
    </w:p>
    <w:p w14:paraId="3E700F6F">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理财非存款，产品有风险，投资须谨慎。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14:paraId="7A46F34D">
      <w:pPr>
        <w:spacing w:line="360" w:lineRule="auto"/>
        <w:ind w:firstLine="422" w:firstLineChars="200"/>
        <w:rPr>
          <w:rFonts w:hint="eastAsia" w:ascii="宋体" w:hAnsi="宋体" w:eastAsia="宋体" w:cs="宋体"/>
          <w:b/>
          <w:bCs/>
          <w:color w:val="000000"/>
          <w:szCs w:val="21"/>
        </w:rPr>
      </w:pPr>
      <w:r>
        <w:rPr>
          <w:rFonts w:hint="eastAsia" w:ascii="宋体" w:hAnsi="宋体" w:eastAsia="宋体" w:cs="宋体"/>
          <w:b/>
          <w:bCs/>
          <w:color w:val="000000"/>
          <w:szCs w:val="21"/>
        </w:rPr>
        <w:t>投资者若对本理财产品销售文件的内容有任何疑问，请及时向产品管理人或销售机构咨询，在慎重考虑后独立作出是否认购/申购本理财产品的决定。在购买本理财产品后，请关注本理财产品的信息披露情况，及时获取相关信息。</w:t>
      </w:r>
    </w:p>
    <w:p w14:paraId="3D2114D3">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投资者可依据该产品登记编码在“</w:t>
      </w:r>
      <w:r>
        <w:rPr>
          <w:rFonts w:hint="eastAsia" w:ascii="宋体" w:hAnsi="宋体" w:eastAsia="宋体" w:cs="宋体"/>
          <w:b/>
          <w:bCs/>
          <w:color w:val="000000"/>
          <w:szCs w:val="21"/>
          <w:lang w:eastAsia="zh-CN"/>
        </w:rPr>
        <w:t>中国理财网</w:t>
      </w:r>
      <w:r>
        <w:rPr>
          <w:rFonts w:hint="eastAsia" w:ascii="宋体" w:hAnsi="宋体" w:eastAsia="宋体" w:cs="宋体"/>
          <w:b/>
          <w:bCs/>
          <w:color w:val="000000"/>
          <w:szCs w:val="21"/>
        </w:rPr>
        <w:t>”查询本理财产品信息，“</w:t>
      </w:r>
      <w:r>
        <w:rPr>
          <w:rFonts w:hint="eastAsia" w:ascii="宋体" w:hAnsi="宋体" w:eastAsia="宋体" w:cs="宋体"/>
          <w:b/>
          <w:bCs/>
          <w:color w:val="000000"/>
          <w:szCs w:val="21"/>
          <w:lang w:eastAsia="zh-CN"/>
        </w:rPr>
        <w:t>中国理财网</w:t>
      </w:r>
      <w:r>
        <w:rPr>
          <w:rFonts w:hint="eastAsia" w:ascii="宋体" w:hAnsi="宋体" w:eastAsia="宋体" w:cs="宋体"/>
          <w:b/>
          <w:bCs/>
          <w:color w:val="000000"/>
          <w:szCs w:val="21"/>
        </w:rPr>
        <w:t>”网址：</w:t>
      </w:r>
      <w:r>
        <w:rPr>
          <w:rFonts w:hint="eastAsia" w:ascii="宋体" w:hAnsi="宋体" w:eastAsia="宋体" w:cs="宋体"/>
          <w:b/>
          <w:bCs/>
          <w:color w:val="000000"/>
          <w:szCs w:val="21"/>
        </w:rPr>
        <w:fldChar w:fldCharType="begin"/>
      </w:r>
      <w:r>
        <w:rPr>
          <w:rFonts w:hint="eastAsia" w:ascii="宋体" w:hAnsi="宋体" w:eastAsia="宋体" w:cs="宋体"/>
          <w:b/>
          <w:bCs/>
          <w:color w:val="000000"/>
          <w:szCs w:val="21"/>
        </w:rPr>
        <w:instrText xml:space="preserve"> HYPERLINK "http://www.chinawealth.com.cn。" </w:instrText>
      </w:r>
      <w:r>
        <w:rPr>
          <w:rFonts w:hint="eastAsia" w:ascii="宋体" w:hAnsi="宋体" w:eastAsia="宋体" w:cs="宋体"/>
          <w:b/>
          <w:bCs/>
          <w:color w:val="000000"/>
          <w:szCs w:val="21"/>
        </w:rPr>
        <w:fldChar w:fldCharType="separate"/>
      </w:r>
      <w:r>
        <w:rPr>
          <w:rFonts w:hint="eastAsia" w:ascii="宋体" w:hAnsi="宋体" w:eastAsia="宋体" w:cs="宋体"/>
          <w:b/>
          <w:bCs/>
          <w:color w:val="000000"/>
          <w:szCs w:val="21"/>
          <w:u w:val="single"/>
        </w:rPr>
        <w:t>www.chinawealth.com.cn</w:t>
      </w:r>
      <w:r>
        <w:rPr>
          <w:rFonts w:hint="eastAsia" w:ascii="宋体" w:hAnsi="宋体" w:eastAsia="宋体" w:cs="宋体"/>
          <w:b/>
          <w:bCs/>
          <w:color w:val="000000"/>
          <w:szCs w:val="21"/>
        </w:rPr>
        <w:fldChar w:fldCharType="end"/>
      </w:r>
      <w:r>
        <w:rPr>
          <w:rFonts w:hint="eastAsia" w:ascii="宋体" w:hAnsi="宋体" w:eastAsia="宋体" w:cs="宋体"/>
          <w:b/>
          <w:bCs/>
          <w:color w:val="000000"/>
          <w:szCs w:val="21"/>
          <w:lang w:eastAsia="zh-CN"/>
        </w:rPr>
        <w:t>。</w:t>
      </w:r>
    </w:p>
    <w:p w14:paraId="16B81EE9">
      <w:pPr>
        <w:spacing w:line="360" w:lineRule="auto"/>
        <w:ind w:firstLine="422" w:firstLineChars="200"/>
        <w:outlineLvl w:val="0"/>
        <w:rPr>
          <w:rFonts w:ascii="宋体" w:hAnsi="宋体" w:eastAsia="宋体" w:cs="宋体"/>
          <w:color w:val="000000"/>
          <w:szCs w:val="21"/>
        </w:rPr>
      </w:pPr>
      <w:r>
        <w:rPr>
          <w:rFonts w:hint="eastAsia" w:ascii="宋体" w:hAnsi="宋体" w:eastAsia="宋体" w:cs="宋体"/>
          <w:b/>
          <w:color w:val="000000"/>
          <w:szCs w:val="21"/>
          <w:lang w:val="en-US" w:eastAsia="zh-CN"/>
        </w:rPr>
        <w:t>一</w:t>
      </w:r>
      <w:r>
        <w:rPr>
          <w:rFonts w:hint="eastAsia" w:ascii="宋体" w:hAnsi="宋体" w:eastAsia="宋体" w:cs="宋体"/>
          <w:b/>
          <w:color w:val="000000"/>
          <w:szCs w:val="21"/>
        </w:rPr>
        <w:t>、</w:t>
      </w:r>
      <w:r>
        <w:rPr>
          <w:rFonts w:hint="eastAsia" w:ascii="宋体" w:hAnsi="宋体" w:eastAsia="宋体" w:cs="宋体"/>
          <w:b/>
          <w:bCs/>
          <w:color w:val="000000"/>
          <w:szCs w:val="21"/>
        </w:rPr>
        <w:t>产品管理人</w:t>
      </w:r>
      <w:r>
        <w:rPr>
          <w:rFonts w:hint="eastAsia" w:ascii="宋体" w:hAnsi="宋体" w:eastAsia="宋体" w:cs="宋体"/>
          <w:b/>
          <w:bCs/>
          <w:color w:val="000000"/>
          <w:szCs w:val="21"/>
          <w:lang w:val="en-US" w:eastAsia="zh-CN"/>
        </w:rPr>
        <w:t>基本信息</w:t>
      </w:r>
    </w:p>
    <w:p w14:paraId="7570D3CE">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名称：北银理财有限责任公司</w:t>
      </w:r>
    </w:p>
    <w:p w14:paraId="647D4178">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住所：北京市通州区北皇木厂北街3号院1号楼13层1308室（门牌号1708室）</w:t>
      </w:r>
    </w:p>
    <w:p w14:paraId="65B0F559">
      <w:pPr>
        <w:spacing w:line="360" w:lineRule="auto"/>
        <w:ind w:firstLine="420" w:firstLineChars="200"/>
        <w:outlineLvl w:val="0"/>
        <w:rPr>
          <w:rFonts w:hint="eastAsia" w:ascii="宋体" w:hAnsi="宋体" w:eastAsia="宋体" w:cs="宋体"/>
          <w:b/>
          <w:bCs/>
          <w:color w:val="000000"/>
          <w:szCs w:val="21"/>
          <w:lang w:val="en-US" w:eastAsia="zh-CN"/>
        </w:rPr>
      </w:pPr>
      <w:r>
        <w:rPr>
          <w:rFonts w:hint="eastAsia" w:ascii="宋体" w:hAnsi="宋体" w:eastAsia="宋体" w:cs="宋体"/>
          <w:color w:val="000000"/>
          <w:szCs w:val="21"/>
        </w:rPr>
        <w:t>联系方式：www.beijingbobwealth.com.cn</w:t>
      </w:r>
    </w:p>
    <w:p w14:paraId="015AAC17">
      <w:pPr>
        <w:spacing w:line="360" w:lineRule="auto"/>
        <w:ind w:firstLine="422" w:firstLineChars="200"/>
        <w:outlineLvl w:val="0"/>
        <w:rPr>
          <w:rFonts w:ascii="宋体" w:hAnsi="宋体" w:eastAsia="宋体" w:cs="宋体"/>
          <w:color w:val="000000"/>
          <w:szCs w:val="21"/>
        </w:rPr>
      </w:pPr>
      <w:r>
        <w:rPr>
          <w:rFonts w:hint="eastAsia" w:ascii="宋体" w:hAnsi="宋体" w:eastAsia="宋体" w:cs="宋体"/>
          <w:b/>
          <w:bCs/>
          <w:color w:val="000000"/>
          <w:szCs w:val="21"/>
          <w:lang w:val="en-US" w:eastAsia="zh-CN"/>
        </w:rPr>
        <w:t>二、</w:t>
      </w:r>
      <w:r>
        <w:rPr>
          <w:rFonts w:hint="eastAsia" w:ascii="宋体" w:hAnsi="宋体" w:eastAsia="宋体" w:cs="宋体"/>
          <w:b/>
          <w:bCs/>
          <w:color w:val="000000"/>
          <w:szCs w:val="21"/>
        </w:rPr>
        <w:t>产品管理人的权利和义务</w:t>
      </w:r>
      <w:r>
        <w:rPr>
          <w:rFonts w:hint="eastAsia" w:ascii="宋体" w:hAnsi="宋体" w:eastAsia="宋体" w:cs="宋体"/>
          <w:color w:val="000000"/>
          <w:szCs w:val="21"/>
        </w:rPr>
        <w:t xml:space="preserve"> </w:t>
      </w:r>
    </w:p>
    <w:p w14:paraId="60A4292E">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（一）产品管理人的权利</w:t>
      </w:r>
    </w:p>
    <w:p w14:paraId="6B1F0826">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1.产品管理人有权根据法律法规、监管规定及本理财产品销售文件约定，对本理财产品进行资金运作和资产管理。</w:t>
      </w:r>
    </w:p>
    <w:p w14:paraId="1DC34B5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2.产品管理人有权根据本理财产品销售文件约定向投资者收取相关费用。</w:t>
      </w:r>
    </w:p>
    <w:p w14:paraId="44785894">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3.产品管理人有权以北银理财或本理财产品的名义，代表投资者利益行使诉讼权利或者实施其他法律行为，由此产生的费用由本理财产品承担。</w:t>
      </w:r>
    </w:p>
    <w:p w14:paraId="32B6ADD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4.产品管理人有权根据法律法规、监管规定及本理财产品销售文件约定，制订或调整本理财产品的业务规则，并按本理财产品销售文件相关约定进行信息披露。</w:t>
      </w:r>
    </w:p>
    <w:p w14:paraId="5BD440C4">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5.法律法规、监管规定及本理财产品销售文件约定的其他权利。</w:t>
      </w:r>
    </w:p>
    <w:p w14:paraId="47D2CE9C">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（二）产品管理人的义务</w:t>
      </w:r>
    </w:p>
    <w:p w14:paraId="58074DB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 xml:space="preserve">1.产品管理人应具备开办理财业务的经营资质，具有完全适当的资格和能力订立与履行本理财产品销售文件，保证以诚实信用、勤勉谨慎的原则管理和运用理财资金。 </w:t>
      </w:r>
    </w:p>
    <w:p w14:paraId="5B3C7B6A">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★2.产品管理人应按照《中华人民共和国个人信息保护法》等法律法规、监管规定、自律组织要求和本理财产品销售文件的约定，严格履行投资者信息保护义务。</w:t>
      </w:r>
    </w:p>
    <w:p w14:paraId="76FD39A5">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投资者在此授权并同意：</w:t>
      </w:r>
    </w:p>
    <w:p w14:paraId="0BD3AE3F">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1）产品管理人将遵循合法、正当、必要和诚信的原则，在为投资者办理本理财产品销售文件项下事项所必需的情形下，采取收集、存储、使用、加工、传输、提供等方式处理投资者信息，同时可向销售机构、托管机构、监管机构、自律组织、理财登记备案机构、投资合作机构、客户服务热线机构、理财快速赎回服务提供方等提供、留存投资者信息，并要求上述信息接收方按照法律法规规定履行投资者信息保护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司法部门或监管机构等要求披露或报送或投资者同意披露外，产品管理人不得向任何组织、个人提供或泄漏与投资者有关的资料和信息。</w:t>
      </w:r>
    </w:p>
    <w:p w14:paraId="53565C4C">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（2）产品管理人将根据适用的法律法规、监管规定对投资者及其持有本理财产品的相关信息进行登记，并传输给银行业理财登记托管中心。</w:t>
      </w:r>
    </w:p>
    <w:p w14:paraId="0723C016">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3）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14:paraId="230FDD66">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3.法律法规、监管规定及本理财产品销售文件约定的其他义务。</w:t>
      </w:r>
    </w:p>
    <w:p w14:paraId="3F05CC29">
      <w:pPr>
        <w:spacing w:line="360" w:lineRule="auto"/>
        <w:ind w:firstLine="422" w:firstLineChars="200"/>
        <w:outlineLvl w:val="0"/>
        <w:rPr>
          <w:rFonts w:ascii="宋体" w:hAnsi="宋体" w:eastAsia="宋体" w:cs="宋体"/>
          <w:b/>
          <w:bCs/>
          <w:color w:val="000000"/>
          <w:szCs w:val="21"/>
        </w:rPr>
      </w:pPr>
      <w:r>
        <w:rPr>
          <w:rFonts w:hint="eastAsia" w:ascii="宋体" w:hAnsi="宋体" w:eastAsia="宋体" w:cs="宋体"/>
          <w:b/>
          <w:bCs/>
          <w:color w:val="000000"/>
          <w:szCs w:val="21"/>
          <w:lang w:val="en-US" w:eastAsia="zh-CN"/>
        </w:rPr>
        <w:t>三</w:t>
      </w:r>
      <w:r>
        <w:rPr>
          <w:rFonts w:hint="eastAsia" w:ascii="宋体" w:hAnsi="宋体" w:eastAsia="宋体" w:cs="宋体"/>
          <w:b/>
          <w:bCs/>
          <w:color w:val="000000"/>
          <w:szCs w:val="21"/>
        </w:rPr>
        <w:t>、投资者的权利和义务</w:t>
      </w:r>
    </w:p>
    <w:p w14:paraId="6618CD42">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（一）投资者的权利</w:t>
      </w:r>
    </w:p>
    <w:p w14:paraId="46ED5AEA">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1.投资者有权根据本理财产品销售文件约定按其持有的理财产品份额获得投资回报。</w:t>
      </w:r>
    </w:p>
    <w:p w14:paraId="60F6417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2.投资者有权根据法律法规、监管规定及本理财产品销售文件约定查询获得本理财产品的相关信息资料。</w:t>
      </w:r>
    </w:p>
    <w:p w14:paraId="445302E8">
      <w:pPr>
        <w:spacing w:line="360" w:lineRule="auto"/>
        <w:ind w:firstLine="420" w:firstLineChars="200"/>
        <w:rPr>
          <w:rFonts w:ascii="Times New Roman" w:hAnsi="Times New Roman" w:eastAsia="宋体" w:cs="Times New Roman"/>
          <w:color w:val="000000"/>
        </w:rPr>
      </w:pPr>
      <w:r>
        <w:rPr>
          <w:rFonts w:hint="eastAsia" w:ascii="宋体" w:hAnsi="宋体" w:eastAsia="宋体" w:cs="宋体"/>
          <w:color w:val="000000"/>
          <w:szCs w:val="21"/>
        </w:rPr>
        <w:t>3.法律法规、监管规定及本理财产品销售文件约定的其他权利。</w:t>
      </w:r>
    </w:p>
    <w:p w14:paraId="3BB44AD6">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（二）投资者的义务</w:t>
      </w:r>
    </w:p>
    <w:p w14:paraId="3267D334">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1.投资者应具有完全适当的资格与能力订立并履行本理财产品销售文件，不存在法律、行政法规、监管要求、国家政策有关规定禁止或限制投资本理财产品的情形。</w:t>
      </w:r>
    </w:p>
    <w:p w14:paraId="3DCAC3E2">
      <w:pPr>
        <w:spacing w:line="360" w:lineRule="auto"/>
        <w:ind w:firstLine="420" w:firstLineChars="200"/>
        <w:rPr>
          <w:rFonts w:ascii="宋体" w:hAnsi="宋体" w:eastAsia="宋体" w:cs="宋体"/>
          <w:b/>
          <w:bCs/>
          <w:color w:val="000000"/>
          <w:szCs w:val="21"/>
        </w:rPr>
      </w:pPr>
      <w:r>
        <w:rPr>
          <w:rFonts w:hint="eastAsia" w:ascii="宋体" w:hAnsi="宋体" w:eastAsia="宋体" w:cs="宋体"/>
          <w:color w:val="000000"/>
          <w:szCs w:val="21"/>
        </w:rPr>
        <w:t>2.投资者应以真实身份投资本理财产品，保证提供给产品管理人和销售机构的所有信息和资料均真实、准确、完整、合法、有效。如发生变更，投资者应及时至销售机构办理变更手续。</w:t>
      </w:r>
      <w:r>
        <w:rPr>
          <w:rFonts w:hint="eastAsia" w:ascii="宋体" w:hAnsi="宋体" w:eastAsia="宋体" w:cs="宋体"/>
          <w:b/>
          <w:bCs/>
          <w:color w:val="000000"/>
          <w:szCs w:val="21"/>
        </w:rPr>
        <w:t>若投资者未及时办理相关变更手续，由此导致的一切后果由投资者自行承担，产品管理人对此不承担任何责任。</w:t>
      </w:r>
    </w:p>
    <w:p w14:paraId="2BF5BC4A">
      <w:pPr>
        <w:numPr>
          <w:ilvl w:val="255"/>
          <w:numId w:val="0"/>
        </w:num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3.投资者应确保其已清楚知晓本理财产品销售文件的构成与全部内容，</w:t>
      </w:r>
      <w:r>
        <w:rPr>
          <w:rFonts w:hint="eastAsia" w:ascii="宋体" w:hAnsi="宋体" w:eastAsia="宋体" w:cs="宋体"/>
          <w:b/>
          <w:bCs/>
          <w:color w:val="000000"/>
          <w:szCs w:val="21"/>
        </w:rPr>
        <w:t>投资者签署本协议即视为投资者已详细阅读并认可本理财产品销售文件，充分理解本理财产品销售文件各项条款和潜在风险，并已就投资于本理财产品作出独立判断，自愿购买本理财产品并遵守本理财产品销售文件全部约定。</w:t>
      </w:r>
    </w:p>
    <w:p w14:paraId="2DEB03E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4.投资者应确保签署和履行本理财产品销售文件系其真实意思表示，且投资者已经取得签署和履行本理财产品销售文件所需的一切有关批准、许可、登记或备案，已经按照其章程或者其他内部管理文件的要求取得合法、有效的授权（适用于机构投资者），且不会违反对其有约束力的任何合同和其他法律文件。</w:t>
      </w:r>
    </w:p>
    <w:p w14:paraId="7EAA065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5.投资者应确保理财投资资金为自有资金，资金来源和用途合法。投资者不得使用贷款、发行债券等筹集的非自有资金投资本理财产品，保证可向产品管理人和销售机构提供合法筹集的证明文件。</w:t>
      </w:r>
    </w:p>
    <w:p w14:paraId="1DC2B5C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 xml:space="preserve">6.投资者应确保系为合法之目的投资本理财产品，保证投资本理财产品不存在洗钱、多层嵌套、规避投资范围和杠杆约束等违法违规行为。 </w:t>
      </w:r>
    </w:p>
    <w:p w14:paraId="660232A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7.投资者应按产品管理人或销售机构要求开立指定账户，用于本理财产品的理财投资资金划转及理财产品收益分配（如有），投资者承诺持有本理财产品期间指定账户不做销户。</w:t>
      </w:r>
    </w:p>
    <w:p w14:paraId="7B21162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8.投资者应全额缴纳理财投资资金，</w:t>
      </w:r>
      <w:r>
        <w:rPr>
          <w:rFonts w:hint="eastAsia" w:ascii="宋体" w:hAnsi="宋体" w:eastAsia="宋体" w:cs="宋体"/>
          <w:b/>
          <w:bCs/>
          <w:color w:val="000000"/>
          <w:szCs w:val="21"/>
        </w:rPr>
        <w:t>由于投资者未存入理财投资资金或存入理财投资资金不足而导致交易失败的，产品管理人不承担任何责任。</w:t>
      </w:r>
    </w:p>
    <w:p w14:paraId="0049A999">
      <w:pPr>
        <w:spacing w:line="360" w:lineRule="auto"/>
        <w:ind w:firstLine="420" w:firstLineChars="200"/>
        <w:rPr>
          <w:rFonts w:ascii="宋体" w:hAnsi="宋体" w:eastAsia="宋体" w:cs="宋体"/>
          <w:color w:val="000000"/>
        </w:rPr>
      </w:pPr>
      <w:r>
        <w:rPr>
          <w:rFonts w:hint="eastAsia" w:ascii="宋体" w:hAnsi="宋体" w:eastAsia="宋体" w:cs="宋体"/>
          <w:color w:val="000000"/>
          <w:szCs w:val="21"/>
        </w:rPr>
        <w:t>9.法律法规、监管规定及本理财产品销售文件约定的其他义务。</w:t>
      </w:r>
    </w:p>
    <w:p w14:paraId="0A714C90">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w:t>
      </w:r>
      <w:r>
        <w:rPr>
          <w:rFonts w:hint="eastAsia" w:ascii="宋体" w:hAnsi="宋体" w:eastAsia="宋体" w:cs="宋体"/>
          <w:b/>
          <w:bCs/>
          <w:color w:val="000000"/>
          <w:szCs w:val="21"/>
          <w:lang w:val="en-US" w:eastAsia="zh-CN"/>
        </w:rPr>
        <w:t>四</w:t>
      </w:r>
      <w:r>
        <w:rPr>
          <w:rFonts w:hint="eastAsia" w:ascii="宋体" w:hAnsi="宋体" w:eastAsia="宋体" w:cs="宋体"/>
          <w:b/>
          <w:bCs/>
          <w:color w:val="000000"/>
          <w:szCs w:val="21"/>
        </w:rPr>
        <w:t>、免责条款</w:t>
      </w:r>
    </w:p>
    <w:p w14:paraId="3827BC97">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（一）由于不可抗力及/或意外事件导致的交易中断、延误等风险及损失，产品管理人不承担责任，但应在条件允许的情况下通知投资者，并采取一切必要的补救措施以减小不可抗力及/或意外事件造成的损失。</w:t>
      </w:r>
    </w:p>
    <w:p w14:paraId="779ECF9D">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（二）由于国家的有关法律、法规、规章、政策的改变、紧急措施的出台而导致的风险，产品管理人不承担责任。</w:t>
      </w:r>
    </w:p>
    <w:p w14:paraId="540BF346">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三）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及收益中扣除。</w:t>
      </w:r>
    </w:p>
    <w:p w14:paraId="7227D229">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四）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14:paraId="28C862EE">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（五）非因产品管理人原因（包括但不限于投资者遗失本理财产品销售文件、本理财产品销售文件被盗用等原因）造成的损失，产品管理人不承担责任。</w:t>
      </w:r>
    </w:p>
    <w:p w14:paraId="2DEA0AEC">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w:t>
      </w:r>
      <w:r>
        <w:rPr>
          <w:rFonts w:hint="eastAsia" w:ascii="宋体" w:hAnsi="宋体" w:eastAsia="宋体" w:cs="宋体"/>
          <w:b/>
          <w:bCs/>
          <w:color w:val="000000"/>
          <w:szCs w:val="21"/>
          <w:lang w:val="en-US" w:eastAsia="zh-CN"/>
        </w:rPr>
        <w:t>五</w:t>
      </w:r>
      <w:r>
        <w:rPr>
          <w:rFonts w:hint="eastAsia" w:ascii="宋体" w:hAnsi="宋体" w:eastAsia="宋体" w:cs="宋体"/>
          <w:b/>
          <w:bCs/>
          <w:color w:val="000000"/>
          <w:szCs w:val="21"/>
        </w:rPr>
        <w:t>、违约责任</w:t>
      </w:r>
    </w:p>
    <w:p w14:paraId="778515B1">
      <w:pPr>
        <w:widowControl w:val="0"/>
        <w:spacing w:after="0" w:line="360" w:lineRule="auto"/>
        <w:ind w:left="0" w:leftChars="0" w:firstLine="420" w:firstLineChars="200"/>
        <w:jc w:val="both"/>
        <w:rPr>
          <w:rFonts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14:paraId="643FDC22">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w:t>
      </w:r>
      <w:r>
        <w:rPr>
          <w:rFonts w:hint="eastAsia" w:ascii="宋体" w:hAnsi="宋体" w:eastAsia="宋体" w:cs="宋体"/>
          <w:b/>
          <w:bCs/>
          <w:color w:val="000000"/>
          <w:szCs w:val="21"/>
          <w:lang w:val="en-US" w:eastAsia="zh-CN"/>
        </w:rPr>
        <w:t>六</w:t>
      </w:r>
      <w:r>
        <w:rPr>
          <w:rFonts w:hint="eastAsia" w:ascii="宋体" w:hAnsi="宋体" w:eastAsia="宋体" w:cs="宋体"/>
          <w:b/>
          <w:bCs/>
          <w:color w:val="000000"/>
          <w:szCs w:val="21"/>
        </w:rPr>
        <w:t>、适用法律与争议解决</w:t>
      </w:r>
    </w:p>
    <w:p w14:paraId="07F987B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本理财产品销售文件适用中华人民共和国法律（为本理财产品销售文件目的，不包括香港特别行政区、澳门特别行政区和台湾地区）。本理财产品销售文件项下一切争议，</w:t>
      </w:r>
      <w:r>
        <w:rPr>
          <w:rFonts w:hint="eastAsia" w:ascii="宋体" w:hAnsi="宋体" w:eastAsia="宋体" w:cs="宋体"/>
          <w:b/>
          <w:bCs/>
          <w:color w:val="000000"/>
          <w:szCs w:val="21"/>
        </w:rPr>
        <w:t>双方协商不成的，应向产品管理人所在地有管辖权的人民法院提起诉讼，</w:t>
      </w:r>
      <w:r>
        <w:rPr>
          <w:rFonts w:hint="eastAsia" w:ascii="宋体" w:hAnsi="宋体" w:eastAsia="宋体" w:cs="宋体"/>
          <w:color w:val="000000"/>
          <w:szCs w:val="21"/>
        </w:rPr>
        <w:t xml:space="preserve">双方在本理财产品销售文件或补充协议中另有约定的除外。诉讼期间，未涉及争议的条款仍需履行。 </w:t>
      </w:r>
    </w:p>
    <w:p w14:paraId="044B045A">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w:t>
      </w:r>
      <w:r>
        <w:rPr>
          <w:rFonts w:hint="eastAsia" w:ascii="宋体" w:hAnsi="宋体" w:eastAsia="宋体" w:cs="宋体"/>
          <w:b/>
          <w:bCs/>
          <w:color w:val="000000"/>
          <w:szCs w:val="21"/>
          <w:lang w:val="en-US" w:eastAsia="zh-CN"/>
        </w:rPr>
        <w:t>七</w:t>
      </w:r>
      <w:r>
        <w:rPr>
          <w:rFonts w:hint="eastAsia" w:ascii="宋体" w:hAnsi="宋体" w:eastAsia="宋体" w:cs="宋体"/>
          <w:b/>
          <w:bCs/>
          <w:color w:val="000000"/>
          <w:szCs w:val="21"/>
        </w:rPr>
        <w:t>、生效条款</w:t>
      </w:r>
    </w:p>
    <w:p w14:paraId="00984E4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（一）本理财产品销售文件自</w:t>
      </w:r>
      <w:r>
        <w:rPr>
          <w:rFonts w:hint="eastAsia" w:ascii="Times New Roman" w:hAnsi="Times New Roman" w:eastAsia="宋体" w:cs="Times New Roman"/>
          <w:color w:val="000000"/>
        </w:rPr>
        <w:t>投资者完成购买手续、</w:t>
      </w:r>
      <w:r>
        <w:rPr>
          <w:rFonts w:hint="eastAsia" w:ascii="宋体" w:hAnsi="宋体" w:eastAsia="宋体" w:cs="宋体"/>
          <w:color w:val="000000"/>
          <w:szCs w:val="21"/>
        </w:rPr>
        <w:t>成功缴纳全额认购或申购资金并经北银理财系统确认认（申）购份额后成立并生效。</w:t>
      </w:r>
    </w:p>
    <w:p w14:paraId="6DE4C97B">
      <w:pPr>
        <w:spacing w:line="360" w:lineRule="auto"/>
        <w:ind w:firstLine="420" w:firstLineChars="200"/>
        <w:rPr>
          <w:rFonts w:ascii="宋体" w:hAnsi="宋体" w:eastAsia="宋体" w:cs="宋体"/>
          <w:b/>
          <w:bCs/>
          <w:color w:val="000000"/>
          <w:szCs w:val="21"/>
        </w:rPr>
      </w:pPr>
      <w:r>
        <w:rPr>
          <w:rFonts w:hint="eastAsia" w:ascii="宋体" w:hAnsi="宋体" w:eastAsia="宋体" w:cs="宋体"/>
          <w:color w:val="000000"/>
          <w:szCs w:val="21"/>
        </w:rPr>
        <w:t>（二）</w:t>
      </w:r>
      <w:r>
        <w:rPr>
          <w:rFonts w:hint="eastAsia" w:ascii="宋体" w:hAnsi="宋体" w:eastAsia="宋体" w:cs="宋体"/>
          <w:color w:val="000000"/>
        </w:rPr>
        <w:t>投资者确认其与产品管理人之间的权利义务以生效的本理财产品销售文件为准。在本理财产品销售文件生效前，产品管理人或销售机构以书面、口头、电子文档等形式向投资者提供或展示的任何关于本理财产品的文件、宣介材料、说明等，均不得对抗生效的本理财产品销售文件项下各自的权利和义务。</w:t>
      </w:r>
      <w:r>
        <w:rPr>
          <w:rFonts w:hint="eastAsia" w:ascii="宋体" w:hAnsi="宋体" w:eastAsia="宋体" w:cs="宋体"/>
          <w:b/>
          <w:bCs/>
          <w:color w:val="000000"/>
          <w:szCs w:val="21"/>
        </w:rPr>
        <w:t>投资者购买本理财产品后，如变更该笔理财产品销售文件的具体内容（包括但不限于交易变更、金额变更、投资者信息变更等），则以双方最近一次交易达成的交易内容为准。</w:t>
      </w:r>
    </w:p>
    <w:p w14:paraId="367C7967">
      <w:pPr>
        <w:spacing w:line="360" w:lineRule="auto"/>
        <w:ind w:firstLine="420" w:firstLineChars="200"/>
        <w:rPr>
          <w:rFonts w:ascii="宋体" w:hAnsi="宋体" w:eastAsia="宋体" w:cs="宋体"/>
          <w:color w:val="000000"/>
          <w:szCs w:val="21"/>
          <w:lang w:eastAsia="zh-Hans"/>
        </w:rPr>
      </w:pPr>
      <w:r>
        <w:rPr>
          <w:rFonts w:hint="eastAsia" w:ascii="宋体" w:hAnsi="宋体" w:eastAsia="宋体" w:cs="宋体"/>
          <w:color w:val="000000"/>
          <w:szCs w:val="21"/>
        </w:rPr>
        <w:t>（三）</w:t>
      </w:r>
      <w:r>
        <w:rPr>
          <w:rFonts w:hint="eastAsia" w:ascii="宋体" w:hAnsi="宋体" w:eastAsia="宋体" w:cs="宋体"/>
          <w:color w:val="000000"/>
          <w:szCs w:val="21"/>
          <w:lang w:eastAsia="zh-Hans"/>
        </w:rPr>
        <w:t>如果由于任何原因使本</w:t>
      </w:r>
      <w:r>
        <w:rPr>
          <w:rFonts w:hint="eastAsia" w:ascii="宋体" w:hAnsi="宋体" w:eastAsia="宋体" w:cs="宋体"/>
          <w:color w:val="000000"/>
          <w:szCs w:val="21"/>
        </w:rPr>
        <w:t>理财产品销售文件</w:t>
      </w:r>
      <w:r>
        <w:rPr>
          <w:rFonts w:hint="eastAsia" w:ascii="宋体" w:hAnsi="宋体" w:eastAsia="宋体" w:cs="宋体"/>
          <w:color w:val="000000"/>
          <w:szCs w:val="21"/>
          <w:lang w:eastAsia="zh-Hans"/>
        </w:rPr>
        <w:t>下的任何条款或者内容成为无效或者依法被撤销，本</w:t>
      </w:r>
      <w:r>
        <w:rPr>
          <w:rFonts w:hint="eastAsia" w:ascii="宋体" w:hAnsi="宋体" w:eastAsia="宋体" w:cs="宋体"/>
          <w:color w:val="000000"/>
          <w:szCs w:val="21"/>
        </w:rPr>
        <w:t>理财产品销售文件</w:t>
      </w:r>
      <w:r>
        <w:rPr>
          <w:rFonts w:hint="eastAsia" w:ascii="宋体" w:hAnsi="宋体" w:eastAsia="宋体" w:cs="宋体"/>
          <w:color w:val="000000"/>
          <w:szCs w:val="21"/>
          <w:lang w:eastAsia="zh-Hans"/>
        </w:rPr>
        <w:t>其他条款或内容的合法性，有效性和可执行性不受影响。</w:t>
      </w:r>
    </w:p>
    <w:p w14:paraId="2872221A">
      <w:pPr>
        <w:widowControl w:val="0"/>
        <w:spacing w:before="120" w:after="120"/>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（以下无正文，为《理财产品投资协议书》签署栏）</w:t>
      </w:r>
    </w:p>
    <w:p w14:paraId="3F55B429">
      <w:pPr>
        <w:spacing w:line="360" w:lineRule="auto"/>
        <w:ind w:firstLine="3990" w:firstLineChars="1900"/>
        <w:rPr>
          <w:rFonts w:ascii="宋体" w:hAnsi="宋体" w:eastAsia="宋体" w:cs="宋体"/>
          <w:color w:val="000000"/>
          <w:szCs w:val="21"/>
        </w:rPr>
      </w:pPr>
    </w:p>
    <w:p w14:paraId="60ED1D7D">
      <w:pPr>
        <w:spacing w:line="360" w:lineRule="auto"/>
        <w:ind w:firstLine="3990" w:firstLineChars="1900"/>
        <w:rPr>
          <w:rFonts w:ascii="宋体" w:hAnsi="宋体" w:eastAsia="宋体" w:cs="宋体"/>
          <w:color w:val="000000"/>
          <w:szCs w:val="21"/>
        </w:rPr>
      </w:pPr>
      <w:r>
        <w:rPr>
          <w:rFonts w:hint="eastAsia" w:ascii="宋体" w:hAnsi="宋体" w:eastAsia="宋体" w:cs="宋体"/>
          <w:color w:val="000000"/>
          <w:szCs w:val="21"/>
        </w:rPr>
        <w:t>个人投资者（签名）：</w:t>
      </w:r>
    </w:p>
    <w:p w14:paraId="1117718B">
      <w:pPr>
        <w:spacing w:line="360" w:lineRule="auto"/>
        <w:ind w:firstLine="5460" w:firstLineChars="2600"/>
        <w:rPr>
          <w:rFonts w:ascii="宋体" w:hAnsi="宋体" w:eastAsia="宋体" w:cs="宋体"/>
          <w:color w:val="000000"/>
          <w:szCs w:val="21"/>
        </w:rPr>
      </w:pPr>
      <w:r>
        <w:rPr>
          <w:rFonts w:hint="eastAsia" w:ascii="宋体" w:hAnsi="宋体" w:eastAsia="宋体" w:cs="宋体"/>
          <w:color w:val="000000"/>
          <w:szCs w:val="21"/>
        </w:rPr>
        <w:t>日期：</w:t>
      </w:r>
    </w:p>
    <w:p w14:paraId="0487A9D4">
      <w:pPr>
        <w:widowControl w:val="0"/>
        <w:spacing w:after="0" w:line="360" w:lineRule="auto"/>
        <w:ind w:left="420" w:leftChars="200" w:firstLine="360"/>
        <w:jc w:val="both"/>
        <w:rPr>
          <w:rFonts w:ascii="Times New Roman" w:hAnsi="Times New Roman" w:eastAsia="宋体" w:cs="Times New Roman"/>
          <w:color w:val="000000"/>
          <w:kern w:val="2"/>
          <w:sz w:val="21"/>
          <w:szCs w:val="21"/>
          <w:lang w:val="en-US" w:eastAsia="zh-CN" w:bidi="ar-SA"/>
        </w:rPr>
      </w:pPr>
    </w:p>
    <w:p w14:paraId="58C1591F">
      <w:pPr>
        <w:spacing w:line="360" w:lineRule="auto"/>
        <w:ind w:firstLine="3990" w:firstLineChars="1900"/>
        <w:rPr>
          <w:rFonts w:ascii="宋体" w:hAnsi="宋体" w:eastAsia="宋体" w:cs="宋体"/>
          <w:color w:val="000000"/>
          <w:szCs w:val="21"/>
        </w:rPr>
      </w:pPr>
      <w:r>
        <w:rPr>
          <w:rFonts w:hint="eastAsia" w:ascii="宋体" w:hAnsi="宋体" w:eastAsia="宋体" w:cs="宋体"/>
          <w:color w:val="000000"/>
          <w:szCs w:val="21"/>
        </w:rPr>
        <w:t>机构投资者（盖章）：</w:t>
      </w:r>
    </w:p>
    <w:p w14:paraId="15D351DC">
      <w:pPr>
        <w:spacing w:line="360" w:lineRule="auto"/>
        <w:rPr>
          <w:rFonts w:ascii="宋体" w:hAnsi="宋体" w:eastAsia="宋体" w:cs="宋体"/>
          <w:color w:val="000000"/>
          <w:szCs w:val="21"/>
        </w:rPr>
      </w:pPr>
      <w:r>
        <w:rPr>
          <w:rFonts w:hint="eastAsia" w:ascii="宋体" w:hAnsi="宋体" w:eastAsia="宋体" w:cs="宋体"/>
          <w:color w:val="000000"/>
          <w:szCs w:val="21"/>
        </w:rPr>
        <w:t>机构投资者法定代表人（或负责人）或授权代表（签名或盖章）：</w:t>
      </w:r>
    </w:p>
    <w:p w14:paraId="716964F1">
      <w:pPr>
        <w:spacing w:line="360" w:lineRule="auto"/>
        <w:ind w:firstLine="5460" w:firstLineChars="2600"/>
        <w:jc w:val="left"/>
        <w:rPr>
          <w:rFonts w:ascii="宋体" w:hAnsi="宋体" w:eastAsia="宋体" w:cs="宋体"/>
          <w:b/>
          <w:bCs/>
          <w:color w:val="000000"/>
          <w:szCs w:val="21"/>
        </w:rPr>
      </w:pPr>
      <w:r>
        <w:rPr>
          <w:rFonts w:hint="eastAsia" w:ascii="宋体" w:hAnsi="宋体" w:eastAsia="宋体" w:cs="宋体"/>
          <w:color w:val="000000"/>
          <w:szCs w:val="21"/>
        </w:rPr>
        <w:t>日期：</w:t>
      </w:r>
    </w:p>
    <w:p w14:paraId="175EFD60">
      <w:pPr>
        <w:jc w:val="left"/>
        <w:rPr>
          <w:rFonts w:ascii="黑体" w:hAnsi="楷体" w:eastAsia="黑体" w:cs="Times New Roman"/>
          <w:b/>
          <w:color w:val="000000"/>
          <w:sz w:val="30"/>
          <w:szCs w:val="30"/>
        </w:rPr>
      </w:pPr>
    </w:p>
    <w:p w14:paraId="2E47A195"/>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kern w:val="2"/>
        <w:sz w:val="21"/>
        <w:szCs w:val="24"/>
        <w:lang w:val="en-US" w:eastAsia="zh-CN" w:bidi="ar-SA"/>
      </w:rPr>
      <w:id w:val="4123877"/>
    </w:sdtPr>
    <w:sdtEndPr>
      <w:rPr>
        <w:rFonts w:ascii="Times New Roman" w:hAnsi="Times New Roman" w:eastAsia="宋体" w:cs="Times New Roman"/>
        <w:kern w:val="2"/>
        <w:sz w:val="18"/>
        <w:szCs w:val="18"/>
        <w:lang w:val="en-US" w:eastAsia="zh-CN" w:bidi="ar-SA"/>
      </w:rPr>
    </w:sdtEndPr>
    <w:sdtContent>
      <w:sdt>
        <w:sdtPr>
          <w:rPr>
            <w:rFonts w:ascii="Times New Roman" w:hAnsi="Times New Roman" w:eastAsia="宋体" w:cs="Times New Roman"/>
            <w:kern w:val="2"/>
            <w:sz w:val="21"/>
            <w:szCs w:val="24"/>
            <w:lang w:val="en-US" w:eastAsia="zh-CN" w:bidi="ar-SA"/>
          </w:rPr>
          <w:id w:val="171357217"/>
        </w:sdtPr>
        <w:sdtEndPr>
          <w:rPr>
            <w:rFonts w:ascii="Times New Roman" w:hAnsi="Times New Roman" w:eastAsia="宋体" w:cs="Times New Roman"/>
            <w:kern w:val="2"/>
            <w:sz w:val="18"/>
            <w:szCs w:val="18"/>
            <w:lang w:val="en-US" w:eastAsia="zh-CN" w:bidi="ar-SA"/>
          </w:rPr>
        </w:sdtEndPr>
        <w:sdtContent>
          <w:p w14:paraId="4FF97A26">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zh-CN" w:eastAsia="zh-CN" w:bidi="ar-SA"/>
              </w:rPr>
              <w:t xml:space="preserve"> </w:t>
            </w:r>
            <w:r>
              <w:rPr>
                <w:rFonts w:ascii="Times New Roman" w:hAnsi="Times New Roman" w:eastAsia="宋体" w:cs="Times New Roman"/>
                <w:b/>
                <w:kern w:val="2"/>
                <w:sz w:val="24"/>
                <w:szCs w:val="24"/>
                <w:lang w:val="en-US" w:eastAsia="zh-CN" w:bidi="ar-SA"/>
              </w:rPr>
              <w:fldChar w:fldCharType="begin"/>
            </w:r>
            <w:r>
              <w:rPr>
                <w:rFonts w:ascii="Times New Roman" w:hAnsi="Times New Roman" w:eastAsia="宋体" w:cs="Times New Roman"/>
                <w:b/>
                <w:kern w:val="2"/>
                <w:sz w:val="18"/>
                <w:szCs w:val="18"/>
                <w:lang w:val="en-US" w:eastAsia="zh-CN" w:bidi="ar-SA"/>
              </w:rPr>
              <w:instrText xml:space="preserve">PAGE</w:instrText>
            </w:r>
            <w:r>
              <w:rPr>
                <w:rFonts w:ascii="Times New Roman" w:hAnsi="Times New Roman" w:eastAsia="宋体" w:cs="Times New Roman"/>
                <w:b/>
                <w:kern w:val="2"/>
                <w:sz w:val="24"/>
                <w:szCs w:val="24"/>
                <w:lang w:val="en-US" w:eastAsia="zh-CN" w:bidi="ar-SA"/>
              </w:rPr>
              <w:fldChar w:fldCharType="separate"/>
            </w:r>
            <w:r>
              <w:rPr>
                <w:rFonts w:ascii="Times New Roman" w:hAnsi="Times New Roman" w:eastAsia="宋体" w:cs="Times New Roman"/>
                <w:b/>
                <w:kern w:val="2"/>
                <w:sz w:val="18"/>
                <w:szCs w:val="18"/>
                <w:lang w:val="en-US" w:eastAsia="zh-CN" w:bidi="ar-SA"/>
              </w:rPr>
              <w:t>36</w:t>
            </w:r>
            <w:r>
              <w:rPr>
                <w:rFonts w:ascii="Times New Roman" w:hAnsi="Times New Roman" w:eastAsia="宋体" w:cs="Times New Roman"/>
                <w:b/>
                <w:kern w:val="2"/>
                <w:sz w:val="24"/>
                <w:szCs w:val="24"/>
                <w:lang w:val="en-US" w:eastAsia="zh-CN" w:bidi="ar-SA"/>
              </w:rPr>
              <w:fldChar w:fldCharType="end"/>
            </w:r>
            <w:r>
              <w:rPr>
                <w:rFonts w:ascii="Times New Roman" w:hAnsi="Times New Roman" w:eastAsia="宋体" w:cs="Times New Roman"/>
                <w:kern w:val="2"/>
                <w:sz w:val="18"/>
                <w:szCs w:val="18"/>
                <w:lang w:val="zh-CN" w:eastAsia="zh-CN" w:bidi="ar-SA"/>
              </w:rPr>
              <w:t xml:space="preserve"> / </w:t>
            </w:r>
            <w:r>
              <w:rPr>
                <w:rFonts w:ascii="Times New Roman" w:hAnsi="Times New Roman" w:eastAsia="宋体" w:cs="Times New Roman"/>
                <w:b/>
                <w:kern w:val="2"/>
                <w:sz w:val="24"/>
                <w:szCs w:val="24"/>
                <w:lang w:val="en-US" w:eastAsia="zh-CN" w:bidi="ar-SA"/>
              </w:rPr>
              <w:fldChar w:fldCharType="begin"/>
            </w:r>
            <w:r>
              <w:rPr>
                <w:rFonts w:ascii="Times New Roman" w:hAnsi="Times New Roman" w:eastAsia="宋体" w:cs="Times New Roman"/>
                <w:b/>
                <w:kern w:val="2"/>
                <w:sz w:val="18"/>
                <w:szCs w:val="18"/>
                <w:lang w:val="en-US" w:eastAsia="zh-CN" w:bidi="ar-SA"/>
              </w:rPr>
              <w:instrText xml:space="preserve">NUMPAGES</w:instrText>
            </w:r>
            <w:r>
              <w:rPr>
                <w:rFonts w:ascii="Times New Roman" w:hAnsi="Times New Roman" w:eastAsia="宋体" w:cs="Times New Roman"/>
                <w:b/>
                <w:kern w:val="2"/>
                <w:sz w:val="24"/>
                <w:szCs w:val="24"/>
                <w:lang w:val="en-US" w:eastAsia="zh-CN" w:bidi="ar-SA"/>
              </w:rPr>
              <w:fldChar w:fldCharType="separate"/>
            </w:r>
            <w:r>
              <w:rPr>
                <w:rFonts w:ascii="Times New Roman" w:hAnsi="Times New Roman" w:eastAsia="宋体" w:cs="Times New Roman"/>
                <w:b/>
                <w:kern w:val="2"/>
                <w:sz w:val="18"/>
                <w:szCs w:val="18"/>
                <w:lang w:val="en-US" w:eastAsia="zh-CN" w:bidi="ar-SA"/>
              </w:rPr>
              <w:t>44</w:t>
            </w:r>
            <w:r>
              <w:rPr>
                <w:rFonts w:ascii="Times New Roman" w:hAnsi="Times New Roman" w:eastAsia="宋体" w:cs="Times New Roman"/>
                <w:b/>
                <w:kern w:val="2"/>
                <w:sz w:val="24"/>
                <w:szCs w:val="24"/>
                <w:lang w:val="en-US" w:eastAsia="zh-CN" w:bidi="ar-SA"/>
              </w:rPr>
              <w:fldChar w:fldCharType="end"/>
            </w:r>
          </w:p>
        </w:sdtContent>
      </w:sdt>
    </w:sdtContent>
  </w:sdt>
  <w:p w14:paraId="37C41495">
    <w:pPr>
      <w:widowControl w:val="0"/>
      <w:tabs>
        <w:tab w:val="center" w:pos="4153"/>
        <w:tab w:val="right" w:pos="8306"/>
      </w:tabs>
      <w:snapToGrid w:val="0"/>
      <w:jc w:val="center"/>
      <w:rPr>
        <w:rFonts w:ascii="Times New Roman" w:hAnsi="Times New Roman" w:eastAsia="宋体" w:cs="Times New Roman"/>
        <w:kern w:val="2"/>
        <w:sz w:val="21"/>
        <w:szCs w:val="21"/>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C0583">
    <w:pPr>
      <w:framePr w:wrap="around" w:vAnchor="text" w:hAnchor="margin" w:xAlign="center" w:y="1"/>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PAGE  </w:instrText>
    </w:r>
    <w:r>
      <w:rPr>
        <w:rFonts w:ascii="Times New Roman" w:hAnsi="Times New Roman" w:eastAsia="宋体" w:cs="Times New Roman"/>
        <w:kern w:val="2"/>
        <w:sz w:val="18"/>
        <w:szCs w:val="18"/>
        <w:lang w:val="en-US" w:eastAsia="zh-CN" w:bidi="ar-SA"/>
      </w:rPr>
      <w:fldChar w:fldCharType="end"/>
    </w:r>
  </w:p>
  <w:p w14:paraId="3B561B71">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7ED36">
    <w:pPr>
      <w:rPr>
        <w:rFonts w:ascii="Times New Roman" w:hAnsi="Times New Roman" w:eastAsia="宋体" w:cs="Times New Roman"/>
        <w:b/>
        <w:u w:val="single"/>
      </w:rPr>
    </w:pPr>
    <w:r>
      <w:rPr>
        <w:rFonts w:hint="eastAsia" w:ascii="黑体" w:hAnsi="黑体" w:eastAsia="黑体" w:cs="Times New Roman"/>
        <w:b/>
      </w:rPr>
      <w:t>北银理财·</w:t>
    </w:r>
    <w:r>
      <w:rPr>
        <w:rFonts w:hint="eastAsia" w:ascii="黑体" w:hAnsi="黑体" w:eastAsia="黑体" w:cs="Times New Roman"/>
        <w:b/>
        <w:color w:val="auto"/>
      </w:rPr>
      <w:t>春系列易淘金</w:t>
    </w:r>
    <w:r>
      <w:rPr>
        <w:rFonts w:hint="eastAsia" w:ascii="黑体" w:hAnsi="黑体" w:eastAsia="黑体" w:cs="Times New Roman"/>
        <w:b/>
        <w:color w:val="FF0000"/>
      </w:rPr>
      <w:t xml:space="preserve"> </w:t>
    </w:r>
    <w:r>
      <w:rPr>
        <w:rFonts w:hint="eastAsia" w:ascii="黑体" w:hAnsi="黑体" w:eastAsia="黑体" w:cs="Times New Roman"/>
        <w:b/>
      </w:rPr>
      <w:t xml:space="preserve">     </w:t>
    </w:r>
    <w:r>
      <w:rPr>
        <w:rFonts w:hint="eastAsia" w:ascii="黑体" w:hAnsi="黑体" w:eastAsia="黑体" w:cs="Times New Roman"/>
        <w:b/>
        <w:sz w:val="24"/>
        <w:szCs w:val="32"/>
      </w:rPr>
      <w:t>理财非存款，产品有风险，投资须谨慎！</w:t>
    </w:r>
    <w:r>
      <w:rPr>
        <w:rFonts w:ascii="Times New Roman" w:hAnsi="Times New Roman" w:eastAsia="宋体" w:cs="Times New Roman"/>
        <w:b/>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1NmZiMWE0YWZjYjYyMGEyNTM2NWY1ODVjOWFiMTQifQ=="/>
  </w:docVars>
  <w:rsids>
    <w:rsidRoot w:val="00000000"/>
    <w:rsid w:val="017868A9"/>
    <w:rsid w:val="084A0EA6"/>
    <w:rsid w:val="08CE7EA0"/>
    <w:rsid w:val="0E7436A2"/>
    <w:rsid w:val="275E6049"/>
    <w:rsid w:val="32134DB6"/>
    <w:rsid w:val="38973718"/>
    <w:rsid w:val="3DF91CBF"/>
    <w:rsid w:val="424F2CF6"/>
    <w:rsid w:val="601B50B8"/>
    <w:rsid w:val="63141C32"/>
    <w:rsid w:val="72534E9D"/>
    <w:rsid w:val="75140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next w:val="3"/>
    <w:unhideWhenUsed/>
    <w:qFormat/>
    <w:uiPriority w:val="99"/>
    <w:pPr>
      <w:widowControl w:val="0"/>
      <w:spacing w:after="0"/>
      <w:ind w:left="360" w:leftChars="200" w:firstLine="360"/>
      <w:jc w:val="both"/>
    </w:pPr>
    <w:rPr>
      <w:rFonts w:ascii="Times New Roman" w:hAnsi="Times New Roman" w:eastAsia="宋体" w:cs="Times New Roman"/>
      <w:kern w:val="0"/>
      <w:sz w:val="20"/>
      <w:szCs w:val="21"/>
      <w:lang w:val="en-US" w:eastAsia="zh-CN" w:bidi="ar-SA"/>
    </w:rPr>
  </w:style>
  <w:style w:type="paragraph" w:styleId="3">
    <w:name w:val="Body Text"/>
    <w:unhideWhenUsed/>
    <w:qFormat/>
    <w:uiPriority w:val="99"/>
    <w:pPr>
      <w:widowControl w:val="0"/>
      <w:spacing w:before="120" w:after="120"/>
      <w:jc w:val="both"/>
    </w:pPr>
    <w:rPr>
      <w:rFonts w:ascii="Times New Roman" w:hAnsi="Times New Roman" w:eastAsia="宋体" w:cs="Times New Roman"/>
      <w:kern w:val="2"/>
      <w:sz w:val="21"/>
      <w:szCs w:val="24"/>
      <w:lang w:val="en-US" w:eastAsia="zh-CN" w:bidi="ar-SA"/>
    </w:rPr>
  </w:style>
  <w:style w:type="paragraph" w:styleId="4">
    <w:name w:val="Body Text Indent"/>
    <w:qFormat/>
    <w:uiPriority w:val="0"/>
    <w:pPr>
      <w:widowControl w:val="0"/>
      <w:spacing w:after="120"/>
      <w:ind w:left="420" w:leftChars="200"/>
      <w:jc w:val="both"/>
    </w:pPr>
    <w:rPr>
      <w:rFonts w:ascii="Times New Roman" w:hAnsi="Times New Roman" w:eastAsia="宋体" w:cs="Times New Roman"/>
      <w:kern w:val="0"/>
      <w:sz w:val="20"/>
      <w:szCs w:val="21"/>
      <w:lang w:val="en-US" w:eastAsia="zh-CN" w:bidi="ar-SA"/>
    </w:rPr>
  </w:style>
  <w:style w:type="character" w:customStyle="1" w:styleId="7">
    <w:name w:val="15"/>
    <w:basedOn w:val="6"/>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1</Lines>
  <Paragraphs>1</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2026-05-12T01:44:00Z</dcterms:created>
  <dc:creator>Administrator</dc:creator>
  <cp:lastModifiedBy>00031</cp:lastModifiedBy>
  <dcterms:modified xsi:type="dcterms:W3CDTF">2026-05-12T05:50:53Z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AEF8A24D645947C5880E3553D650EFDC</vt:lpwstr>
  </property>
</Properties>
</file>