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苏银理财恒源1年定开5期</w:t>
      </w:r>
      <w:r>
        <w:rPr>
          <w:rFonts w:hint="eastAsia" w:ascii="楷体" w:hAnsi="楷体" w:eastAsia="楷体"/>
          <w:b/>
          <w:color w:val="auto"/>
          <w:sz w:val="28"/>
          <w:szCs w:val="28"/>
          <w:highlight w:val="none"/>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计划存续期限为</w:t>
      </w:r>
      <w:r>
        <w:rPr>
          <w:rFonts w:hint="eastAsia" w:ascii="楷体" w:hAnsi="楷体" w:eastAsia="楷体" w:cs="Calibri"/>
          <w:b/>
          <w:color w:val="auto"/>
          <w:sz w:val="21"/>
          <w:szCs w:val="21"/>
          <w:highlight w:val="none"/>
          <w:u w:val="single"/>
          <w:lang w:val="en-US" w:eastAsia="zh-CN"/>
        </w:rPr>
        <w:t>无固定期限</w:t>
      </w:r>
      <w:r>
        <w:rPr>
          <w:rFonts w:hint="eastAsia" w:ascii="楷体" w:hAnsi="楷体" w:eastAsia="楷体"/>
          <w:color w:val="auto"/>
          <w:sz w:val="21"/>
          <w:szCs w:val="21"/>
          <w:highlight w:val="none"/>
          <w:lang w:val="en-US" w:eastAsia="zh-CN"/>
        </w:rPr>
        <w:t>，</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投资者的风险承受能力等级不低于本产品风险评级。若</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rPr>
        <w:t>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highlight w:val="none"/>
        </w:rPr>
        <w:t>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rPr>
        <w:t>投资者亲笔抄录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本人/本机构已经阅读风险揭示，愿意承担投资风险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苏银理财恒源1年定开5期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（2026年6月版）</w:t>
      </w:r>
    </w:p>
    <w:p>
      <w:pPr>
        <w:jc w:val="center"/>
        <w:rPr>
          <w:rFonts w:hint="eastAsia" w:ascii="楷体" w:hAnsi="楷体" w:eastAsia="楷体"/>
          <w:b/>
          <w:sz w:val="24"/>
          <w:szCs w:val="24"/>
          <w:highlight w:val="none"/>
        </w:rPr>
      </w:pPr>
      <w:r>
        <w:rPr>
          <w:rFonts w:hint="eastAsia" w:ascii="楷体" w:hAnsi="楷体" w:eastAsia="楷体" w:cs="宋体"/>
          <w:b/>
          <w:kern w:val="0"/>
          <w:sz w:val="24"/>
          <w:szCs w:val="24"/>
          <w:highlight w:val="none"/>
        </w:rPr>
        <w:t>理财非存款、产品有风险、投资须谨慎</w:t>
      </w:r>
    </w:p>
    <w:p>
      <w:pPr>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重要须知</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在购买本理财产品前，投资者应确保自己完全理解该项投资的性质和所涉及的风险，详细了解和审慎评估该理财产品的</w:t>
      </w:r>
      <w:r>
        <w:rPr>
          <w:rFonts w:hint="eastAsia" w:ascii="楷体" w:hAnsi="楷体" w:eastAsia="楷体"/>
          <w:sz w:val="21"/>
          <w:szCs w:val="21"/>
          <w:highlight w:val="none"/>
          <w:lang w:val="en-US" w:eastAsia="zh-CN"/>
        </w:rPr>
        <w:t>投资范围</w:t>
      </w:r>
      <w:r>
        <w:rPr>
          <w:rFonts w:hint="eastAsia" w:ascii="楷体" w:hAnsi="楷体" w:eastAsia="楷体"/>
          <w:sz w:val="21"/>
          <w:szCs w:val="21"/>
          <w:highlight w:val="none"/>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本理财产品不保证本金及收益，您的本金可能因市场变动</w:t>
      </w:r>
      <w:r>
        <w:rPr>
          <w:rFonts w:hint="eastAsia" w:ascii="楷体" w:hAnsi="楷体" w:eastAsia="楷体"/>
          <w:b/>
          <w:sz w:val="21"/>
          <w:szCs w:val="21"/>
          <w:highlight w:val="none"/>
          <w:u w:val="single"/>
          <w:lang w:val="en-US" w:eastAsia="zh-CN"/>
        </w:rPr>
        <w:t>或者交易违约等事项</w:t>
      </w:r>
      <w:r>
        <w:rPr>
          <w:rFonts w:hint="eastAsia" w:ascii="楷体" w:hAnsi="楷体" w:eastAsia="楷体"/>
          <w:b/>
          <w:sz w:val="21"/>
          <w:szCs w:val="21"/>
          <w:highlight w:val="none"/>
          <w:u w:val="single"/>
        </w:rPr>
        <w:t>而蒙受相应损失，投资者应充分认识投资风险，谨慎投资</w:t>
      </w:r>
      <w:r>
        <w:rPr>
          <w:rFonts w:hint="eastAsia" w:ascii="楷体" w:hAnsi="楷体" w:eastAsia="楷体"/>
          <w:b/>
          <w:sz w:val="21"/>
          <w:szCs w:val="21"/>
          <w:highlight w:val="none"/>
          <w:u w:val="single"/>
          <w:lang w:eastAsia="zh-CN"/>
        </w:rPr>
        <w:t>。</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本理财产品任何业绩比较基准</w:t>
      </w:r>
      <w:r>
        <w:rPr>
          <w:rFonts w:hint="eastAsia" w:ascii="楷体" w:hAnsi="楷体" w:eastAsia="楷体"/>
          <w:b/>
          <w:sz w:val="21"/>
          <w:szCs w:val="21"/>
          <w:highlight w:val="none"/>
          <w:u w:val="single"/>
          <w:lang w:val="en-US" w:eastAsia="zh-CN"/>
        </w:rPr>
        <w:t>及</w:t>
      </w:r>
      <w:r>
        <w:rPr>
          <w:rFonts w:hint="eastAsia" w:ascii="楷体" w:hAnsi="楷体" w:eastAsia="楷体"/>
          <w:b/>
          <w:sz w:val="21"/>
          <w:szCs w:val="21"/>
          <w:highlight w:val="none"/>
          <w:u w:val="single"/>
        </w:rPr>
        <w:t>类似表述均属不具有法律约束力的用语</w:t>
      </w:r>
      <w:r>
        <w:rPr>
          <w:rFonts w:hint="eastAsia" w:ascii="楷体" w:hAnsi="楷体" w:eastAsia="楷体"/>
          <w:b/>
          <w:sz w:val="21"/>
          <w:szCs w:val="21"/>
          <w:highlight w:val="none"/>
          <w:u w:val="single"/>
          <w:lang w:eastAsia="zh-CN"/>
        </w:rPr>
        <w:t>。</w:t>
      </w:r>
      <w:r>
        <w:rPr>
          <w:rFonts w:hint="eastAsia" w:ascii="楷体" w:hAnsi="楷体" w:eastAsia="楷体"/>
          <w:b/>
          <w:sz w:val="21"/>
          <w:szCs w:val="21"/>
          <w:highlight w:val="none"/>
          <w:u w:val="single"/>
        </w:rPr>
        <w:t>业绩比较基准</w:t>
      </w:r>
      <w:r>
        <w:rPr>
          <w:rFonts w:hint="eastAsia" w:ascii="楷体" w:hAnsi="楷体" w:eastAsia="楷体"/>
          <w:b/>
          <w:sz w:val="21"/>
          <w:szCs w:val="21"/>
          <w:highlight w:val="none"/>
          <w:u w:val="single"/>
          <w:lang w:val="en-US" w:eastAsia="zh-CN"/>
        </w:rPr>
        <w:t>为</w:t>
      </w:r>
      <w:r>
        <w:rPr>
          <w:rFonts w:hint="eastAsia" w:ascii="楷体" w:hAnsi="楷体" w:eastAsia="楷体"/>
          <w:b/>
          <w:sz w:val="21"/>
          <w:szCs w:val="21"/>
          <w:highlight w:val="none"/>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如有）</w:t>
      </w:r>
      <w:r>
        <w:rPr>
          <w:rFonts w:hint="eastAsia" w:ascii="楷体" w:hAnsi="楷体" w:eastAsia="楷体"/>
          <w:sz w:val="21"/>
          <w:szCs w:val="21"/>
          <w:highlight w:val="none"/>
        </w:rPr>
        <w:t>、不可抗力风险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关联关系及关联交易风险、</w:t>
      </w:r>
      <w:r>
        <w:rPr>
          <w:rFonts w:hint="eastAsia" w:ascii="楷体" w:hAnsi="楷体" w:eastAsia="楷体"/>
          <w:sz w:val="21"/>
          <w:szCs w:val="21"/>
          <w:highlight w:val="none"/>
          <w:lang w:eastAsia="zh-CN"/>
        </w:rPr>
        <w:t>特定投资标的风险</w:t>
      </w:r>
      <w:r>
        <w:rPr>
          <w:rFonts w:hint="eastAsia" w:ascii="楷体" w:hAnsi="楷体" w:eastAsia="楷体"/>
          <w:sz w:val="21"/>
          <w:szCs w:val="21"/>
          <w:highlight w:val="none"/>
        </w:rPr>
        <w:t>等。请仔细阅读《“苏银理财恒源1年定开5期”理财产品风险揭示书》的“风险揭示”部分。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在本产品存续期内，如因监管政策或法律法规发生变化，在不损害投资者利益的前提下，苏银理财有权单方对本产品条款进行修订，并按本理财产品说明书约定的信息披露方式予以披露。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highlight w:val="none"/>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苏银理财恒源1年定开5期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eastAsia="zh-CN"/>
              </w:rPr>
            </w:pPr>
            <w:r>
              <w:rPr>
                <w:rFonts w:hint="eastAsia" w:ascii="楷体" w:hAnsi="楷体" w:eastAsia="楷体" w:cs="宋体"/>
                <w:spacing w:val="-2"/>
                <w:sz w:val="18"/>
                <w:szCs w:val="18"/>
                <w:highlight w:val="none"/>
                <w:lang w:val="en-US" w:eastAsia="zh-CN"/>
              </w:rPr>
              <w:t>Z7003121000015</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投资者可依据该编码在中国理财网</w:t>
            </w:r>
            <w:r>
              <w:rPr>
                <w:rFonts w:ascii="楷体" w:hAnsi="楷体" w:eastAsia="楷体" w:cs="宋体"/>
                <w:spacing w:val="-2"/>
                <w:sz w:val="18"/>
                <w:szCs w:val="18"/>
                <w:highlight w:val="none"/>
              </w:rPr>
              <w:fldChar w:fldCharType="begin"/>
            </w:r>
            <w:r>
              <w:rPr>
                <w:rFonts w:ascii="楷体" w:hAnsi="楷体" w:eastAsia="楷体" w:cs="宋体"/>
                <w:spacing w:val="-2"/>
                <w:sz w:val="18"/>
                <w:szCs w:val="18"/>
                <w:highlight w:val="none"/>
              </w:rPr>
              <w:instrText xml:space="preserve"> HYPERLINK "http://www.chinawealth.com.cn/" </w:instrText>
            </w:r>
            <w:r>
              <w:rPr>
                <w:rFonts w:ascii="楷体" w:hAnsi="楷体" w:eastAsia="楷体" w:cs="宋体"/>
                <w:spacing w:val="-2"/>
                <w:sz w:val="18"/>
                <w:szCs w:val="18"/>
                <w:highlight w:val="none"/>
              </w:rPr>
              <w:fldChar w:fldCharType="separate"/>
            </w:r>
            <w:r>
              <w:rPr>
                <w:rFonts w:ascii="楷体" w:hAnsi="楷体" w:eastAsia="楷体" w:cs="宋体"/>
                <w:spacing w:val="-2"/>
                <w:sz w:val="18"/>
                <w:szCs w:val="18"/>
                <w:highlight w:val="none"/>
              </w:rPr>
              <w:t>www.chinawealth.com.cn</w:t>
            </w:r>
            <w:r>
              <w:rPr>
                <w:rFonts w:ascii="楷体" w:hAnsi="楷体" w:eastAsia="楷体" w:cs="宋体"/>
                <w:spacing w:val="-2"/>
                <w:sz w:val="18"/>
                <w:szCs w:val="18"/>
                <w:highlight w:val="none"/>
              </w:rPr>
              <w:fldChar w:fldCharType="end"/>
            </w:r>
            <w:r>
              <w:rPr>
                <w:rFonts w:hint="eastAsia" w:ascii="楷体" w:hAnsi="楷体" w:eastAsia="楷体" w:cs="宋体"/>
                <w:spacing w:val="-2"/>
                <w:sz w:val="18"/>
                <w:szCs w:val="18"/>
                <w:highlight w:val="none"/>
              </w:rPr>
              <w:t>查询产品信息</w:t>
            </w:r>
            <w:r>
              <w:rPr>
                <w:rFonts w:hint="eastAsia" w:ascii="楷体" w:hAnsi="楷体" w:eastAsia="楷体" w:cs="宋体"/>
                <w:spacing w:val="-2"/>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A份额:苏银理财恒源1年定开5期A/JSA000000186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B份额:苏银理财恒源1年定开5期B/JSA000000187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C份额:苏银理财恒源1年定开5期C/J20658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D份额:苏银理财恒源1年定开5期D/J03293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F份额:苏银理财恒源1年定开5期F/J03294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G份额:苏银理财恒源1年定开5期G/J03295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J份额:苏银理财恒源1年定开5期J/J03296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M份额:苏银理财恒源1年定开5期M/J03297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P份额:苏银理财恒源1年定开5期P/J04357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GS份额:苏银理财恒源1年定开5期GS/J20659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SX份额:苏银理财恒源1年定开5期SX（山银晋晟）/J20660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U份额:苏银理财恒源1年定开5期U/J20661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Z份额:苏银理财恒源1年定开5期Z/J20662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Z1份额:苏银理财恒源1年定开5期Z1/J21107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Z2份额:苏银理财恒源1年定开5期Z2/J21108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ZA份额:苏银理财恒源1年定开5期ZA鑫福款（自动赎回）/J03298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ZF份额:苏银理财恒源1年定开5期ZF（自动赎回）/J03299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ZF2份额:苏银理财恒源1年定开5期ZF2（自动赎回）/J21166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ZJ份额:苏银理财恒源1年定开5期ZJ（自动赎回）/J20663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ZL份额:苏银理财恒源1年定开5期ZL（自动赎回）/J20664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ZN份额:苏银理财恒源1年定开5期ZN（自动赎回）/J04359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ZQ份额:苏银理财恒源1年定开5期ZQ（自动赎回）/J04360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ZC份额:苏银理财恒源1年定开5期ZC鑫福优享（自动赎回）/J20665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ZK份额:苏银理财恒源1年定开5期ZK鑫福尊享（自动赎回）/J20666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highlight w:val="none"/>
                <w:u w:val="single"/>
                <w:lang w:val="en-US" w:eastAsia="zh-CN" w:bidi="ar-SA"/>
              </w:rPr>
            </w:pPr>
            <w:r>
              <w:rPr>
                <w:rFonts w:hint="eastAsia" w:ascii="楷体" w:hAnsi="楷体" w:eastAsia="楷体" w:cs="宋体"/>
                <w:b/>
                <w:spacing w:val="-2"/>
                <w:sz w:val="18"/>
                <w:szCs w:val="18"/>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1.</w:t>
            </w:r>
            <w:r>
              <w:rPr>
                <w:rFonts w:hint="eastAsia" w:ascii="楷体" w:hAnsi="楷体" w:eastAsia="楷体"/>
                <w:color w:val="auto"/>
                <w:sz w:val="18"/>
                <w:szCs w:val="18"/>
                <w:highlight w:val="none"/>
              </w:rPr>
              <w:t>本理财产品经苏银理财内部风险评级为</w:t>
            </w:r>
            <w:r>
              <w:rPr>
                <w:rFonts w:hint="eastAsia" w:ascii="楷体" w:hAnsi="楷体" w:eastAsia="楷体"/>
                <w:b/>
                <w:color w:val="auto"/>
                <w:sz w:val="18"/>
                <w:szCs w:val="18"/>
                <w:highlight w:val="none"/>
                <w:u w:val="single"/>
              </w:rPr>
              <w:t>★★二级，适合中低风险型投资者，适合投资策略为稳健发展</w:t>
            </w:r>
            <w:r>
              <w:rPr>
                <w:rFonts w:hint="eastAsia" w:ascii="楷体" w:hAnsi="楷体" w:eastAsia="楷体"/>
                <w:b/>
                <w:color w:val="auto"/>
                <w:sz w:val="18"/>
                <w:szCs w:val="18"/>
                <w:highlight w:val="none"/>
                <w:u w:val="single"/>
                <w:lang w:val="en-US" w:eastAsia="zh-CN"/>
              </w:rPr>
              <w:t>的投资者</w:t>
            </w:r>
            <w:r>
              <w:rPr>
                <w:rFonts w:hint="eastAsia" w:ascii="楷体" w:hAnsi="楷体" w:eastAsia="楷体"/>
                <w:color w:val="auto"/>
                <w:sz w:val="18"/>
                <w:szCs w:val="18"/>
                <w:highlight w:val="none"/>
              </w:rPr>
              <w:t>。本评级为</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内部评级，由</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根据理财产品的投资组合、同类产品过往业绩和风险状况等因素，对理财产品进行评级，仅供</w:t>
            </w:r>
            <w:r>
              <w:rPr>
                <w:rFonts w:hint="eastAsia" w:ascii="楷体" w:hAnsi="楷体" w:eastAsia="楷体"/>
                <w:color w:val="auto"/>
                <w:sz w:val="18"/>
                <w:szCs w:val="18"/>
                <w:highlight w:val="none"/>
                <w:lang w:val="en-US" w:eastAsia="zh-CN"/>
              </w:rPr>
              <w:t>投资者</w:t>
            </w:r>
            <w:r>
              <w:rPr>
                <w:rFonts w:hint="eastAsia" w:ascii="楷体" w:hAnsi="楷体" w:eastAsia="楷体"/>
                <w:color w:val="auto"/>
                <w:sz w:val="18"/>
                <w:szCs w:val="18"/>
                <w:highlight w:val="none"/>
              </w:rPr>
              <w:t>参考。理财产品存续期间，若市场环境等因素发生变化，在符合监管政策要求的前提下管理人可对产品风险评级进行调整，并及时将调整情况向投资者披露。</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olor w:val="auto"/>
                <w:sz w:val="18"/>
                <w:szCs w:val="18"/>
                <w:highlight w:val="none"/>
                <w:lang w:val="en-US" w:eastAsia="zh-CN"/>
              </w:rPr>
              <w:t>3.</w:t>
            </w:r>
            <w:r>
              <w:rPr>
                <w:rFonts w:hint="eastAsia" w:ascii="楷体" w:hAnsi="楷体" w:eastAsia="楷体"/>
                <w:color w:val="auto"/>
                <w:sz w:val="18"/>
                <w:szCs w:val="18"/>
                <w:highlight w:val="none"/>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s="宋体"/>
                <w:spacing w:val="-2"/>
                <w:sz w:val="18"/>
                <w:szCs w:val="18"/>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1元</w:t>
            </w:r>
            <w:r>
              <w:rPr>
                <w:rFonts w:hint="eastAsia" w:ascii="楷体" w:hAnsi="楷体" w:eastAsia="楷体" w:cs="宋体"/>
                <w:spacing w:val="-2"/>
                <w:sz w:val="18"/>
                <w:szCs w:val="18"/>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本产品计划发行规模为100000万元，管理人有权根据实际需要调整计划发行规模。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购买起点</w:t>
            </w:r>
            <w:r>
              <w:rPr>
                <w:rFonts w:ascii="楷体" w:hAnsi="楷体" w:eastAsia="楷体" w:cs="宋体"/>
                <w:b/>
                <w:spacing w:val="-2"/>
                <w:sz w:val="18"/>
                <w:szCs w:val="18"/>
                <w:highlight w:val="none"/>
              </w:rPr>
              <w:t>/</w:t>
            </w:r>
            <w:r>
              <w:rPr>
                <w:rFonts w:hint="eastAsia" w:ascii="楷体" w:hAnsi="楷体" w:eastAsia="楷体" w:cs="宋体"/>
                <w:b/>
                <w:spacing w:val="-2"/>
                <w:sz w:val="18"/>
                <w:szCs w:val="18"/>
                <w:highlight w:val="none"/>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B份额:200,000元/10,000元的整数倍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D份额:个人投资者：500,000元/10,000元的整数倍,机构投资者：30,000,000元/10,000元的整数倍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J份额:500,000元/10,000元的整数倍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M份额:100元/100元的整数倍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P份额:100元/100元的整数倍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GS份额:100元/100元的整数倍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SX份额:100元/100元的整数倍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U份额:100元/100元的整数倍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Z1份额:10,000元/1元的整数倍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Z2份额:500,000元/10,000元的整数倍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ZF2份额:1000元/1000元的整数倍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ZJ份额:100元/100元的整数倍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ZL份额:个人投资者：500,000元/10,000元的整数倍,机构投资者：30,000,000元/10,000元的整数倍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ZN份额:100元/100元的整数倍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ZQ份额:100元/100元的整数倍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ZK份额:个人投资者：500,000元/10,000元的整数倍,机构投资者：30,000,000元/10,000元的整数倍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eastAsia="zh-CN"/>
              </w:rPr>
            </w:pPr>
            <w:r>
              <w:rPr>
                <w:rFonts w:hint="eastAsia" w:ascii="楷体" w:hAnsi="楷体" w:eastAsia="楷体"/>
                <w:sz w:val="18"/>
                <w:szCs w:val="18"/>
                <w:highlight w:val="none"/>
              </w:rPr>
              <w:t>苏银理财有权对上述起点金额和</w:t>
            </w:r>
            <w:r>
              <w:rPr>
                <w:rFonts w:hint="eastAsia" w:ascii="楷体" w:hAnsi="楷体" w:eastAsia="楷体"/>
                <w:sz w:val="18"/>
                <w:szCs w:val="18"/>
                <w:highlight w:val="none"/>
                <w:lang w:val="en-US" w:eastAsia="zh-CN"/>
              </w:rPr>
              <w:t>追加</w:t>
            </w:r>
            <w:r>
              <w:rPr>
                <w:rFonts w:hint="eastAsia" w:ascii="楷体" w:hAnsi="楷体" w:eastAsia="楷体"/>
                <w:sz w:val="18"/>
                <w:szCs w:val="18"/>
                <w:highlight w:val="none"/>
              </w:rPr>
              <w:t>金额进行调整，并在调整前进行公告。</w:t>
            </w:r>
            <w:r>
              <w:rPr>
                <w:rFonts w:hint="eastAsia" w:ascii="楷体" w:hAnsi="楷体" w:eastAsia="楷体"/>
                <w:sz w:val="18"/>
                <w:szCs w:val="18"/>
                <w:highlight w:val="none"/>
                <w:lang w:eastAsia="zh-CN"/>
              </w:rPr>
              <w:t>（</w:t>
            </w:r>
            <w:r>
              <w:rPr>
                <w:rFonts w:hint="eastAsia" w:ascii="楷体" w:hAnsi="楷体" w:eastAsia="楷体"/>
                <w:sz w:val="18"/>
                <w:szCs w:val="18"/>
                <w:highlight w:val="none"/>
              </w:rPr>
              <w:t>具体以销售机构设置为准。</w:t>
            </w:r>
            <w:r>
              <w:rPr>
                <w:rFonts w:hint="eastAsia" w:ascii="楷体" w:hAnsi="楷体" w:eastAsia="楷体"/>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2021年3月26日至2021年3月31日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2021年4月1日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highlight w:val="none"/>
                <w:lang w:val="en-US" w:eastAsia="zh-CN"/>
              </w:rPr>
            </w:pPr>
            <w:r>
              <w:rPr>
                <w:rFonts w:hint="eastAsia" w:ascii="楷体" w:hAnsi="楷体" w:eastAsia="楷体" w:cs="宋体"/>
                <w:b/>
                <w:color w:val="auto"/>
                <w:spacing w:val="-2"/>
                <w:sz w:val="18"/>
                <w:szCs w:val="18"/>
                <w:highlight w:val="none"/>
              </w:rPr>
              <w:t>产品</w:t>
            </w:r>
            <w:r>
              <w:rPr>
                <w:rFonts w:hint="eastAsia" w:ascii="楷体" w:hAnsi="楷体" w:eastAsia="楷体" w:cs="宋体"/>
                <w:b/>
                <w:color w:val="auto"/>
                <w:spacing w:val="-2"/>
                <w:sz w:val="18"/>
                <w:szCs w:val="18"/>
                <w:highlight w:val="none"/>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color w:val="auto"/>
                <w:spacing w:val="-2"/>
                <w:sz w:val="18"/>
                <w:szCs w:val="18"/>
                <w:highlight w:val="none"/>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lang w:val="en-US" w:eastAsia="zh-CN"/>
              </w:rPr>
              <w:t>2031年4月15日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如遇节假日，顺延至下一工作日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在符合产品说明书约定的条件下，管理人有权</w:t>
            </w:r>
            <w:r>
              <w:rPr>
                <w:rFonts w:hint="eastAsia" w:ascii="楷体" w:hAnsi="楷体" w:eastAsia="楷体" w:cs="宋体"/>
                <w:color w:val="auto"/>
                <w:spacing w:val="-2"/>
                <w:sz w:val="18"/>
                <w:szCs w:val="18"/>
                <w:highlight w:val="none"/>
                <w:lang w:val="en-US" w:eastAsia="zh-CN"/>
              </w:rPr>
              <w:t>调整产品到期日</w:t>
            </w:r>
            <w:r>
              <w:rPr>
                <w:rFonts w:hint="eastAsia" w:ascii="楷体" w:hAnsi="楷体" w:eastAsia="楷体" w:cs="宋体"/>
                <w:color w:val="auto"/>
                <w:spacing w:val="-2"/>
                <w:sz w:val="18"/>
                <w:szCs w:val="18"/>
                <w:highlight w:val="none"/>
              </w:rPr>
              <w:t>，产品到期日受制于提前终止</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lang w:val="en-US" w:eastAsia="zh-CN"/>
              </w:rPr>
              <w:t>延期终止</w:t>
            </w:r>
            <w:r>
              <w:rPr>
                <w:rFonts w:hint="eastAsia" w:ascii="楷体" w:hAnsi="楷体" w:eastAsia="楷体" w:cs="宋体"/>
                <w:color w:val="auto"/>
                <w:spacing w:val="-2"/>
                <w:sz w:val="18"/>
                <w:szCs w:val="18"/>
                <w:highlight w:val="none"/>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最新投资周期（2026年6月17日-2027年7月8日）开放申购与赎回时间为：2026年6月8日至2026年6月16日</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(其中ZA份额/ZF份额/ZF2份额/ZJ份额/ZL份额/ZN份额/ZQ份额/ZC份额/ZK份额由系统主动发起赎回申请，投资者无须发起赎回申请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highlight w:val="none"/>
                <w:u w:val="single"/>
              </w:rPr>
              <w:t>除开放计划外的其他时间，管理人不接受投资者申购、赎回申请</w:t>
            </w:r>
            <w:r>
              <w:rPr>
                <w:rFonts w:hint="eastAsia" w:ascii="楷体" w:hAnsi="楷体" w:eastAsia="楷体" w:cs="宋体"/>
                <w:b/>
                <w:bCs/>
                <w:spacing w:val="-2"/>
                <w:sz w:val="18"/>
                <w:szCs w:val="18"/>
                <w:highlight w:val="none"/>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单笔</w:t>
            </w:r>
            <w:r>
              <w:rPr>
                <w:rFonts w:hint="eastAsia" w:ascii="楷体" w:hAnsi="楷体" w:eastAsia="楷体" w:cs="宋体"/>
                <w:b/>
                <w:spacing w:val="-2"/>
                <w:sz w:val="18"/>
                <w:szCs w:val="18"/>
                <w:highlight w:val="none"/>
                <w:lang w:val="en-US" w:eastAsia="zh-CN"/>
              </w:rPr>
              <w:t>购买</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元。超过购买上限时，管理人有权拒绝投资者</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kern w:val="0"/>
                <w:sz w:val="18"/>
                <w:szCs w:val="18"/>
                <w:highlight w:val="none"/>
              </w:rPr>
              <w:t>本产品单个开放日投资者净申购额（申购申请份额总数扣除赎回申请份额总数）超过上一日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rPr>
              <w:t>本产品</w:t>
            </w:r>
            <w:r>
              <w:rPr>
                <w:rFonts w:hint="eastAsia" w:ascii="楷体" w:hAnsi="楷体" w:eastAsia="楷体" w:cs="宋体"/>
                <w:b/>
                <w:bCs/>
                <w:spacing w:val="-2"/>
                <w:sz w:val="18"/>
                <w:szCs w:val="18"/>
                <w:highlight w:val="none"/>
                <w:u w:val="single"/>
                <w:lang w:val="en-US" w:eastAsia="zh-CN"/>
              </w:rPr>
              <w:t>单</w:t>
            </w:r>
            <w:r>
              <w:rPr>
                <w:rFonts w:hint="eastAsia" w:ascii="楷体" w:hAnsi="楷体" w:eastAsia="楷体" w:cs="宋体"/>
                <w:b/>
                <w:bCs/>
                <w:spacing w:val="-2"/>
                <w:sz w:val="18"/>
                <w:szCs w:val="18"/>
                <w:highlight w:val="none"/>
                <w:u w:val="single"/>
              </w:rPr>
              <w:t>个开放日投资者净赎回额（赎回申请份额总数扣除申购申请份额总数）超过上一日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2.部分赎回</w:t>
            </w:r>
            <w:r>
              <w:rPr>
                <w:rFonts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highlight w:val="none"/>
                <w:u w:val="none"/>
                <w:lang w:val="en-US" w:eastAsia="zh-CN"/>
              </w:rPr>
              <w:t>日</w:t>
            </w:r>
            <w:r>
              <w:rPr>
                <w:rFonts w:hint="eastAsia" w:ascii="楷体" w:hAnsi="楷体" w:eastAsia="楷体" w:cs="宋体"/>
                <w:b w:val="0"/>
                <w:bCs/>
                <w:spacing w:val="-2"/>
                <w:sz w:val="18"/>
                <w:szCs w:val="18"/>
                <w:highlight w:val="none"/>
                <w:u w:val="none"/>
              </w:rPr>
              <w:t>日终理财产品总份额的10%，对其余赎回申请管理人有权暂停接受或延期办理。对该产品单个</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的赎回申请，按照其申请占当日申请赎回总份额的比例，确定该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highlight w:val="none"/>
                <w:u w:val="single"/>
              </w:rPr>
            </w:pPr>
            <w:r>
              <w:rPr>
                <w:rFonts w:hint="eastAsia" w:ascii="楷体" w:hAnsi="楷体" w:eastAsia="楷体" w:cs="宋体"/>
                <w:b w:val="0"/>
                <w:bCs/>
                <w:spacing w:val="-2"/>
                <w:sz w:val="18"/>
                <w:szCs w:val="18"/>
                <w:highlight w:val="none"/>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lang w:val="en-US" w:eastAsia="zh-CN"/>
              </w:rPr>
              <w:t>1.管理人</w:t>
            </w:r>
            <w:r>
              <w:rPr>
                <w:rFonts w:ascii="楷体" w:hAnsi="楷体" w:eastAsia="楷体" w:cs="宋体"/>
                <w:b/>
                <w:bCs/>
                <w:spacing w:val="-2"/>
                <w:sz w:val="18"/>
                <w:szCs w:val="18"/>
                <w:highlight w:val="none"/>
                <w:u w:val="single"/>
              </w:rPr>
              <w:t>参考过往投资经验，依据近期货币市场工具、</w:t>
            </w:r>
            <w:r>
              <w:rPr>
                <w:rFonts w:hint="eastAsia" w:ascii="楷体" w:hAnsi="楷体" w:eastAsia="楷体" w:cs="宋体"/>
                <w:b/>
                <w:bCs/>
                <w:spacing w:val="-2"/>
                <w:sz w:val="18"/>
                <w:szCs w:val="18"/>
                <w:highlight w:val="none"/>
                <w:u w:val="single"/>
                <w:lang w:val="en-US" w:eastAsia="zh-CN"/>
              </w:rPr>
              <w:t>银行存款（含结构性存款）、</w:t>
            </w:r>
            <w:r>
              <w:rPr>
                <w:rFonts w:ascii="楷体" w:hAnsi="楷体" w:eastAsia="楷体" w:cs="宋体"/>
                <w:b/>
                <w:bCs/>
                <w:spacing w:val="-2"/>
                <w:sz w:val="18"/>
                <w:szCs w:val="18"/>
                <w:highlight w:val="none"/>
                <w:u w:val="single"/>
              </w:rPr>
              <w:t>债券</w:t>
            </w:r>
            <w:r>
              <w:rPr>
                <w:rFonts w:hint="eastAsia" w:ascii="楷体" w:hAnsi="楷体" w:eastAsia="楷体" w:cs="宋体"/>
                <w:b/>
                <w:bCs/>
                <w:spacing w:val="-2"/>
                <w:sz w:val="18"/>
                <w:szCs w:val="18"/>
                <w:highlight w:val="none"/>
                <w:u w:val="single"/>
              </w:rPr>
              <w:t>、非标准化债权</w:t>
            </w:r>
            <w:r>
              <w:rPr>
                <w:rFonts w:ascii="楷体" w:hAnsi="楷体" w:eastAsia="楷体" w:cs="宋体"/>
                <w:b/>
                <w:bCs/>
                <w:spacing w:val="-2"/>
                <w:sz w:val="18"/>
                <w:szCs w:val="18"/>
                <w:highlight w:val="none"/>
                <w:u w:val="single"/>
              </w:rPr>
              <w:t>等资产</w:t>
            </w:r>
            <w:r>
              <w:rPr>
                <w:rFonts w:hint="eastAsia" w:ascii="楷体" w:hAnsi="楷体" w:eastAsia="楷体" w:cs="宋体"/>
                <w:b/>
                <w:bCs/>
                <w:spacing w:val="-2"/>
                <w:sz w:val="18"/>
                <w:szCs w:val="18"/>
                <w:highlight w:val="none"/>
                <w:u w:val="single"/>
              </w:rPr>
              <w:t>投资</w:t>
            </w:r>
            <w:r>
              <w:rPr>
                <w:rFonts w:ascii="楷体" w:hAnsi="楷体" w:eastAsia="楷体" w:cs="宋体"/>
                <w:b/>
                <w:bCs/>
                <w:spacing w:val="-2"/>
                <w:sz w:val="18"/>
                <w:szCs w:val="18"/>
                <w:highlight w:val="none"/>
                <w:u w:val="single"/>
              </w:rPr>
              <w:t>收益水平，在产品说明书约定的投资范围和投资比例内</w:t>
            </w:r>
            <w:r>
              <w:rPr>
                <w:rFonts w:hint="eastAsia" w:ascii="楷体" w:hAnsi="楷体" w:eastAsia="楷体" w:cs="宋体"/>
                <w:b/>
                <w:bCs/>
                <w:spacing w:val="-2"/>
                <w:sz w:val="18"/>
                <w:szCs w:val="18"/>
                <w:highlight w:val="none"/>
                <w:u w:val="single"/>
              </w:rPr>
              <w:t>，综合考虑各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份额收取的销售服务费和投资管理费</w:t>
            </w:r>
            <w:r>
              <w:rPr>
                <w:rFonts w:hint="eastAsia" w:ascii="楷体" w:hAnsi="楷体" w:eastAsia="楷体" w:cs="宋体"/>
                <w:b/>
                <w:bCs/>
                <w:spacing w:val="-2"/>
                <w:sz w:val="18"/>
                <w:szCs w:val="18"/>
                <w:highlight w:val="none"/>
                <w:u w:val="single"/>
                <w:lang w:val="en-US" w:eastAsia="zh-CN"/>
              </w:rPr>
              <w:t>等费用</w:t>
            </w:r>
            <w:r>
              <w:rPr>
                <w:rFonts w:hint="eastAsia" w:ascii="楷体" w:hAnsi="楷体" w:eastAsia="楷体" w:cs="宋体"/>
                <w:b/>
                <w:bCs/>
                <w:spacing w:val="-2"/>
                <w:sz w:val="18"/>
                <w:szCs w:val="18"/>
                <w:highlight w:val="none"/>
                <w:u w:val="single"/>
              </w:rPr>
              <w:t>情况，</w:t>
            </w:r>
            <w:r>
              <w:rPr>
                <w:rFonts w:ascii="楷体" w:hAnsi="楷体" w:eastAsia="楷体" w:cs="宋体"/>
                <w:b/>
                <w:bCs/>
                <w:spacing w:val="-2"/>
                <w:sz w:val="18"/>
                <w:szCs w:val="18"/>
                <w:highlight w:val="none"/>
                <w:u w:val="single"/>
              </w:rPr>
              <w:t>模拟测算得出</w:t>
            </w:r>
            <w:r>
              <w:rPr>
                <w:rFonts w:hint="eastAsia" w:ascii="楷体" w:hAnsi="楷体" w:eastAsia="楷体" w:cs="宋体"/>
                <w:b/>
                <w:bCs/>
                <w:spacing w:val="-2"/>
                <w:sz w:val="18"/>
                <w:szCs w:val="18"/>
                <w:highlight w:val="none"/>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kern w:val="0"/>
                <w:sz w:val="18"/>
                <w:szCs w:val="18"/>
                <w:highlight w:val="none"/>
                <w:lang w:val="en-US" w:eastAsia="zh-CN" w:bidi="ar-SA"/>
              </w:rPr>
            </w:pPr>
            <w:r>
              <w:rPr>
                <w:rFonts w:hint="eastAsia" w:ascii="楷体" w:hAnsi="楷体" w:eastAsia="楷体" w:cs="宋体"/>
                <w:b/>
                <w:bCs/>
                <w:spacing w:val="-2"/>
                <w:sz w:val="18"/>
                <w:szCs w:val="18"/>
                <w:highlight w:val="none"/>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highlight w:val="none"/>
                <w:u w:val="single"/>
              </w:rPr>
              <w:t>。</w:t>
            </w:r>
            <w:r>
              <w:rPr>
                <w:rFonts w:hint="eastAsia" w:ascii="楷体" w:hAnsi="楷体" w:eastAsia="楷体" w:cs="宋体"/>
                <w:spacing w:val="-2"/>
                <w:kern w:val="0"/>
                <w:sz w:val="18"/>
                <w:szCs w:val="18"/>
                <w:highlight w:val="none"/>
                <w:lang w:val="en-US" w:eastAsia="zh-CN" w:bidi="ar-SA"/>
              </w:rPr>
              <w:t>各类份额最新投资周期（2026年6月17日-2027年7月8日）业绩比较基准如下：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w:t>
                  </w:r>
                </w:p>
              </w:tc>
              <w:tc>
                <w:tcPr>
                  <w:tcW w:w="1871"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投资周期起始日</w:t>
                  </w:r>
                </w:p>
              </w:tc>
              <w:tc>
                <w:tcPr>
                  <w:tcW w:w="1803"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投资周期终止日</w:t>
                  </w:r>
                </w:p>
              </w:tc>
              <w:tc>
                <w:tcPr>
                  <w:tcW w:w="2701" w:type="dxa"/>
                  <w:vAlign w:val="center"/>
                </w:tcPr>
                <w:p>
                  <w:pPr>
                    <w:jc w:val="center"/>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业绩比较基准</w:t>
                  </w:r>
                </w:p>
                <w:p>
                  <w:pPr>
                    <w:jc w:val="center"/>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1</w:t>
                  </w:r>
                </w:p>
              </w:tc>
              <w:tc>
                <w:tcPr>
                  <w:tcW w:w="1871" w:type="dxa"/>
                  <w:vAlign w:val="center"/>
                </w:tcPr>
                <w:p>
                  <w:pPr>
                    <w:spacing w:before="0" w:after="0" w:line="0" w:lineRule="atLeast"/>
                    <w:jc w:val="center"/>
                  </w:pPr>
                  <w:r>
                    <w:rPr>
                      <w:rFonts w:ascii="楷体" w:hAnsi="楷体" w:eastAsia="楷体"/>
                      <w:sz w:val="18"/>
                    </w:rPr>
                    <w:t>2021年4月1日</w:t>
                  </w:r>
                </w:p>
              </w:tc>
              <w:tc>
                <w:tcPr>
                  <w:tcW w:w="1803" w:type="dxa"/>
                  <w:vAlign w:val="center"/>
                </w:tcPr>
                <w:p>
                  <w:pPr>
                    <w:spacing w:before="0" w:after="0" w:line="0" w:lineRule="atLeast"/>
                    <w:jc w:val="center"/>
                  </w:pPr>
                  <w:r>
                    <w:rPr>
                      <w:rFonts w:ascii="楷体" w:hAnsi="楷体" w:eastAsia="楷体"/>
                      <w:sz w:val="18"/>
                    </w:rPr>
                    <w:t>2022年5月10日</w:t>
                  </w:r>
                </w:p>
              </w:tc>
              <w:tc>
                <w:tcPr>
                  <w:tcW w:w="2701" w:type="dxa"/>
                  <w:vAlign w:val="center"/>
                </w:tcPr>
                <w:p>
                  <w:pPr>
                    <w:spacing w:before="0" w:after="0" w:line="0" w:lineRule="atLeast"/>
                    <w:jc w:val="center"/>
                  </w:pPr>
                  <w:r>
                    <w:rPr>
                      <w:rFonts w:ascii="楷体" w:hAnsi="楷体" w:eastAsia="楷体"/>
                      <w:sz w:val="18"/>
                    </w:rPr>
                    <w:t>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2</w:t>
                  </w:r>
                </w:p>
              </w:tc>
              <w:tc>
                <w:tcPr>
                  <w:tcW w:w="1871" w:type="dxa"/>
                  <w:vAlign w:val="center"/>
                </w:tcPr>
                <w:p>
                  <w:pPr>
                    <w:spacing w:before="0" w:after="0" w:line="0" w:lineRule="atLeast"/>
                    <w:jc w:val="center"/>
                  </w:pPr>
                  <w:r>
                    <w:rPr>
                      <w:rFonts w:ascii="楷体" w:hAnsi="楷体" w:eastAsia="楷体"/>
                      <w:sz w:val="18"/>
                    </w:rPr>
                    <w:t>2022年5月11日</w:t>
                  </w:r>
                </w:p>
              </w:tc>
              <w:tc>
                <w:tcPr>
                  <w:tcW w:w="1803" w:type="dxa"/>
                  <w:vAlign w:val="center"/>
                </w:tcPr>
                <w:p>
                  <w:pPr>
                    <w:spacing w:before="0" w:after="0" w:line="0" w:lineRule="atLeast"/>
                    <w:jc w:val="center"/>
                  </w:pPr>
                  <w:r>
                    <w:rPr>
                      <w:rFonts w:ascii="楷体" w:hAnsi="楷体" w:eastAsia="楷体"/>
                      <w:sz w:val="18"/>
                    </w:rPr>
                    <w:t>2023年5月9日</w:t>
                  </w:r>
                </w:p>
              </w:tc>
              <w:tc>
                <w:tcPr>
                  <w:tcW w:w="2701" w:type="dxa"/>
                  <w:vAlign w:val="center"/>
                </w:tcPr>
                <w:p>
                  <w:pPr>
                    <w:spacing w:before="0" w:after="0" w:line="0" w:lineRule="atLeast"/>
                    <w:jc w:val="center"/>
                  </w:pPr>
                  <w:r>
                    <w:rPr>
                      <w:rFonts w:ascii="楷体" w:hAnsi="楷体" w:eastAsia="楷体"/>
                      <w:sz w:val="18"/>
                    </w:rPr>
                    <w:t>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3</w:t>
                  </w:r>
                </w:p>
              </w:tc>
              <w:tc>
                <w:tcPr>
                  <w:tcW w:w="1871" w:type="dxa"/>
                  <w:vAlign w:val="center"/>
                </w:tcPr>
                <w:p>
                  <w:pPr>
                    <w:spacing w:before="0" w:after="0" w:line="0" w:lineRule="atLeast"/>
                    <w:jc w:val="center"/>
                  </w:pPr>
                  <w:r>
                    <w:rPr>
                      <w:rFonts w:ascii="楷体" w:hAnsi="楷体" w:eastAsia="楷体"/>
                      <w:sz w:val="18"/>
                    </w:rPr>
                    <w:t>2023年5月10日</w:t>
                  </w:r>
                </w:p>
              </w:tc>
              <w:tc>
                <w:tcPr>
                  <w:tcW w:w="1803" w:type="dxa"/>
                  <w:vAlign w:val="center"/>
                </w:tcPr>
                <w:p>
                  <w:pPr>
                    <w:spacing w:before="0" w:after="0" w:line="0" w:lineRule="atLeast"/>
                    <w:jc w:val="center"/>
                  </w:pPr>
                  <w:r>
                    <w:rPr>
                      <w:rFonts w:ascii="楷体" w:hAnsi="楷体" w:eastAsia="楷体"/>
                      <w:sz w:val="18"/>
                    </w:rPr>
                    <w:t>2024年5月15日</w:t>
                  </w:r>
                </w:p>
              </w:tc>
              <w:tc>
                <w:tcPr>
                  <w:tcW w:w="2701" w:type="dxa"/>
                  <w:vAlign w:val="center"/>
                </w:tcPr>
                <w:p>
                  <w:pPr>
                    <w:spacing w:before="0" w:after="0" w:line="0" w:lineRule="atLeast"/>
                    <w:jc w:val="center"/>
                  </w:pPr>
                  <w:r>
                    <w:rPr>
                      <w:rFonts w:ascii="楷体" w:hAnsi="楷体" w:eastAsia="楷体"/>
                      <w:sz w:val="18"/>
                    </w:rPr>
                    <w:t>A份额 4%</w:t>
                  </w:r>
                  <w:r>
                    <w:rPr>
                      <w:rFonts w:ascii="楷体" w:hAnsi="楷体" w:eastAsia="楷体"/>
                      <w:sz w:val="18"/>
                    </w:rPr>
                    <w:br w:type="textWrapping"/>
                  </w:r>
                  <w:r>
                    <w:rPr>
                      <w:rFonts w:ascii="楷体" w:hAnsi="楷体" w:eastAsia="楷体"/>
                      <w:sz w:val="18"/>
                    </w:rPr>
                    <w:t>B份额 4.03%</w:t>
                  </w:r>
                  <w:r>
                    <w:rPr>
                      <w:rFonts w:ascii="楷体" w:hAnsi="楷体" w:eastAsia="楷体"/>
                      <w:sz w:val="18"/>
                    </w:rPr>
                    <w:br w:type="textWrapping"/>
                  </w:r>
                  <w:r>
                    <w:rPr>
                      <w:rFonts w:ascii="楷体" w:hAnsi="楷体" w:eastAsia="楷体"/>
                      <w:sz w:val="18"/>
                    </w:rPr>
                    <w:t>X份额 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4</w:t>
                  </w:r>
                </w:p>
              </w:tc>
              <w:tc>
                <w:tcPr>
                  <w:tcW w:w="1871" w:type="dxa"/>
                  <w:vAlign w:val="center"/>
                </w:tcPr>
                <w:p>
                  <w:pPr>
                    <w:spacing w:before="0" w:after="0" w:line="0" w:lineRule="atLeast"/>
                    <w:jc w:val="center"/>
                  </w:pPr>
                  <w:r>
                    <w:rPr>
                      <w:rFonts w:ascii="楷体" w:hAnsi="楷体" w:eastAsia="楷体"/>
                      <w:sz w:val="18"/>
                    </w:rPr>
                    <w:t>2024年5月16日</w:t>
                  </w:r>
                </w:p>
              </w:tc>
              <w:tc>
                <w:tcPr>
                  <w:tcW w:w="1803" w:type="dxa"/>
                  <w:vAlign w:val="center"/>
                </w:tcPr>
                <w:p>
                  <w:pPr>
                    <w:spacing w:before="0" w:after="0" w:line="0" w:lineRule="atLeast"/>
                    <w:jc w:val="center"/>
                  </w:pPr>
                  <w:r>
                    <w:rPr>
                      <w:rFonts w:ascii="楷体" w:hAnsi="楷体" w:eastAsia="楷体"/>
                      <w:sz w:val="18"/>
                    </w:rPr>
                    <w:t>2025年5月22日</w:t>
                  </w:r>
                </w:p>
              </w:tc>
              <w:tc>
                <w:tcPr>
                  <w:tcW w:w="2701" w:type="dxa"/>
                  <w:vAlign w:val="center"/>
                </w:tcPr>
                <w:p>
                  <w:pPr>
                    <w:spacing w:before="0" w:after="0" w:line="0" w:lineRule="atLeast"/>
                    <w:jc w:val="center"/>
                  </w:pPr>
                  <w:r>
                    <w:rPr>
                      <w:rFonts w:ascii="楷体" w:hAnsi="楷体" w:eastAsia="楷体"/>
                      <w:sz w:val="18"/>
                    </w:rPr>
                    <w:t>A份额3.00%-3.60%</w:t>
                  </w:r>
                  <w:r>
                    <w:rPr>
                      <w:rFonts w:ascii="楷体" w:hAnsi="楷体" w:eastAsia="楷体"/>
                      <w:sz w:val="18"/>
                    </w:rPr>
                    <w:br w:type="textWrapping"/>
                  </w:r>
                  <w:r>
                    <w:rPr>
                      <w:rFonts w:ascii="楷体" w:hAnsi="楷体" w:eastAsia="楷体"/>
                      <w:sz w:val="18"/>
                    </w:rPr>
                    <w:t>B份额3.03%-3.63%</w:t>
                  </w:r>
                  <w:r>
                    <w:rPr>
                      <w:rFonts w:ascii="楷体" w:hAnsi="楷体" w:eastAsia="楷体"/>
                      <w:sz w:val="18"/>
                    </w:rPr>
                    <w:br w:type="textWrapping"/>
                  </w:r>
                  <w:r>
                    <w:rPr>
                      <w:rFonts w:ascii="楷体" w:hAnsi="楷体" w:eastAsia="楷体"/>
                      <w:sz w:val="18"/>
                    </w:rPr>
                    <w:t>D份额3.15%-3.75%</w:t>
                  </w:r>
                  <w:r>
                    <w:rPr>
                      <w:rFonts w:ascii="楷体" w:hAnsi="楷体" w:eastAsia="楷体"/>
                      <w:sz w:val="18"/>
                    </w:rPr>
                    <w:br w:type="textWrapping"/>
                  </w:r>
                  <w:r>
                    <w:rPr>
                      <w:rFonts w:ascii="楷体" w:hAnsi="楷体" w:eastAsia="楷体"/>
                      <w:sz w:val="18"/>
                    </w:rPr>
                    <w:t>F份额3.00%-3.60%</w:t>
                  </w:r>
                  <w:r>
                    <w:rPr>
                      <w:rFonts w:ascii="楷体" w:hAnsi="楷体" w:eastAsia="楷体"/>
                      <w:sz w:val="18"/>
                    </w:rPr>
                    <w:br w:type="textWrapping"/>
                  </w:r>
                  <w:r>
                    <w:rPr>
                      <w:rFonts w:ascii="楷体" w:hAnsi="楷体" w:eastAsia="楷体"/>
                      <w:sz w:val="18"/>
                    </w:rPr>
                    <w:t>G份额3.05%-3.65%</w:t>
                  </w:r>
                  <w:r>
                    <w:rPr>
                      <w:rFonts w:ascii="楷体" w:hAnsi="楷体" w:eastAsia="楷体"/>
                      <w:sz w:val="18"/>
                    </w:rPr>
                    <w:br w:type="textWrapping"/>
                  </w:r>
                  <w:r>
                    <w:rPr>
                      <w:rFonts w:ascii="楷体" w:hAnsi="楷体" w:eastAsia="楷体"/>
                      <w:sz w:val="18"/>
                    </w:rPr>
                    <w:t>J份额3.10%-3.70%</w:t>
                  </w:r>
                  <w:r>
                    <w:rPr>
                      <w:rFonts w:ascii="楷体" w:hAnsi="楷体" w:eastAsia="楷体"/>
                      <w:sz w:val="18"/>
                    </w:rPr>
                    <w:br w:type="textWrapping"/>
                  </w:r>
                  <w:r>
                    <w:rPr>
                      <w:rFonts w:ascii="楷体" w:hAnsi="楷体" w:eastAsia="楷体"/>
                      <w:sz w:val="18"/>
                    </w:rPr>
                    <w:t>M份额 3.10%-3.70%</w:t>
                  </w:r>
                  <w:r>
                    <w:rPr>
                      <w:rFonts w:ascii="楷体" w:hAnsi="楷体" w:eastAsia="楷体"/>
                      <w:sz w:val="18"/>
                    </w:rPr>
                    <w:br w:type="textWrapping"/>
                  </w:r>
                  <w:r>
                    <w:rPr>
                      <w:rFonts w:ascii="楷体" w:hAnsi="楷体" w:eastAsia="楷体"/>
                      <w:sz w:val="18"/>
                    </w:rPr>
                    <w:t>ZA份额3.00%-3.60%</w:t>
                  </w:r>
                  <w:r>
                    <w:rPr>
                      <w:rFonts w:ascii="楷体" w:hAnsi="楷体" w:eastAsia="楷体"/>
                      <w:sz w:val="18"/>
                    </w:rPr>
                    <w:br w:type="textWrapping"/>
                  </w:r>
                  <w:r>
                    <w:rPr>
                      <w:rFonts w:ascii="楷体" w:hAnsi="楷体" w:eastAsia="楷体"/>
                      <w:sz w:val="18"/>
                    </w:rPr>
                    <w:t>ZF份额3.00%-3.60%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5</w:t>
                  </w:r>
                </w:p>
              </w:tc>
              <w:tc>
                <w:tcPr>
                  <w:tcW w:w="1871" w:type="dxa"/>
                  <w:vAlign w:val="center"/>
                </w:tcPr>
                <w:p>
                  <w:pPr>
                    <w:spacing w:before="0" w:after="0" w:line="0" w:lineRule="atLeast"/>
                    <w:jc w:val="center"/>
                  </w:pPr>
                  <w:r>
                    <w:rPr>
                      <w:rFonts w:ascii="楷体" w:hAnsi="楷体" w:eastAsia="楷体"/>
                      <w:sz w:val="18"/>
                    </w:rPr>
                    <w:t>2025年5月23日</w:t>
                  </w:r>
                </w:p>
              </w:tc>
              <w:tc>
                <w:tcPr>
                  <w:tcW w:w="1803" w:type="dxa"/>
                  <w:vAlign w:val="center"/>
                </w:tcPr>
                <w:p>
                  <w:pPr>
                    <w:spacing w:before="0" w:after="0" w:line="0" w:lineRule="atLeast"/>
                    <w:jc w:val="center"/>
                  </w:pPr>
                  <w:r>
                    <w:rPr>
                      <w:rFonts w:ascii="楷体" w:hAnsi="楷体" w:eastAsia="楷体"/>
                      <w:sz w:val="18"/>
                    </w:rPr>
                    <w:t>2026年6月16日</w:t>
                  </w:r>
                </w:p>
              </w:tc>
              <w:tc>
                <w:tcPr>
                  <w:tcW w:w="2701" w:type="dxa"/>
                  <w:vAlign w:val="center"/>
                </w:tcPr>
                <w:p>
                  <w:pPr>
                    <w:spacing w:before="0" w:after="0" w:line="0" w:lineRule="atLeast"/>
                    <w:jc w:val="center"/>
                  </w:pPr>
                  <w:r>
                    <w:rPr>
                      <w:rFonts w:ascii="楷体" w:hAnsi="楷体" w:eastAsia="楷体"/>
                      <w:sz w:val="18"/>
                    </w:rPr>
                    <w:t>A份额 2.60%-3.20%</w:t>
                  </w:r>
                  <w:r>
                    <w:rPr>
                      <w:rFonts w:ascii="楷体" w:hAnsi="楷体" w:eastAsia="楷体"/>
                      <w:sz w:val="18"/>
                    </w:rPr>
                    <w:br w:type="textWrapping"/>
                  </w:r>
                  <w:r>
                    <w:rPr>
                      <w:rFonts w:ascii="楷体" w:hAnsi="楷体" w:eastAsia="楷体"/>
                      <w:sz w:val="18"/>
                    </w:rPr>
                    <w:t>B份额 2.63%-3.23%</w:t>
                  </w:r>
                  <w:r>
                    <w:rPr>
                      <w:rFonts w:ascii="楷体" w:hAnsi="楷体" w:eastAsia="楷体"/>
                      <w:sz w:val="18"/>
                    </w:rPr>
                    <w:br w:type="textWrapping"/>
                  </w:r>
                  <w:r>
                    <w:rPr>
                      <w:rFonts w:ascii="楷体" w:hAnsi="楷体" w:eastAsia="楷体"/>
                      <w:sz w:val="18"/>
                    </w:rPr>
                    <w:t>D份额 2.75%-3.35%</w:t>
                  </w:r>
                  <w:r>
                    <w:rPr>
                      <w:rFonts w:ascii="楷体" w:hAnsi="楷体" w:eastAsia="楷体"/>
                      <w:sz w:val="18"/>
                    </w:rPr>
                    <w:br w:type="textWrapping"/>
                  </w:r>
                  <w:r>
                    <w:rPr>
                      <w:rFonts w:ascii="楷体" w:hAnsi="楷体" w:eastAsia="楷体"/>
                      <w:sz w:val="18"/>
                    </w:rPr>
                    <w:t>F份额 2.60%-3.20%</w:t>
                  </w:r>
                  <w:r>
                    <w:rPr>
                      <w:rFonts w:ascii="楷体" w:hAnsi="楷体" w:eastAsia="楷体"/>
                      <w:sz w:val="18"/>
                    </w:rPr>
                    <w:br w:type="textWrapping"/>
                  </w:r>
                  <w:r>
                    <w:rPr>
                      <w:rFonts w:ascii="楷体" w:hAnsi="楷体" w:eastAsia="楷体"/>
                      <w:sz w:val="18"/>
                    </w:rPr>
                    <w:t>G份额 2.65%-3.25%</w:t>
                  </w:r>
                  <w:r>
                    <w:rPr>
                      <w:rFonts w:ascii="楷体" w:hAnsi="楷体" w:eastAsia="楷体"/>
                      <w:sz w:val="18"/>
                    </w:rPr>
                    <w:br w:type="textWrapping"/>
                  </w:r>
                  <w:r>
                    <w:rPr>
                      <w:rFonts w:ascii="楷体" w:hAnsi="楷体" w:eastAsia="楷体"/>
                      <w:sz w:val="18"/>
                    </w:rPr>
                    <w:t>J份额 2.70%-3.30%</w:t>
                  </w:r>
                  <w:r>
                    <w:rPr>
                      <w:rFonts w:ascii="楷体" w:hAnsi="楷体" w:eastAsia="楷体"/>
                      <w:sz w:val="18"/>
                    </w:rPr>
                    <w:br w:type="textWrapping"/>
                  </w:r>
                  <w:r>
                    <w:rPr>
                      <w:rFonts w:ascii="楷体" w:hAnsi="楷体" w:eastAsia="楷体"/>
                      <w:sz w:val="18"/>
                    </w:rPr>
                    <w:t>M份额 2.70%-3.30%</w:t>
                  </w:r>
                  <w:r>
                    <w:rPr>
                      <w:rFonts w:ascii="楷体" w:hAnsi="楷体" w:eastAsia="楷体"/>
                      <w:sz w:val="18"/>
                    </w:rPr>
                    <w:br w:type="textWrapping"/>
                  </w:r>
                  <w:r>
                    <w:rPr>
                      <w:rFonts w:ascii="楷体" w:hAnsi="楷体" w:eastAsia="楷体"/>
                      <w:sz w:val="18"/>
                    </w:rPr>
                    <w:t>P份额 2.80%-3.40%</w:t>
                  </w:r>
                  <w:r>
                    <w:rPr>
                      <w:rFonts w:ascii="楷体" w:hAnsi="楷体" w:eastAsia="楷体"/>
                      <w:sz w:val="18"/>
                    </w:rPr>
                    <w:br w:type="textWrapping"/>
                  </w:r>
                  <w:r>
                    <w:rPr>
                      <w:rFonts w:ascii="楷体" w:hAnsi="楷体" w:eastAsia="楷体"/>
                      <w:sz w:val="18"/>
                    </w:rPr>
                    <w:t>V份额 2.75%-3.35%</w:t>
                  </w:r>
                  <w:r>
                    <w:rPr>
                      <w:rFonts w:ascii="楷体" w:hAnsi="楷体" w:eastAsia="楷体"/>
                      <w:sz w:val="18"/>
                    </w:rPr>
                    <w:br w:type="textWrapping"/>
                  </w:r>
                  <w:r>
                    <w:rPr>
                      <w:rFonts w:ascii="楷体" w:hAnsi="楷体" w:eastAsia="楷体"/>
                      <w:sz w:val="18"/>
                    </w:rPr>
                    <w:t>ZA份额 2.60%-3.20%</w:t>
                  </w:r>
                  <w:r>
                    <w:rPr>
                      <w:rFonts w:ascii="楷体" w:hAnsi="楷体" w:eastAsia="楷体"/>
                      <w:sz w:val="18"/>
                    </w:rPr>
                    <w:br w:type="textWrapping"/>
                  </w:r>
                  <w:r>
                    <w:rPr>
                      <w:rFonts w:ascii="楷体" w:hAnsi="楷体" w:eastAsia="楷体"/>
                      <w:sz w:val="18"/>
                    </w:rPr>
                    <w:t>ZF份额 2.60%-3.20%</w:t>
                  </w:r>
                  <w:r>
                    <w:rPr>
                      <w:rFonts w:ascii="楷体" w:hAnsi="楷体" w:eastAsia="楷体"/>
                      <w:sz w:val="18"/>
                    </w:rPr>
                    <w:br w:type="textWrapping"/>
                  </w:r>
                  <w:r>
                    <w:rPr>
                      <w:rFonts w:ascii="楷体" w:hAnsi="楷体" w:eastAsia="楷体"/>
                      <w:sz w:val="18"/>
                    </w:rPr>
                    <w:t>ZN份额 2.79%-3.39%</w:t>
                  </w:r>
                  <w:r>
                    <w:rPr>
                      <w:rFonts w:ascii="楷体" w:hAnsi="楷体" w:eastAsia="楷体"/>
                      <w:sz w:val="18"/>
                    </w:rPr>
                    <w:br w:type="textWrapping"/>
                  </w:r>
                  <w:r>
                    <w:rPr>
                      <w:rFonts w:ascii="楷体" w:hAnsi="楷体" w:eastAsia="楷体"/>
                      <w:sz w:val="18"/>
                    </w:rPr>
                    <w:t>ZQ份额 2.55%-3.15%</w:t>
                  </w:r>
                  <w:r>
                    <w:rPr>
                      <w:rFonts w:ascii="楷体" w:hAnsi="楷体" w:eastAsia="楷体"/>
                      <w:sz w:val="18"/>
                    </w:rPr>
                    <w:br w:type="textWrapping"/>
                  </w:r>
                  <w:r>
                    <w:rPr>
                      <w:rFonts w:ascii="楷体" w:hAnsi="楷体" w:eastAsia="楷体"/>
                      <w:sz w:val="18"/>
                    </w:rPr>
                    <w:t>ZR份额 2.85%-3.45%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rPr>
                      <w:rFonts w:hint="eastAsia" w:eastAsia="宋体"/>
                      <w:lang w:eastAsia="zh-CN"/>
                    </w:rPr>
                  </w:pPr>
                  <w:r>
                    <w:rPr>
                      <w:rFonts w:hint="eastAsia" w:ascii="楷体" w:hAnsi="楷体" w:eastAsia="楷体"/>
                      <w:sz w:val="18"/>
                      <w:lang w:val="en-US" w:eastAsia="zh-CN"/>
                    </w:rPr>
                    <w:t>6</w:t>
                  </w:r>
                </w:p>
              </w:tc>
              <w:tc>
                <w:tcPr>
                  <w:tcW w:w="1871" w:type="dxa"/>
                  <w:vAlign w:val="center"/>
                </w:tcPr>
                <w:p>
                  <w:pPr>
                    <w:spacing w:before="0" w:after="0" w:line="0" w:lineRule="atLeast"/>
                    <w:jc w:val="center"/>
                  </w:pPr>
                  <w:r>
                    <w:rPr>
                      <w:rFonts w:ascii="楷体" w:hAnsi="楷体" w:eastAsia="楷体"/>
                      <w:sz w:val="18"/>
                    </w:rPr>
                    <w:t>2026年6月17日</w:t>
                  </w:r>
                </w:p>
              </w:tc>
              <w:tc>
                <w:tcPr>
                  <w:tcW w:w="1803" w:type="dxa"/>
                  <w:vAlign w:val="center"/>
                </w:tcPr>
                <w:p>
                  <w:pPr>
                    <w:spacing w:before="0" w:after="0" w:line="0" w:lineRule="atLeast"/>
                    <w:jc w:val="center"/>
                  </w:pPr>
                  <w:r>
                    <w:rPr>
                      <w:rFonts w:ascii="楷体" w:hAnsi="楷体" w:eastAsia="楷体"/>
                      <w:sz w:val="18"/>
                    </w:rPr>
                    <w:t>2027年7月8日</w:t>
                  </w:r>
                </w:p>
              </w:tc>
              <w:tc>
                <w:tcPr>
                  <w:tcW w:w="2701" w:type="dxa"/>
                  <w:vAlign w:val="center"/>
                </w:tcPr>
                <w:p>
                  <w:pPr>
                    <w:spacing w:before="0" w:after="0" w:line="0" w:lineRule="atLeast"/>
                    <w:jc w:val="center"/>
                  </w:pPr>
                  <w:r>
                    <w:rPr>
                      <w:rFonts w:ascii="楷体" w:hAnsi="楷体" w:eastAsia="楷体"/>
                      <w:sz w:val="18"/>
                    </w:rPr>
                    <w:t>A份额2.45%-3.05%</w:t>
                  </w:r>
                  <w:r>
                    <w:rPr>
                      <w:rFonts w:ascii="楷体" w:hAnsi="楷体" w:eastAsia="楷体"/>
                      <w:sz w:val="18"/>
                    </w:rPr>
                    <w:br w:type="textWrapping"/>
                  </w:r>
                  <w:r>
                    <w:rPr>
                      <w:rFonts w:ascii="楷体" w:hAnsi="楷体" w:eastAsia="楷体"/>
                      <w:sz w:val="18"/>
                    </w:rPr>
                    <w:t>B份额2.48%-3.08%</w:t>
                  </w:r>
                  <w:r>
                    <w:rPr>
                      <w:rFonts w:ascii="楷体" w:hAnsi="楷体" w:eastAsia="楷体"/>
                      <w:sz w:val="18"/>
                    </w:rPr>
                    <w:br w:type="textWrapping"/>
                  </w:r>
                  <w:r>
                    <w:rPr>
                      <w:rFonts w:ascii="楷体" w:hAnsi="楷体" w:eastAsia="楷体"/>
                      <w:sz w:val="18"/>
                    </w:rPr>
                    <w:t>C份额2.50%-3.10%</w:t>
                  </w:r>
                  <w:r>
                    <w:rPr>
                      <w:rFonts w:ascii="楷体" w:hAnsi="楷体" w:eastAsia="楷体"/>
                      <w:sz w:val="18"/>
                    </w:rPr>
                    <w:br w:type="textWrapping"/>
                  </w:r>
                  <w:r>
                    <w:rPr>
                      <w:rFonts w:ascii="楷体" w:hAnsi="楷体" w:eastAsia="楷体"/>
                      <w:sz w:val="18"/>
                    </w:rPr>
                    <w:t>D份额2.60%-3.20%</w:t>
                  </w:r>
                  <w:r>
                    <w:rPr>
                      <w:rFonts w:ascii="楷体" w:hAnsi="楷体" w:eastAsia="楷体"/>
                      <w:sz w:val="18"/>
                    </w:rPr>
                    <w:br w:type="textWrapping"/>
                  </w:r>
                  <w:r>
                    <w:rPr>
                      <w:rFonts w:ascii="楷体" w:hAnsi="楷体" w:eastAsia="楷体"/>
                      <w:sz w:val="18"/>
                    </w:rPr>
                    <w:t>F份额2.45%-3.05%</w:t>
                  </w:r>
                  <w:r>
                    <w:rPr>
                      <w:rFonts w:ascii="楷体" w:hAnsi="楷体" w:eastAsia="楷体"/>
                      <w:sz w:val="18"/>
                    </w:rPr>
                    <w:br w:type="textWrapping"/>
                  </w:r>
                  <w:r>
                    <w:rPr>
                      <w:rFonts w:ascii="楷体" w:hAnsi="楷体" w:eastAsia="楷体"/>
                      <w:sz w:val="18"/>
                    </w:rPr>
                    <w:t>G份额2.48%-3.08%</w:t>
                  </w:r>
                  <w:r>
                    <w:rPr>
                      <w:rFonts w:ascii="楷体" w:hAnsi="楷体" w:eastAsia="楷体"/>
                      <w:sz w:val="18"/>
                    </w:rPr>
                    <w:br w:type="textWrapping"/>
                  </w:r>
                  <w:r>
                    <w:rPr>
                      <w:rFonts w:ascii="楷体" w:hAnsi="楷体" w:eastAsia="楷体"/>
                      <w:sz w:val="18"/>
                    </w:rPr>
                    <w:t>J份额2.55%-3.15%</w:t>
                  </w:r>
                  <w:r>
                    <w:rPr>
                      <w:rFonts w:ascii="楷体" w:hAnsi="楷体" w:eastAsia="楷体"/>
                      <w:sz w:val="18"/>
                    </w:rPr>
                    <w:br w:type="textWrapping"/>
                  </w:r>
                  <w:r>
                    <w:rPr>
                      <w:rFonts w:ascii="楷体" w:hAnsi="楷体" w:eastAsia="楷体"/>
                      <w:sz w:val="18"/>
                    </w:rPr>
                    <w:t>M份额2.55%-3.15%</w:t>
                  </w:r>
                  <w:r>
                    <w:rPr>
                      <w:rFonts w:ascii="楷体" w:hAnsi="楷体" w:eastAsia="楷体"/>
                      <w:sz w:val="18"/>
                    </w:rPr>
                    <w:br w:type="textWrapping"/>
                  </w:r>
                  <w:r>
                    <w:rPr>
                      <w:rFonts w:ascii="楷体" w:hAnsi="楷体" w:eastAsia="楷体"/>
                      <w:sz w:val="18"/>
                    </w:rPr>
                    <w:t>P份额2.65%-3.25%</w:t>
                  </w:r>
                  <w:r>
                    <w:rPr>
                      <w:rFonts w:ascii="楷体" w:hAnsi="楷体" w:eastAsia="楷体"/>
                      <w:sz w:val="18"/>
                    </w:rPr>
                    <w:br w:type="textWrapping"/>
                  </w:r>
                  <w:r>
                    <w:rPr>
                      <w:rFonts w:ascii="楷体" w:hAnsi="楷体" w:eastAsia="楷体"/>
                      <w:sz w:val="18"/>
                    </w:rPr>
                    <w:t>GS份额2.55%-3.15%</w:t>
                  </w:r>
                  <w:r>
                    <w:rPr>
                      <w:rFonts w:ascii="楷体" w:hAnsi="楷体" w:eastAsia="楷体"/>
                      <w:sz w:val="18"/>
                    </w:rPr>
                    <w:br w:type="textWrapping"/>
                  </w:r>
                  <w:r>
                    <w:rPr>
                      <w:rFonts w:ascii="楷体" w:hAnsi="楷体" w:eastAsia="楷体"/>
                      <w:sz w:val="18"/>
                    </w:rPr>
                    <w:t>SX份额2.55%-3.15%</w:t>
                  </w:r>
                  <w:r>
                    <w:rPr>
                      <w:rFonts w:ascii="楷体" w:hAnsi="楷体" w:eastAsia="楷体"/>
                      <w:sz w:val="18"/>
                    </w:rPr>
                    <w:br w:type="textWrapping"/>
                  </w:r>
                  <w:r>
                    <w:rPr>
                      <w:rFonts w:ascii="楷体" w:hAnsi="楷体" w:eastAsia="楷体"/>
                      <w:sz w:val="18"/>
                    </w:rPr>
                    <w:t>U份额2.45%-3.05%</w:t>
                  </w:r>
                  <w:r>
                    <w:rPr>
                      <w:rFonts w:ascii="楷体" w:hAnsi="楷体" w:eastAsia="楷体"/>
                      <w:sz w:val="18"/>
                    </w:rPr>
                    <w:br w:type="textWrapping"/>
                  </w:r>
                  <w:r>
                    <w:rPr>
                      <w:rFonts w:ascii="楷体" w:hAnsi="楷体" w:eastAsia="楷体"/>
                      <w:sz w:val="18"/>
                    </w:rPr>
                    <w:t>Z份额2.45%-3.05%</w:t>
                  </w:r>
                  <w:r>
                    <w:rPr>
                      <w:rFonts w:ascii="楷体" w:hAnsi="楷体" w:eastAsia="楷体"/>
                      <w:sz w:val="18"/>
                    </w:rPr>
                    <w:br w:type="textWrapping"/>
                  </w:r>
                  <w:r>
                    <w:rPr>
                      <w:rFonts w:ascii="楷体" w:hAnsi="楷体" w:eastAsia="楷体"/>
                      <w:sz w:val="18"/>
                    </w:rPr>
                    <w:t>Z1份额2.50%-3.10%</w:t>
                  </w:r>
                  <w:r>
                    <w:rPr>
                      <w:rFonts w:ascii="楷体" w:hAnsi="楷体" w:eastAsia="楷体"/>
                      <w:sz w:val="18"/>
                    </w:rPr>
                    <w:br w:type="textWrapping"/>
                  </w:r>
                  <w:r>
                    <w:rPr>
                      <w:rFonts w:ascii="楷体" w:hAnsi="楷体" w:eastAsia="楷体"/>
                      <w:sz w:val="18"/>
                    </w:rPr>
                    <w:t>Z2份额2.55%-3.15%</w:t>
                  </w:r>
                  <w:r>
                    <w:rPr>
                      <w:rFonts w:ascii="楷体" w:hAnsi="楷体" w:eastAsia="楷体"/>
                      <w:sz w:val="18"/>
                    </w:rPr>
                    <w:br w:type="textWrapping"/>
                  </w:r>
                  <w:r>
                    <w:rPr>
                      <w:rFonts w:ascii="楷体" w:hAnsi="楷体" w:eastAsia="楷体"/>
                      <w:sz w:val="18"/>
                    </w:rPr>
                    <w:t>ZA份额2.45%-3.05%</w:t>
                  </w:r>
                  <w:r>
                    <w:rPr>
                      <w:rFonts w:ascii="楷体" w:hAnsi="楷体" w:eastAsia="楷体"/>
                      <w:sz w:val="18"/>
                    </w:rPr>
                    <w:br w:type="textWrapping"/>
                  </w:r>
                  <w:r>
                    <w:rPr>
                      <w:rFonts w:ascii="楷体" w:hAnsi="楷体" w:eastAsia="楷体"/>
                      <w:sz w:val="18"/>
                    </w:rPr>
                    <w:t>ZF份额2.45%-3.05%</w:t>
                  </w:r>
                  <w:r>
                    <w:rPr>
                      <w:rFonts w:ascii="楷体" w:hAnsi="楷体" w:eastAsia="楷体"/>
                      <w:sz w:val="18"/>
                    </w:rPr>
                    <w:br w:type="textWrapping"/>
                  </w:r>
                  <w:r>
                    <w:rPr>
                      <w:rFonts w:ascii="楷体" w:hAnsi="楷体" w:eastAsia="楷体"/>
                      <w:sz w:val="18"/>
                    </w:rPr>
                    <w:t>ZF2份额2.55%-3.15%</w:t>
                  </w:r>
                  <w:r>
                    <w:rPr>
                      <w:rFonts w:ascii="楷体" w:hAnsi="楷体" w:eastAsia="楷体"/>
                      <w:sz w:val="18"/>
                    </w:rPr>
                    <w:br w:type="textWrapping"/>
                  </w:r>
                  <w:r>
                    <w:rPr>
                      <w:rFonts w:ascii="楷体" w:hAnsi="楷体" w:eastAsia="楷体"/>
                      <w:sz w:val="18"/>
                    </w:rPr>
                    <w:t>ZJ份额2.70%-3.30%</w:t>
                  </w:r>
                  <w:r>
                    <w:rPr>
                      <w:rFonts w:ascii="楷体" w:hAnsi="楷体" w:eastAsia="楷体"/>
                      <w:sz w:val="18"/>
                    </w:rPr>
                    <w:br w:type="textWrapping"/>
                  </w:r>
                  <w:r>
                    <w:rPr>
                      <w:rFonts w:ascii="楷体" w:hAnsi="楷体" w:eastAsia="楷体"/>
                      <w:sz w:val="18"/>
                    </w:rPr>
                    <w:t>ZL份额2.60%-3.20%</w:t>
                  </w:r>
                  <w:r>
                    <w:rPr>
                      <w:rFonts w:ascii="楷体" w:hAnsi="楷体" w:eastAsia="楷体"/>
                      <w:sz w:val="18"/>
                    </w:rPr>
                    <w:br w:type="textWrapping"/>
                  </w:r>
                  <w:r>
                    <w:rPr>
                      <w:rFonts w:ascii="楷体" w:hAnsi="楷体" w:eastAsia="楷体"/>
                      <w:sz w:val="18"/>
                    </w:rPr>
                    <w:t>ZN份额2.55%-3.15%</w:t>
                  </w:r>
                  <w:r>
                    <w:rPr>
                      <w:rFonts w:ascii="楷体" w:hAnsi="楷体" w:eastAsia="楷体"/>
                      <w:sz w:val="18"/>
                    </w:rPr>
                    <w:br w:type="textWrapping"/>
                  </w:r>
                  <w:r>
                    <w:rPr>
                      <w:rFonts w:ascii="楷体" w:hAnsi="楷体" w:eastAsia="楷体"/>
                      <w:sz w:val="18"/>
                    </w:rPr>
                    <w:t>ZQ份额2.40%-3.00%</w:t>
                  </w:r>
                  <w:r>
                    <w:rPr>
                      <w:rFonts w:ascii="楷体" w:hAnsi="楷体" w:eastAsia="楷体"/>
                      <w:sz w:val="18"/>
                    </w:rPr>
                    <w:br w:type="textWrapping"/>
                  </w:r>
                  <w:r>
                    <w:rPr>
                      <w:rFonts w:ascii="楷体" w:hAnsi="楷体" w:eastAsia="楷体"/>
                      <w:sz w:val="18"/>
                    </w:rPr>
                    <w:t>ZC份额2.50%-3.10%</w:t>
                  </w:r>
                  <w:r>
                    <w:rPr>
                      <w:rFonts w:ascii="楷体" w:hAnsi="楷体" w:eastAsia="楷体"/>
                      <w:sz w:val="18"/>
                    </w:rPr>
                    <w:br w:type="textWrapping"/>
                  </w:r>
                  <w:r>
                    <w:rPr>
                      <w:rFonts w:ascii="楷体" w:hAnsi="楷体" w:eastAsia="楷体"/>
                      <w:sz w:val="18"/>
                    </w:rPr>
                    <w:t>ZK份额2.60%-3.20%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lang w:val="en-US" w:eastAsia="zh-CN"/>
              </w:rPr>
            </w:pPr>
            <w:r>
              <w:rPr>
                <w:rFonts w:hint="eastAsia" w:ascii="楷体" w:hAnsi="楷体" w:eastAsia="楷体" w:cs="宋体"/>
                <w:b/>
                <w:spacing w:val="-2"/>
                <w:sz w:val="18"/>
                <w:szCs w:val="18"/>
                <w:highlight w:val="none"/>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spacing w:val="-2"/>
                <w:sz w:val="18"/>
                <w:szCs w:val="18"/>
                <w:highlight w:val="none"/>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highlight w:val="none"/>
              </w:rPr>
            </w:pPr>
            <w:r>
              <w:rPr>
                <w:rFonts w:hint="eastAsia" w:ascii="楷体" w:hAnsi="楷体" w:eastAsia="楷体" w:cs="宋体"/>
                <w:b/>
                <w:spacing w:val="-2"/>
                <w:sz w:val="18"/>
                <w:szCs w:val="18"/>
                <w:highlight w:val="none"/>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0.55%，J份额 0.50%，M份额 0.55%，P份额 0.45%，GS份额 0.55%，SX份额 0.55%，U份额 0.60%，Z份额 0.65%，Z1份额 0.60%，Z2份额 0.55%，ZA份额 0.65%，ZF份额 0.65%，ZF2份额 0.60%，ZJ份额 0.45%，ZL份额 0.50%，ZN份额 0.55%，ZQ份额 0.65%，ZC份额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0.72%，J份额 0.70%，M份额 0.65%，P份额 0.65%，GS份额 0.65%，SX份额 0.65%，U份额 0.70%，Z份额 0.65%，Z1份额 0.65%，Z2份额 0.65%，ZA份额 0.65%，ZF份额 0.65%，ZF2份额 0.60%，ZJ份额 0.60%，ZL份额 0.65%，ZN份额 0.65%，ZQ份额 0.70%，ZC份额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highlight w:val="none"/>
              </w:rPr>
            </w:pPr>
            <w:r>
              <w:rPr>
                <w:rFonts w:hint="eastAsia" w:ascii="楷体" w:hAnsi="楷体" w:eastAsia="楷体" w:cs="宋体"/>
                <w:b/>
                <w:spacing w:val="-2"/>
                <w:sz w:val="18"/>
                <w:szCs w:val="18"/>
                <w:highlight w:val="none"/>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highlight w:val="none"/>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本产品按投资周期进行现金分红</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highlight w:val="none"/>
              </w:rPr>
              <w:t>详见下文</w:t>
            </w:r>
            <w:r>
              <w:rPr>
                <w:rFonts w:hint="eastAsia" w:ascii="楷体" w:hAnsi="楷体" w:eastAsia="楷体" w:cs="宋体"/>
                <w:spacing w:val="-2"/>
                <w:sz w:val="18"/>
                <w:szCs w:val="18"/>
                <w:highlight w:val="none"/>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highlight w:val="none"/>
                <w:lang w:val="en-US"/>
              </w:rPr>
            </w:pPr>
            <w:r>
              <w:rPr>
                <w:rFonts w:hint="eastAsia" w:ascii="楷体" w:hAnsi="楷体" w:eastAsia="楷体" w:cs="宋体"/>
                <w:b/>
                <w:color w:val="auto"/>
                <w:spacing w:val="-2"/>
                <w:sz w:val="18"/>
                <w:szCs w:val="18"/>
                <w:highlight w:val="none"/>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rPr>
              <w:t>根据中国增值税等税收相关法律法规、税收政策等要求，</w:t>
            </w:r>
            <w:r>
              <w:rPr>
                <w:rFonts w:hint="eastAsia" w:ascii="楷体" w:hAnsi="楷体" w:eastAsia="楷体" w:cs="宋体"/>
                <w:color w:val="auto"/>
                <w:spacing w:val="-2"/>
                <w:sz w:val="18"/>
                <w:szCs w:val="18"/>
                <w:highlight w:val="none"/>
                <w:shd w:val="clear" w:fill="auto"/>
                <w:lang w:val="en-US" w:eastAsia="zh-CN"/>
              </w:rPr>
              <w:t>产品</w:t>
            </w:r>
            <w:r>
              <w:rPr>
                <w:rFonts w:hint="eastAsia" w:ascii="楷体" w:hAnsi="楷体" w:eastAsia="楷体" w:cs="宋体"/>
                <w:color w:val="auto"/>
                <w:spacing w:val="-2"/>
                <w:sz w:val="18"/>
                <w:szCs w:val="18"/>
                <w:highlight w:val="none"/>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highlight w:val="none"/>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本产品管理人为</w:t>
      </w:r>
      <w:r>
        <w:rPr>
          <w:rFonts w:hint="eastAsia" w:ascii="楷体" w:hAnsi="楷体" w:eastAsia="楷体" w:cs="Calibri"/>
          <w:b/>
          <w:bCs/>
          <w:sz w:val="21"/>
          <w:szCs w:val="21"/>
          <w:highlight w:val="none"/>
          <w:u w:val="single"/>
        </w:rPr>
        <w:t>苏银理财有限责任公司</w:t>
      </w:r>
      <w:r>
        <w:rPr>
          <w:rFonts w:hint="eastAsia" w:ascii="楷体" w:hAnsi="楷体" w:eastAsia="楷体" w:cs="Calibri"/>
          <w:sz w:val="21"/>
          <w:szCs w:val="21"/>
          <w:highlight w:val="none"/>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highlight w:val="none"/>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highlight w:val="none"/>
          <w:u w:val="single"/>
          <w:lang w:val="en-US" w:eastAsia="zh-CN"/>
        </w:rPr>
        <w:t>江苏银行股份有限</w:t>
      </w:r>
      <w:r>
        <w:rPr>
          <w:rFonts w:hint="eastAsia" w:ascii="楷体" w:hAnsi="楷体" w:eastAsia="楷体" w:cs="Calibri"/>
          <w:b/>
          <w:bCs/>
          <w:sz w:val="21"/>
          <w:szCs w:val="21"/>
          <w:highlight w:val="none"/>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highlight w:val="none"/>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highlight w:val="none"/>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兑付责任，产品的投资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宜兴农村商业银行股份有限公司/江苏扬州农村商业银行股份有限公司/江苏淮安农村商业银行股份有限公司/江苏靖江农村商业银行股份有限公司/江苏高淳农村商业银行股份有限公司/江苏银行股份有限公司/江苏丹阳农村商业银行股份有限公司/九江银行股份有限公司/江苏盱眙农村商业银行股份有限公司/江苏阜宁农村商业银行股份有限公司/江苏新沂农村商业银行股份有限公司/江苏如东农村商业银行股份有限公司/江苏泰兴农村商业银行股份有限公司/江苏句容农村商业银行股份有限公司/江苏邳州农村商业银行股份有限公司/江苏东台农村商业银行股份有限公司/江苏江阴农村商业银行股份有限公司/江苏沭阳农村商业银行股份有限公司/江苏高邮农村商业银行股份有限公司/江苏洪泽农村商业银行股份有限公司/江苏涟水农村商业银行股份有限公司/江苏扬中农村商业银行股份有限公司/江苏溧水农村商业银行股份有限公司/江苏紫金农村商业银行股份有限公司/江苏仪征农村商业银行股份有限公司/江苏如皋农村商业银行股份有限公司/江苏南通农村商业银行股份有限公司/江苏海安农村商业银行股份有限公司/宁波东海银行股份有限公司/齐鲁银行股份有限公司/上海银行股份有限公司/苏银理财有限责任公司/上海农村商业银行股份有限公司/威海银行股份有限公司/徐州农村商业银行股份有限公司/兴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B份额:江苏宜兴农村商业银行股份有限公司/江苏扬州农村商业银行股份有限公司/江苏淮安农村商业银行股份有限公司/江苏靖江农村商业银行股份有限公司/江苏高淳农村商业银行股份有限公司/江苏苏州农村商业银行股份有限公司/江苏银行股份有限公司/江苏丹阳农村商业银行股份有限公司/江苏盱眙农村商业银行股份有限公司/江苏阜宁农村商业银行股份有限公司/江苏新沂农村商业银行股份有限公司/江苏如东农村商业银行股份有限公司/江苏泰兴农村商业银行股份有限公司/江苏句容农村商业银行股份有限公司/江苏邳州农村商业银行股份有限公司/江苏东台农村商业银行股份有限公司/江苏沭阳农村商业银行股份有限公司/江苏高邮农村商业银行股份有限公司/江苏洪泽农村商业银行股份有限公司/江苏涟水农村商业银行股份有限公司/江苏常熟农村商业银行股份有限公司/江苏扬中农村商业银行股份有限公司/江苏溧水农村商业银行股份有限公司/江苏紫金农村商业银行股份有限公司/江苏仪征农村商业银行股份有限公司/江苏如皋农村商业银行股份有限公司/江苏南通农村商业银行股份有限公司/江苏海安农村商业银行股份有限公司/宁波东海银行股份有限公司/齐鲁银行股份有限公司/苏银理财有限责任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C份额:江苏银行股份有限公司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D份额:江苏银行股份有限公司/江苏江阴农村商业银行股份有限公司/上海银行股份有限公司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F份额:北京农村商业银行股份有限公司/广州农村商业银行股份有限公司/甘肃银行股份有限公司/广州银行股份有限公司/杭州联合农村商业银行股份有限公司/华侨银行有限公司/九江银行股份有限公司/交通银行股份有限公司/宁波慈溪农村商业银行股份有限公司/宁波镇海农村商业银行股份有限公司/宁波余姚农村商业银行股份有限公司/宁波通商银行股份有限公司/日照银行股份有限公司/苏州银行股份有限公司/深圳农村商业银行股份有限公司/山西银行股份有限公司/泰安银行股份有限公司/台州银行股份有限公司/天津滨海农村商业银行股份有限公司/潍坊银行股份有限公司/兴业银行股份有限公司/浙江义乌农村商业银行股份有限公司/浙江永康农村商业银行股份有限公司/浙江武义农村商业银行股份有限公司/浙江青田农村商业银行股份有限公司/浙江开化农村商业银行股份有限公司/浙江绍兴瑞丰农村商业银行股份有限公司/浙江温州龙湾农村商业银行股份有限公司/浙江嘉善农村商业银行股份有限公司/浙江上虞农村商业银行股份有限公司/浙江杭州余杭农村商业银行股份有限公司/浙江温州瓯海农村商业银行股份有限公司/浙江舟山定海海洋农村商业银行股份有限公司/浙江乐清农村商业银行股份有限公司/浙江淳安农村商业银行股份有限公司/浙江海宁农村商业银行股份有限公司/浙江岱山农村商业银行股份有限公司/中邮邮惠万家银行有限责任公司/浙江江山农村商业银行股份有限公司/浙江长兴农村商业银行股份有限公司/浙江永嘉农村商业银行股份有限公司/浙江德清农村商业银行股份有限公司/浙江萧山农村商业银行股份有限公司/浙江临海农村商业银行股份有限公司/浙商银行股份有限公司/浙江泰顺农村商业银行股份有限公司/浙江桐庐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份额:广州农村商业银行股份有限公司/广州银行股份有限公司/徽商银行股份有限公司/杭州联合农村商业银行股份有限公司/九江银行股份有限公司/宁波余姚农村商业银行股份有限公司/宁波通商银行股份有限公司/深圳农村商业银行股份有限公司/山西银行股份有限公司/兴业银行股份有限公司/浙江青田农村商业银行股份有限公司/浙江绍兴瑞丰农村商业银行股份有限公司/浙江嘉善农村商业银行股份有限公司/浙江上虞农村商业银行股份有限公司/浙江杭州余杭农村商业银行股份有限公司/浙江衢州衢江农村商业银行股份有限公司/浙江舟山定海海洋农村商业银行股份有限公司/浙江淳安农村商业银行股份有限公司/浙江海宁农村商业银行股份有限公司/浙江岱山农村商业银行股份有限公司/浙江永嘉农村商业银行股份有限公司/浙江德清农村商业银行股份有限公司/浙商银行股份有限公司/浙江桐庐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J份额:江苏如皋农村商业银行股份有限公司/江苏银行股份有限公司/上海银行股份有限公司/威海银行股份有限公司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M份额:徽商银行股份有限公司/宁波通商银行股份有限公司/兴业银行股份有限公司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P份额:甘肃银行股份有限公司/泰安银行股份有限公司/郑州银行股份有限公司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GS份额:甘肃银行股份有限公司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SX份额:山西银行股份有限公司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U份额：徽商银行股份有限公司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Z份额：上海农村商业银行股份有限公司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Z1份额：上海农村商业银行股份有限公司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sz w:val="21"/>
          <w:szCs w:val="21"/>
          <w:highlight w:val="none"/>
          <w:lang w:val="en-US" w:eastAsia="zh-CN"/>
        </w:rPr>
        <w:t>Z2份额：上海农村商业银行股份有限公司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A份额:江苏宜兴农村商业银行股份有限公司/江苏盐城农村商业银行股份有限公司/江苏扬州农村商业银行股份有限公司/江苏淮安农村商业银行股份有限公司/江苏睢宁农村商业银行股份有限公司/江苏建湖农村商业银行股份有限公司/江苏江都农村商业银行股份有限公司/江苏靖江农村商业银行股份有限公司/江苏高淳农村商业银行股份有限公司/江苏苏州农村商业银行股份有限公司/江苏灌南农村商业银行股份有限公司/江苏丹阳农村商业银行股份有限公司/江苏镇江农村商业银行股份有限公司/江苏民丰农村商业银行股份有限公司/江苏盱眙农村商业银行股份有限公司/江苏阜宁农村商业银行股份有限公司/江苏如东农村商业银行股份有限公司/江苏新沂农村商业银行股份有限公司/江苏丰县农村商业银行股份有限公司/江苏泰兴农村商业银行股份有限公司/江苏句容农村商业银行股份有限公司/江苏邳州农村商业银行股份有限公司/江苏东台农村商业银行股份有限公司/江苏金湖农村商业银行股份有限公司/江苏东海农村商业银行股份有限公司/江苏沭阳农村商业银行股份有限公司/江苏高邮农村商业银行股份有限公司/江苏洪泽农村商业银行股份有限公司/江苏涟水农村商业银行股份有限公司/江苏常熟农村商业银行股份有限公司/江苏大丰农村商业银行股份有限公司/江苏扬中农村商业银行股份有限公司/江苏溧水农村商业银行股份有限公司/江苏启东农村商业银行股份有限公司/江苏泗阳农村商业银行股份有限公司/江苏紫金农村商业银行股份有限公司/江苏仪征农村商业银行股份有限公司/江苏如皋农村商业银行股份有限公司/江苏响水农村商业银行股份有限公司/江苏灌云农村商业银行股份有限公司/江苏姜堰农村商业银行股份有限公司/江苏南通农村商业银行股份有限公司/江苏泗洪农村商业银行股份有限公司/江苏海安农村商业银行股份有限公司/连云港东方农村商业银行股份有限公司/宁波东海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份额:汉口银行股份有限公司/河北银行股份有限公司/江苏江南农村商业银行股份有限公司/嘉兴银行股份有限公司/江苏张家港农村商业银行股份有限公司/江门农村商业银行股份有限公司/莱商银行股份有限公司/宁波慈溪农村商业银行股份有限公司/宁波镇海农村商业银行股份有限公司/宁波余姚农村商业银行股份有限公司/宁波甬城农村商业银行股份有限公司/苏州银行股份有限公司/厦门银行股份有限公司/兴业银行股份有限公司/浙江浦江农村商业银行股份有限公司/浙江义乌农村商业银行股份有限公司/浙江永康农村商业银行股份有限公司/浙江武义农村商业银行股份有限公司/浙江嵊州农村商业银行股份有限公司/浙江民泰商业银行股份有限公司/浙江青田农村商业银行股份有限公司/浙江开化农村商业银行股份有限公司/浙江温州龙湾农村商业银行股份有限公司/浙江嘉善农村商业银行股份有限公司/浙江上虞农村商业银行股份有限公司/浙江杭州余杭农村商业银行股份有限公司/浙江温州瓯海农村商业银行股份有限公司/浙江衢州衢江农村商业银行股份有限公司/浙江龙泉农村商业银行股份有限公司/浙江岱山农村商业银行股份有限公司/浙江南浔农村商业银行股份有限公司/浙江东阳农村商业银行股份有限公司/浙江江山农村商业银行股份有限公司/浙江临安农村商业银行股份有限公司/浙江温岭农村商业银行股份有限公司/浙江德清农村商业银行股份有限公司/浙江萧山农村商业银行股份有限公司/浙江临海农村商业银行股份有限公司/浙江泰顺农村商业银行股份有限公司/浙江兰溪农村商业银行股份有限公司/中山农村商业银行股份有限公司/浙江新昌农村商业银行股份有限公司/浙江衢州柯城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ZF2份额:石嘴山银行股份有限公司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J份额:湖州吴兴农村商业银行股份有限公司/苏银理财有限责任公司/浙江浦江农村商业银行股份有限公司/浙江平湖农村商业银行股份有限公司/浙江金华成泰农村商业银行股份有限公司/浙江瑞安农村商业银行股份有限公司/浙江义乌农村商业银行股份有限公司/浙江桐乡农村商业银行股份有限公司/浙江永康农村商业银行股份有限公司/浙江仙居农村商业银行股份有限公司/浙江武义农村商业银行股份有限公司/浙江苍南农村商业银行股份有限公司/浙江嵊州农村商业银行股份有限公司/浙江安吉农村商业银行股份有限公司/浙江青田农村商业银行股份有限公司/浙江开化农村商业银行股份有限公司/浙江台州黄岩农村商业银行股份有限公司/浙江海盐农村商业银行股份有限公司/浙江文成农村商业银行股份有限公司/浙江温州龙湾农村商业银行股份有限公司/浙江绍兴瑞丰农村商业银行股份有限公司/浙江缙云农村商业银行股份有限公司/浙江禾城农村商业银行股份有限公司/浙江嘉善农村商业银行股份有限公司/浙江上虞农村商业银行股份有限公司/浙江温州瓯海农村商业银行股份有限公司/浙江衢州衢江农村商业银行股份有限公司/浙江诸暨农村商业银行股份有限公司/浙江舟山定海海洋农村商业银行股份有限公司/浙江乐清农村商业银行股份有限公司/浙江龙泉农村商业银行股份有限公司/浙江天台农村商业银行股份有限公司/浙江岱山农村商业银行股份有限公司/浙江海宁农村商业银行股份有限公司/浙江绍兴恒信农村商业银行股份有限公司/浙江遂昌农村商业银行股份有限公司/浙江南浔农村商业银行股份有限公司/浙江龙游农村商业银行股份有限公司/浙江东阳农村商业银行股份有限公司/浙江江山农村商业银行股份有限公司/浙江新昌农村商业银行股份有限公司/浙江长兴农村商业银行股份有限公司/浙江温州鹿城农村商业银行股份有限公司/浙江台州路桥农村商业银行股份有限公司/浙江永嘉农村商业银行股份有限公司/浙江温岭农村商业银行股份有限公司/浙江德清农村商业银行股份有限公司/浙江舟山普陀农村商业银行股份有限公司/浙江临海农村商业银行股份有限公司/浙江泰顺农村商业银行股份有限公司/浙江兰溪农村商业银行股份有限公司/浙江衢州柯城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ZL份额:苏州银行股份有限公司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ZN份额:广西北部湾银行股份有限公司/河北银行股份有限公司/宁波通商银行股份有限公司/浙江萧山农村商业银行股份有限公司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ZQ份额:江苏苏州农村商业银行股份有限公司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C份额:江苏宜兴农村商业银行股份有限公司/江苏盐城农村商业银行股份有限公司/江苏扬州农村商业银行股份有限公司/江苏建湖农村商业银行股份有限公司/江苏江都农村商业银行股份有限公司/江苏高淳农村商业银行股份有限公司/江苏灌南农村商业银行股份有限公司/江苏丹阳农村商业银行股份有限公司/江苏民丰农村商业银行股份有限公司/江苏兴化农村商业银行股份有限公司/江苏阜宁农村商业银行股份有限公司/江苏如东农村商业银行股份有限公司/江苏新沂农村商业银行股份有限公司/江苏泰兴农村商业银行股份有限公司/江苏东台农村商业银行股份有限公司/江苏东海农村商业银行股份有限公司/江苏高邮农村商业银行股份有限公司/江苏常熟农村商业银行股份有限公司/江苏大丰农村商业银行股份有限公司/江苏溧水农村商业银行股份有限公司/江苏泗阳农村商业银行股份有限公司/江苏紫金农村商业银行股份有限公司/江苏仪征农村商业银行股份有限公司/江苏如皋农村商业银行股份有限公司/江苏响水农村商业银行股份有限公司/江苏姜堰农村商业银行股份有限公司/江苏海安农村商业银行股份有限公司/连云港东方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K份额:江苏宜兴农村商业银行股份有限公司/江苏盐城农村商业银行股份有限公司/江苏扬州农村商业银行股份有限公司/江苏建湖农村商业银行股份有限公司/江苏江都农村商业银行股份有限公司/江苏高淳农村商业银行股份有限公司/江苏灌南农村商业银行股份有限公司/江苏丹阳农村商业银行股份有限公司/江苏民丰农村商业银行股份有限公司/江苏兴化农村商业银行股份有限公司/江苏阜宁农村商业银行股份有限公司/江苏如东农村商业银行股份有限公司/江苏新沂农村商业银行股份有限公司/江苏泰兴农村商业银行股份有限公司/江苏东台农村商业银行股份有限公司/江苏高邮农村商业银行股份有限公司/江苏常熟农村商业银行股份有限公司/江苏沛县农村商业银行股份有限公司/江苏溧水农村商业银行股份有限公司/江苏大丰农村商业银行股份有限公司/江苏泗阳农村商业银行股份有限公司/江苏紫金农村商业银行股份有限公司/江苏仪征农村商业银行股份有限公司/江苏如皋农村商业银行股份有限公司/江苏响水农村商业银行股份有限公司/江苏姜堰农村商业银行股份有限公司/江苏南通农村商业银行股份有限公司/江苏海安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名词释义</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销售代码：指本理财产品可能设置一</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或多</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产品份额，管理人在理财产品销售管理过程中对各</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份额设置的</w:t>
      </w:r>
      <w:r>
        <w:rPr>
          <w:rFonts w:hint="eastAsia" w:ascii="楷体" w:hAnsi="楷体" w:eastAsia="楷体" w:cs="Calibri"/>
          <w:sz w:val="21"/>
          <w:szCs w:val="21"/>
          <w:highlight w:val="none"/>
          <w:lang w:val="en-US" w:eastAsia="zh-CN"/>
        </w:rPr>
        <w:t>内部代</w:t>
      </w:r>
      <w:r>
        <w:rPr>
          <w:rFonts w:hint="eastAsia" w:ascii="楷体" w:hAnsi="楷体" w:eastAsia="楷体" w:cs="Calibri"/>
          <w:sz w:val="21"/>
          <w:szCs w:val="21"/>
          <w:highlight w:val="none"/>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交易日：</w:t>
      </w:r>
      <w:r>
        <w:rPr>
          <w:rFonts w:ascii="楷体" w:hAnsi="楷体" w:eastAsia="楷体" w:cs="Calibri"/>
          <w:sz w:val="21"/>
          <w:szCs w:val="21"/>
          <w:highlight w:val="none"/>
        </w:rPr>
        <w:t>指上海证券交易所和深圳证券交易所的正常开盘交易日</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份额登记日/份额确认日：</w:t>
      </w:r>
      <w:r>
        <w:rPr>
          <w:rFonts w:hint="eastAsia" w:ascii="楷体" w:hAnsi="楷体" w:eastAsia="楷体" w:cs="Calibri"/>
          <w:color w:val="auto"/>
          <w:sz w:val="21"/>
          <w:szCs w:val="21"/>
          <w:highlight w:val="none"/>
        </w:rPr>
        <w:t>指管理人对投资者提交的</w:t>
      </w:r>
      <w:r>
        <w:rPr>
          <w:rFonts w:hint="eastAsia" w:ascii="楷体" w:hAnsi="楷体" w:eastAsia="楷体" w:cs="Calibri"/>
          <w:color w:val="auto"/>
          <w:sz w:val="21"/>
          <w:szCs w:val="21"/>
          <w:highlight w:val="none"/>
          <w:lang w:val="en-US" w:eastAsia="zh-CN"/>
        </w:rPr>
        <w:t>购买</w:t>
      </w:r>
      <w:r>
        <w:rPr>
          <w:rFonts w:hint="eastAsia" w:ascii="楷体" w:hAnsi="楷体" w:eastAsia="楷体" w:cs="Calibri"/>
          <w:color w:val="auto"/>
          <w:sz w:val="21"/>
          <w:szCs w:val="21"/>
          <w:highlight w:val="none"/>
        </w:rPr>
        <w:t>申请进行份额登记的日期</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投资策略</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本理财产品计划通过债券、非标准化债权类资产的配置获取稳健收益，同时适时适量配置银行存款，包括同业存</w:t>
      </w:r>
      <w:r>
        <w:rPr>
          <w:rFonts w:hint="eastAsia" w:ascii="楷体" w:hAnsi="楷体" w:eastAsia="楷体"/>
          <w:sz w:val="21"/>
          <w:szCs w:val="21"/>
          <w:highlight w:val="none"/>
          <w:lang w:val="en-US" w:eastAsia="zh-CN"/>
        </w:rPr>
        <w:t>款</w:t>
      </w:r>
      <w:r>
        <w:rPr>
          <w:rFonts w:hint="default" w:ascii="楷体" w:hAnsi="楷体" w:eastAsia="楷体"/>
          <w:sz w:val="21"/>
          <w:szCs w:val="21"/>
          <w:highlight w:val="none"/>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none"/>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0"/>
          <w:numId w:val="0"/>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诸暨市国有资产经营有限公司。融资人经营正常，是依法设立的国有公司，主要股东为诸暨市财政局(诸暨市人民政府国有资产监督管理办公室)、浙江省财务开发有限责任公司，实际控制人为诸暨市财政局(诸暨市人民政府国有资产监督管理办公室)。（4）非标准化债权类资产：融资人为富港建设集团有限公司。融资人经营正常，是依法设立的国有公司，主要股东为如皋市人民政府、工银金融资产投资有限公司，实际控制人为如皋市人民政府。（5）非标准化债权类资产：融资人为无锡市梁溪产业发展集团有限公司。融资人经营正常，是依法设立的国有公司，主要股东为无锡市梁溪区人民政府国有资产监督管理办公室、无锡市梁溪城市运营服务集团有限公司，实际控制人为无锡市梁溪区人民政府国有资产监督管理办公室。（6）非标准化债权类资产：融资人为诸暨市城乡投资集团有限公司。融资人经营正常，是依法设立的国有公司，主要股东为诸暨市建设集团有限公司，实际控制人为诸暨市财政局。（7）非标准化债权类资产：融资人为台州市黄岩国有资本投资运营集团有限公司。融资人经营正常，是依法设立的国有公司，主要股东为台州市黄岩区财政局，实际控制人为台州市黄岩区财政局。（8）非标准化债权类资产：融资人为镇江文化广电产业集团有限公司。融资人经营正常，是依法设立的国有公司，主要股东为镇江市广播电视台，实际控制人为江苏省镇江市人民政府。（9）非标准化债权类资产：融资人为绍兴市镜湖开发集团有限公司。融资人经营正常，是依法设立的国有公司，主要股东为绍兴市人民政府国有资产监督管理委员会，实际控制人为绍兴市人民政</w:t>
      </w:r>
      <w:bookmarkStart w:id="0" w:name="_GoBack"/>
      <w:bookmarkEnd w:id="0"/>
      <w:r>
        <w:rPr>
          <w:rFonts w:hint="eastAsia" w:ascii="楷体" w:hAnsi="楷体" w:eastAsia="楷体" w:cs="楷体"/>
          <w:color w:val="auto"/>
          <w:kern w:val="2"/>
          <w:sz w:val="21"/>
          <w:szCs w:val="21"/>
          <w:highlight w:val="none"/>
          <w:lang w:val="en-US" w:eastAsia="zh-CN" w:bidi="ar-SA"/>
        </w:rPr>
        <w:t>府国有资产监督管理委员会。（10）非标准化债权类资产：融资人为泰兴市城市投资发展集团有限公司。融资人经营正常，是依法设立的国有公司，主要股东为江苏平仲科技发展集团有限公司，实际控制人为泰兴市人民政府国有资产监督管理办公室。（11）非标准化债权类资产：融资人为湖州经开投资发展集团有限公司。融资人经营正常，是依法设立的国有公司，主要股东为湖州南太湖国有控股集团有限公司，实际控制人为湖州市人民政府国有资产监督管理委员会。（12）非标准化债权类资产：融资人为湖州吴兴城市投资发展集团有限公司。融资人经营正常，是依法设立的国有公司，主要股东为湖州吴兴国控投资运营发展集团有限公司，实际控制人为湖州市吴兴区财政局。（13）非标准化债权类资产：融资人为江苏皋开投资发展集团有限公司。融资人经营正常，是依法设立的国有公司，主要股东为如皋市人民政府，实际控制人为如皋市人民政府。（14）非标准化债权类资产：融资人为燕舞集团有限公司。融资人经营正常，是依法设立的国有公司，主要股东为盐城市人民政府、盐城市城市资产投资集团有限公司、江苏悦达集团有限公司，实际控制人为盐城市人民政府。（15）非标准化债权类资产：融资人为兰溪市城市投资集团有限公司。融资人经营正常，是依法设立的国有公司，主要股东为兰溪市城市发展集团有限公司，实际控制人为兰溪市人民政府国有资产监督管理办公室。（16）非标准化债权类资产：融资人为绍兴市越城区城市发展建设集团有限公司。融资人经营正常，是依法设立的国有公司，主要股东为绍兴市越城区财政局，实际控制人为绍兴市越城区财政局。（17）非标准化债权类资产：融资人为桐庐县城市建设投资集团有限公司。融资人经营正常，是依法设立的国有公司，主要股东为桐庐投资建设发展集团有限公司，实际控制人为桐庐县人民政府国有资产监督管理委员会。（18）非标准化债权类资产：融资人为绍兴市上虞区国有资本投资运营有限公司。融资人经营正常，是依法设立的国有公司，主要股东为绍兴市上虞区国有资产发展集团有限公司，实际控制人为绍兴市上虞区人民政府国有资产监督管理委员会。（19）非标准化债权类资产：融资人为扬州新盛投资集团有限公司。融资人经营正常，是依法设立的国有公司，主要股东为扬州市城建国有资产控股(集团)有限责任公司、扬州易盛德产业投资集团有限公司、扬州市扬子江文旅投资发展集团有限责任公司，实际控制人为扬州市人民政府国有资产监督管理委员会。（20）非标准化债权类资产：融资人为张家港市高铁投资发展(集团)有限公司。融资人经营正常，是依法设立的国有公司，主要股东为张家港市交通控股有限公司、张家港市城市投资发展集团有限公司、张家港高新区投资控股有限公司，张家港市城镇发展集团有限公司，实际控制人为张家港市国有资产管理中心。（21）非标准化债权类资产：融资人为海安市城建开发投资集团有限公司。融资人经营正常，是依法设立的国有公司，主要股东为海安市政府国有资产监督管理办公室，实际控制人为海安市政府国有资产监督管理办公室。（22）非标准化债权类资产：融资人为徐州金龙湖控股集团有限公司。融资人经营正常，是依法设立的国有公司，主要股东为徐州市产业发展控股集团有限公司，实际控制人为徐州市人民政府国有资产监督管理委员会。（23）同业借款：融资人为中国中信金融资产管理股份有限公司。融资人经营正常，是依法成立的国有公司，主要股东为中国中信集团有限公司、财政局、中国融信私募基金有限公司，实际控制人为财政部。（24）同业借款：融资人为中国东方资产管理股份有限公司。融资人经营正常，是依法成立的国有公司，主要股东为中央汇金投资有限责任公司、全国社会保障基金理事会、中国电信集团有限公司，实际控制人为国务院。（25）同业借款：融资人为中国信达资产管理股份有限公司。融资人经营正常，是依法成立的国有公司，主要股东为中央汇金投资有限责任公司，实际控制人为国务院。（26）同业借款：融资人为中国长城资产管理股份有限公司。融资人经营正常，是依法成立的国有公司，主要股东为中央汇金投资有限责任公司、全国社会保障基金理事会、中国财产再保险有限责任公司、中国大地财产保险股份有限公司、中国人寿保险（集团）公司，实际控制人为国务院。（27）收益凭证：融资人为中信证券股份有限公司。融资人经营正常，是依法设立的持牌金融机构，主要股东为中国中信金融控股有限公司、香港中央结算（代理人）有限公司、广州越秀资本控股集团有限公司，实际控制人为中国中信集团有限公司（28）收益凭证：融资人为中国国际金融股份有限公司。融资人经营正常，是依法设立的持牌金融机构，主要股东为中央汇金投资有限责任公司、香港中央结算（代理人）有限公司、香港中央结算有限公司，实际控制人为中央汇金投资有限责任公司。（29）收益凭证：融资人为中信建投证券股份有限公司。融资人经营正常，是依法设立的持牌金融机构，主要股东为北京金融控股集团有限公司、中央汇金投资有限责任公司、香港中央结算（代理人）有限公司，实际控制人为中央汇金投资有限责任公司。（30）收益凭证：融资人为中国银河证券股份有限公司。融资人经营正常，是依法设立的持牌金融机构，主要股东为中国银河金融控股有限责任公司、香港中央结算（代理人）有限公司、香港中央结算有限公司，实际控制人为中央汇金投资有限责任公司。（31）收益凭证：融资人为华泰证券股份有限公司。融资人经营正常，是依法设立的持牌金融机构，主要股东为江苏省国信集团有限公司、香港中央结算（代理人）有限公司、江苏交通控股有限公司，无实际控制人。（32）收益凭证：融资人为国泰海通证券股份有限公司。融资人经营正常，是依法设立的持牌金融机构，主要股东为香港中央结算（代理人）有限公司、上海国有资产经营有限公司、上海国际集团有限公司，实际控制人为上海市国有资产监督管理委员会。（33）收益凭证：融资人为申万宏源证券有限公司。融资人经营正常，是依法设立的持牌金融机构，主要股东为申万宏源集团股份有限公司，实际控制人为中央汇金投资有限责任公司。（34）收益凭证：融资人为东方证券股份有限公司。融资人经营正常，是依法设立的持牌金融机构，主要股东为申能（集团）有限公司、香港中央结算（代理人）有限公司、上海海烟投资管理有限公司，实际控制人为上海市国有资产监督管理委员会。（35）收益凭证：融资人为浙商证券股份有限公司。融资人经营正常，是依法设立的持牌金融机构，主要股东为浙江上三高速公路有限公司、台州市金融投资集团有限公司，实际控制人为浙江省交通投资集团有限公司。（36）收益凭证：融资人为国投证券股份有限公司。融资人经营正常，是依法设立的持牌金融机构，主要股东为国投资本股份有限公司、上海毅胜投资有限公司，实际控制人为国家开发投资集团有限公司。（37）收益凭证：融资人为平安证券股份有限公司。融资人经营正常，是依法设立的持牌金融机构，主要股东为平安信托有限责任公司、中国平安保险（集团）股份有限公司、深圳市英华柏涛投资有限公司，实际控制人为中国平安保险（集团）股份有限公司。（38）收益凭证：融资人为中泰证券股份有限公司。融资人经营正常，是依法设立的持牌金融机构，主要股东为枣庄矿业（集团）有限责任公司、莱芜钢铁集团有限公司、山东高速投资控股有限公司，实际控制人为山东省人民政府国有资产监督管理委员会。（39）收益凭证：融资人为兴业证券股份有限公司。融资人经营正常，是依法设立的持牌金融机构，主要股东为福建省财政厅、福建省投资开发集团有限责任公司、上海申新（集团）有限公司，实际控制人为福建省财政厅。（40）收益凭证：融资人为财通证券股份有限公司。融资人经营正常，是依法设立的持牌金融机构，主要股东为浙江省创新投资集团有限公司、浙江省财开集团有限公司、台州市金融投资集团有限公司，实际控制人为浙江省财政厅。（41）收益凭证：融资人为金融街证券股份有限公司。融资人经营正常，是依法设立的持牌金融机构，主要股东为北京华融综合投资有限公司、天风证券股份有限公司、包头华资实业股份有限公司，实际控制人为北京金融街投资（集团）有限公司。（42）收益凭证：融资人为东海证券股份有限公司。融资人经营正常，是依法设立的持牌金融机构，主要股东为常州投资集团有限公司、山东金控资本管理有限公司，实际控制人为常州投资集团有限公司。（43）收益凭证：融资人为国联民生证券股份有限公司。融资人经营正常，是依法设立的持牌金融机构，主要股东为无锡市国联发展（集团）有限公司、香港中央结算（代理人）有限公司、国联信托股份有限公司，实际控制人为无锡市人民政府国有资产监督管理委员会。（44）收益凭证：融资人为光大证券股份有限公司。融资人经营正常，是依法设立的持牌金融机构，主要股东为中国光大集团股份有限公司、中国光大控股有限公司、香港中央结算（代理人）有限公司，实际控制人为中央汇金投资有限责任公司。（45）收益凭证：融资人为长城证券股份有限公司。融资人经营正常，是依法设立的持牌金融机构，主要股东为华能资本服务有限公司、深圳新江南投资有限公司、深圳能源集团股份有限公司，实际控制人为中央汇金投资有限责任公司。（46）收益凭证：融资人为中国中金财富证券有限公司。融资人经营正常，是依法设立的持牌金融机构，主要股东为中国国际金融股份有限公司，实际控制人为中央汇金投资有限责任公司。（47）收益凭证：融资人为山西证券股份有限公司。融资人经营正常，是依法设立的持牌金融机构，主要股东为山西金融投资控股集团有限公司、太原钢铁（集团）有限公司、山西国际电力集团有限公司，实际控制人为山西省财政厅。（48）收益凭证：融资人为国都证券股份有限公司。融资人经营正常，是依法设立的持牌金融机构，主要股东为浙商证券股份有限公司、中诚信托有限责任公司、北京国际信托有限公司，实际控制人为浙江省交通投资集团有限公司。（49）收益凭证：融资人为东莞证</w:t>
      </w:r>
      <w:r>
        <w:rPr>
          <w:rFonts w:hint="eastAsia" w:ascii="楷体" w:hAnsi="楷体" w:eastAsia="楷体" w:cs="楷体"/>
          <w:color w:val="auto"/>
          <w:kern w:val="2"/>
          <w:sz w:val="21"/>
          <w:szCs w:val="21"/>
          <w:highlight w:val="none"/>
          <w:lang w:val="en-US" w:eastAsia="zh-CN" w:bidi="ar-SA"/>
        </w:rPr>
        <w:t>券股份有限公司。融资人经营正常，是依法设立的持牌金融机构，主要股东为东莞市投资控股集团有限公司、东莞发展控股股份有限公司、广东锦龙发展股份有限公司，实际控制人为东莞市人民政府国有资产监督管理委员会。（50）收益凭证：融资人为华鑫证券有限责任公司。融资人经营正常，是依法设立的持牌金融机构，主要股东为上海华鑫股份有限公司，实际控制人为上海市国有资产监督管理委员会。（51）收益凭证：融资人为第一创业证券股份有限公司。融资人经营正常，是依法设立的持牌金融机构，主要股东为北京国有资本运营管理有限公司、北京首农食品集团有限公司，实际控制人为北京市人民政府国有资产监督管理委员会。（52）收益凭证：融资人为广发证券股份有限公司。融资人经营正常，是依法设立的持牌金融机构，主要股东为香港中央结算（代理人）有限公司、吉林敖东药业集团股份有限公司、辽宁成大股份有限公司，无实际控制人。（53）收益凭证：融资人为方正证券股份有限公司。融资人经营正常，是依法设立的持牌金融机构，主要股东为新方正控股发展有限责任公司、全国社会保障基金理事会、中国信达资产管理股份有限公司，实际控制人为中国平安保险（集团）股份有限公司。（54）收益凭证：融资人为招商证券股份有限公司。融资人经营正常，是依法设立的持牌金融机构，主要股东为招商局金融控股有限公司、深圳市集盛投资发展有限公司、香港中央结算（代理人）有限公司，实际控制人为招商局集团有限公司。</w:t>
      </w:r>
      <w:r>
        <w:rPr>
          <w:rFonts w:hint="eastAsia" w:ascii="楷体" w:hAnsi="楷体" w:eastAsia="楷体" w:cs="楷体"/>
          <w:color w:val="auto"/>
          <w:kern w:val="2"/>
          <w:sz w:val="21"/>
          <w:szCs w:val="21"/>
          <w:highlight w:val="none"/>
          <w:lang w:val="en-US" w:eastAsia="zh-CN" w:bidi="ar-SA"/>
        </w:rPr>
        <w:br w:type="textWrapping"/>
      </w:r>
      <w:r>
        <w:rPr>
          <w:rFonts w:hint="eastAsia" w:ascii="楷体" w:hAnsi="楷体" w:eastAsia="楷体" w:cs="楷体"/>
          <w:color w:val="auto"/>
          <w:kern w:val="2"/>
          <w:sz w:val="21"/>
          <w:szCs w:val="21"/>
          <w:highlight w:val="none"/>
          <w:lang w:val="en-US" w:eastAsia="zh-CN" w:bidi="ar-SA"/>
        </w:rPr>
        <w:t xml:space="preserve">    （1）-（2）各资产到期日不超过理财产品投资周期终止日，循环期不还本、摊还期过手摊还本息；（3）-（26）各资产到期日不超过理财产品投资周期终止日，定期付息、到期一次性还本；（27）-（54）各资产到期日不超过理财产品投资周期终止日，到期一次性还本付息。</w:t>
      </w:r>
      <w:r>
        <w:rPr>
          <w:rFonts w:hint="eastAsia" w:ascii="楷体" w:hAnsi="楷体" w:eastAsia="楷体" w:cs="楷体"/>
          <w:color w:val="auto"/>
          <w:kern w:val="2"/>
          <w:sz w:val="21"/>
          <w:szCs w:val="21"/>
          <w:highlight w:val="none"/>
          <w:lang w:val="en-US" w:eastAsia="zh-CN" w:bidi="ar-SA"/>
        </w:rPr>
        <w:br w:type="textWrapping"/>
      </w:r>
      <w:r>
        <w:rPr>
          <w:rFonts w:hint="eastAsia" w:ascii="楷体" w:hAnsi="楷体" w:eastAsia="楷体" w:cs="楷体"/>
          <w:color w:val="auto"/>
          <w:kern w:val="2"/>
          <w:sz w:val="21"/>
          <w:szCs w:val="21"/>
          <w:highlight w:val="none"/>
          <w:lang w:val="en-US" w:eastAsia="zh-CN" w:bidi="ar-SA"/>
        </w:rPr>
        <w:t xml:space="preserve">    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投资合作机构</w:t>
      </w:r>
    </w:p>
    <w:p>
      <w:pPr>
        <w:numPr>
          <w:ilvl w:val="0"/>
          <w:numId w:val="0"/>
        </w:numPr>
        <w:ind w:firstLine="420" w:firstLineChars="200"/>
        <w:rPr>
          <w:rFonts w:hint="eastAsia" w:ascii="楷体" w:hAnsi="楷体" w:eastAsia="楷体"/>
          <w:sz w:val="21"/>
          <w:szCs w:val="21"/>
          <w:highlight w:val="none"/>
        </w:rPr>
      </w:pPr>
      <w:r>
        <w:rPr>
          <w:rFonts w:hint="eastAsia" w:ascii="楷体" w:hAnsi="楷体" w:eastAsia="楷体"/>
          <w:color w:val="auto"/>
          <w:sz w:val="21"/>
          <w:szCs w:val="21"/>
          <w:highlight w:val="none"/>
        </w:rPr>
        <w:t>投资合作机构主要职责是对理财产品受托资金进行投资管理，</w:t>
      </w:r>
      <w:r>
        <w:rPr>
          <w:rFonts w:hint="eastAsia" w:ascii="楷体" w:hAnsi="楷体" w:eastAsia="楷体"/>
          <w:color w:val="auto"/>
          <w:sz w:val="21"/>
          <w:szCs w:val="21"/>
          <w:highlight w:val="none"/>
          <w:lang w:val="en-US" w:eastAsia="zh-CN"/>
        </w:rPr>
        <w:t>管理人</w:t>
      </w:r>
      <w:r>
        <w:rPr>
          <w:rFonts w:hint="eastAsia" w:ascii="楷体" w:hAnsi="楷体" w:eastAsia="楷体"/>
          <w:color w:val="auto"/>
          <w:sz w:val="21"/>
          <w:szCs w:val="21"/>
          <w:highlight w:val="none"/>
        </w:rPr>
        <w:t>已按投资决策流程对投资合作机构进行了准入，并持续开展投资合作机构的存续期管理。本产品投资合作机构包括</w:t>
      </w:r>
      <w:r>
        <w:rPr>
          <w:rFonts w:hint="eastAsia" w:ascii="楷体" w:hAnsi="楷体" w:eastAsia="楷体"/>
          <w:sz w:val="21"/>
          <w:szCs w:val="21"/>
          <w:highlight w:val="none"/>
        </w:rPr>
        <w:t>：</w:t>
      </w:r>
    </w:p>
    <w:p>
      <w:pPr>
        <w:ind w:firstLine="420" w:firstLineChars="200"/>
        <w:rPr>
          <w:rFonts w:hint="eastAsia"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1 \* GB3 \* MERGEFORMAT </w:instrText>
      </w:r>
      <w:r>
        <w:rPr>
          <w:rFonts w:hint="default" w:ascii="Calibri" w:hAnsi="Calibri" w:eastAsia="楷体" w:cs="Calibri"/>
          <w:b w:val="0"/>
          <w:bCs w:val="0"/>
          <w:sz w:val="21"/>
          <w:szCs w:val="21"/>
          <w:highlight w:val="none"/>
        </w:rPr>
        <w:fldChar w:fldCharType="separate"/>
      </w:r>
      <w:r>
        <w:rPr>
          <w:highlight w:val="none"/>
        </w:rPr>
        <w:t>①</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江苏省国际信托有限责任公司</w:t>
      </w:r>
      <w:r>
        <w:rPr>
          <w:rFonts w:hint="eastAsia" w:ascii="楷体" w:hAnsi="楷体" w:eastAsia="楷体"/>
          <w:b w:val="0"/>
          <w:bCs w:val="0"/>
          <w:sz w:val="21"/>
          <w:szCs w:val="21"/>
          <w:highlight w:val="none"/>
          <w:lang w:eastAsia="zh-CN"/>
        </w:rPr>
        <w:t>：</w:t>
      </w:r>
      <w:r>
        <w:rPr>
          <w:rFonts w:hint="eastAsia" w:ascii="楷体" w:hAnsi="楷体" w:eastAsia="楷体"/>
          <w:b w:val="0"/>
          <w:bCs w:val="0"/>
          <w:sz w:val="21"/>
          <w:szCs w:val="21"/>
          <w:highlight w:val="none"/>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2 \* GB3 \* MERGEFORMAT </w:instrText>
      </w:r>
      <w:r>
        <w:rPr>
          <w:rFonts w:hint="default" w:ascii="Calibri" w:hAnsi="Calibri" w:eastAsia="楷体" w:cs="Calibri"/>
          <w:b w:val="0"/>
          <w:bCs w:val="0"/>
          <w:sz w:val="21"/>
          <w:szCs w:val="21"/>
          <w:highlight w:val="none"/>
        </w:rPr>
        <w:fldChar w:fldCharType="separate"/>
      </w:r>
      <w:r>
        <w:rPr>
          <w:highlight w:val="none"/>
        </w:rPr>
        <w:t>②</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创金合信基金管理有限公司</w:t>
      </w:r>
      <w:r>
        <w:rPr>
          <w:rFonts w:hint="eastAsia" w:ascii="楷体" w:hAnsi="楷体" w:eastAsia="楷体"/>
          <w:b w:val="0"/>
          <w:bCs w:val="0"/>
          <w:sz w:val="21"/>
          <w:szCs w:val="21"/>
          <w:highlight w:val="none"/>
          <w:lang w:eastAsia="zh-CN"/>
        </w:rPr>
        <w:t>：</w:t>
      </w:r>
      <w:r>
        <w:rPr>
          <w:rFonts w:ascii="楷体" w:hAnsi="楷体" w:eastAsia="楷体"/>
          <w:b w:val="0"/>
          <w:bCs w:val="0"/>
          <w:sz w:val="21"/>
          <w:szCs w:val="21"/>
          <w:highlight w:val="none"/>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highlight w:val="none"/>
          <w:lang w:val="en-US" w:eastAsia="zh-CN"/>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3 \* GB3 \* MERGEFORMAT </w:instrText>
      </w:r>
      <w:r>
        <w:rPr>
          <w:rFonts w:hint="default" w:ascii="Calibri" w:hAnsi="Calibri" w:eastAsia="楷体" w:cs="Calibri"/>
          <w:b w:val="0"/>
          <w:bCs w:val="0"/>
          <w:sz w:val="21"/>
          <w:szCs w:val="21"/>
          <w:highlight w:val="none"/>
        </w:rPr>
        <w:fldChar w:fldCharType="separate"/>
      </w:r>
      <w:r>
        <w:rPr>
          <w:highlight w:val="none"/>
        </w:rPr>
        <w:t>③</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highlight w:val="none"/>
          <w:lang w:val="en-US" w:eastAsia="zh-CN"/>
        </w:rPr>
      </w:pPr>
      <w:r>
        <w:rPr>
          <w:rFonts w:ascii="楷体" w:hAnsi="楷体" w:eastAsia="楷体"/>
          <w:b w:val="0"/>
          <w:bCs w:val="0"/>
          <w:sz w:val="21"/>
          <w:szCs w:val="21"/>
          <w:highlight w:val="none"/>
        </w:rPr>
        <w:fldChar w:fldCharType="begin"/>
      </w:r>
      <w:r>
        <w:rPr>
          <w:rFonts w:ascii="楷体" w:hAnsi="楷体" w:eastAsia="楷体"/>
          <w:b w:val="0"/>
          <w:bCs w:val="0"/>
          <w:sz w:val="21"/>
          <w:szCs w:val="21"/>
          <w:highlight w:val="none"/>
        </w:rPr>
        <w:instrText xml:space="preserve"> = 4 \* GB3 \* MERGEFORMAT </w:instrText>
      </w:r>
      <w:r>
        <w:rPr>
          <w:rFonts w:ascii="楷体" w:hAnsi="楷体" w:eastAsia="楷体"/>
          <w:b w:val="0"/>
          <w:bCs w:val="0"/>
          <w:sz w:val="21"/>
          <w:szCs w:val="21"/>
          <w:highlight w:val="none"/>
        </w:rPr>
        <w:fldChar w:fldCharType="separate"/>
      </w:r>
      <w:r>
        <w:rPr>
          <w:highlight w:val="none"/>
        </w:rPr>
        <w:t>④</w:t>
      </w:r>
      <w:r>
        <w:rPr>
          <w:rFonts w:ascii="楷体" w:hAnsi="楷体" w:eastAsia="楷体"/>
          <w:b w:val="0"/>
          <w:bCs w:val="0"/>
          <w:sz w:val="21"/>
          <w:szCs w:val="21"/>
          <w:highlight w:val="none"/>
        </w:rPr>
        <w:fldChar w:fldCharType="end"/>
      </w:r>
      <w:r>
        <w:rPr>
          <w:rFonts w:hint="eastAsia" w:ascii="楷体" w:hAnsi="楷体" w:eastAsia="楷体"/>
          <w:b w:val="0"/>
          <w:bCs w:val="0"/>
          <w:sz w:val="21"/>
          <w:szCs w:val="21"/>
          <w:highlight w:val="none"/>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5 \* GB3 \* MERGEFORMAT </w:instrText>
      </w:r>
      <w:r>
        <w:rPr>
          <w:rFonts w:hint="eastAsia" w:ascii="楷体" w:hAnsi="楷体" w:eastAsia="楷体"/>
          <w:b w:val="0"/>
          <w:bCs w:val="0"/>
          <w:sz w:val="21"/>
          <w:szCs w:val="21"/>
          <w:highlight w:val="none"/>
          <w:lang w:val="en-US" w:eastAsia="zh-CN"/>
        </w:rPr>
        <w:fldChar w:fldCharType="separate"/>
      </w:r>
      <w:r>
        <w:rPr>
          <w:highlight w:val="none"/>
        </w:rPr>
        <w:t>⑤</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6 \* GB3 \* MERGEFORMAT </w:instrText>
      </w:r>
      <w:r>
        <w:rPr>
          <w:rFonts w:hint="eastAsia" w:ascii="楷体" w:hAnsi="楷体" w:eastAsia="楷体"/>
          <w:b w:val="0"/>
          <w:bCs w:val="0"/>
          <w:sz w:val="21"/>
          <w:szCs w:val="21"/>
          <w:highlight w:val="none"/>
          <w:lang w:val="en-US" w:eastAsia="zh-CN"/>
        </w:rPr>
        <w:fldChar w:fldCharType="separate"/>
      </w:r>
      <w:r>
        <w:rPr>
          <w:highlight w:val="none"/>
        </w:rPr>
        <w:t>⑥</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7 \* GB3 \* MERGEFORMAT </w:instrText>
      </w:r>
      <w:r>
        <w:rPr>
          <w:rFonts w:hint="eastAsia" w:ascii="楷体" w:hAnsi="楷体" w:eastAsia="楷体"/>
          <w:b w:val="0"/>
          <w:bCs w:val="0"/>
          <w:sz w:val="21"/>
          <w:szCs w:val="21"/>
          <w:highlight w:val="none"/>
          <w:lang w:val="en-US" w:eastAsia="zh-CN"/>
        </w:rPr>
        <w:fldChar w:fldCharType="separate"/>
      </w:r>
      <w:r>
        <w:rPr>
          <w:highlight w:val="none"/>
        </w:rPr>
        <w:t>⑦</w:t>
      </w:r>
      <w:r>
        <w:rPr>
          <w:rFonts w:hint="eastAsia" w:ascii="楷体" w:hAnsi="楷体" w:eastAsia="楷体"/>
          <w:b w:val="0"/>
          <w:bCs w:val="0"/>
          <w:sz w:val="21"/>
          <w:szCs w:val="21"/>
          <w:highlight w:val="none"/>
          <w:lang w:val="en-US" w:eastAsia="zh-CN"/>
        </w:rPr>
        <w:fldChar w:fldCharType="end"/>
      </w:r>
      <w:r>
        <w:rPr>
          <w:rFonts w:hint="default" w:ascii="楷体" w:hAnsi="楷体" w:eastAsia="楷体"/>
          <w:b w:val="0"/>
          <w:bCs w:val="0"/>
          <w:sz w:val="21"/>
          <w:szCs w:val="21"/>
          <w:highlight w:val="none"/>
          <w:lang w:val="en-US" w:eastAsia="zh-CN"/>
        </w:rPr>
        <w:t>南方资本管理有限公司</w:t>
      </w:r>
      <w:r>
        <w:rPr>
          <w:rFonts w:hint="eastAsia" w:ascii="楷体" w:hAnsi="楷体" w:eastAsia="楷体"/>
          <w:b w:val="0"/>
          <w:bCs w:val="0"/>
          <w:sz w:val="21"/>
          <w:szCs w:val="21"/>
          <w:highlight w:val="none"/>
          <w:lang w:val="en-US" w:eastAsia="zh-CN"/>
        </w:rPr>
        <w:t>：</w:t>
      </w:r>
      <w:r>
        <w:rPr>
          <w:rFonts w:hint="default" w:ascii="楷体" w:hAnsi="楷体" w:eastAsia="楷体"/>
          <w:b w:val="0"/>
          <w:bCs w:val="0"/>
          <w:sz w:val="21"/>
          <w:szCs w:val="21"/>
          <w:highlight w:val="none"/>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t>⑧建信保险资产管理有限公司：建信保险资产管理有限公司成立于2016年4月7日，是中国银行保险监督管理委员会核准的国有控股金融机构，注册资本3亿元，股东为建信人寿保险股份有限公司和建银国际（中国）有限公司。</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highlight w:val="none"/>
        </w:rPr>
      </w:pPr>
      <w:r>
        <w:rPr>
          <w:rFonts w:hint="eastAsia" w:ascii="楷体" w:hAnsi="楷体" w:eastAsia="楷体"/>
          <w:color w:val="auto"/>
          <w:sz w:val="21"/>
          <w:szCs w:val="21"/>
          <w:highlight w:val="none"/>
        </w:rPr>
        <w:t>针对上述第1、2</w:t>
      </w:r>
      <w:r>
        <w:rPr>
          <w:rFonts w:hint="eastAsia" w:ascii="楷体" w:hAnsi="楷体" w:eastAsia="楷体"/>
          <w:color w:val="auto"/>
          <w:sz w:val="21"/>
          <w:szCs w:val="21"/>
          <w:highlight w:val="none"/>
          <w:lang w:eastAsia="zh-CN"/>
        </w:rPr>
        <w:t>、</w:t>
      </w:r>
      <w:r>
        <w:rPr>
          <w:rFonts w:hint="eastAsia" w:ascii="楷体" w:hAnsi="楷体" w:eastAsia="楷体"/>
          <w:color w:val="auto"/>
          <w:sz w:val="21"/>
          <w:szCs w:val="21"/>
          <w:highlight w:val="none"/>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w:t>
      </w:r>
      <w:r>
        <w:rPr>
          <w:rFonts w:hint="eastAsia" w:ascii="楷体" w:hAnsi="楷体" w:eastAsia="楷体"/>
          <w:color w:val="auto"/>
          <w:sz w:val="21"/>
          <w:szCs w:val="21"/>
          <w:highlight w:val="none"/>
          <w:lang w:val="en-US" w:eastAsia="zh-CN"/>
        </w:rPr>
        <w:t>杠杆率</w:t>
      </w:r>
      <w:r>
        <w:rPr>
          <w:rFonts w:hint="eastAsia" w:ascii="楷体" w:hAnsi="楷体" w:eastAsia="楷体"/>
          <w:color w:val="auto"/>
          <w:sz w:val="21"/>
          <w:szCs w:val="21"/>
          <w:highlight w:val="none"/>
        </w:rPr>
        <w:t>不超过140%。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w:t>
      </w:r>
      <w:r>
        <w:rPr>
          <w:rFonts w:hint="eastAsia" w:ascii="楷体" w:hAnsi="楷体" w:eastAsia="楷体" w:cs="Calibri"/>
          <w:b w:val="0"/>
          <w:bCs/>
          <w:sz w:val="21"/>
          <w:szCs w:val="21"/>
          <w:highlight w:val="none"/>
          <w:lang w:val="en-US" w:eastAsia="zh-CN"/>
        </w:rPr>
        <w:t>管理</w:t>
      </w:r>
      <w:r>
        <w:rPr>
          <w:rFonts w:hint="eastAsia" w:ascii="楷体" w:hAnsi="楷体" w:eastAsia="楷体" w:cs="Calibri"/>
          <w:b w:val="0"/>
          <w:bCs/>
          <w:sz w:val="21"/>
          <w:szCs w:val="21"/>
          <w:highlight w:val="none"/>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highlight w:val="none"/>
          <w:lang w:val="en-US" w:eastAsia="zh-CN" w:bidi="ar-SA"/>
        </w:rPr>
      </w:pPr>
      <w:r>
        <w:rPr>
          <w:rFonts w:hint="eastAsia" w:ascii="楷体" w:hAnsi="楷体" w:eastAsia="楷体" w:cs="Times New Roman"/>
          <w:color w:val="auto"/>
          <w:kern w:val="2"/>
          <w:sz w:val="21"/>
          <w:szCs w:val="21"/>
          <w:highlight w:val="none"/>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highlight w:val="none"/>
        </w:rPr>
        <w:t>如监管有最新规定的，可参照监管规定</w:t>
      </w:r>
      <w:r>
        <w:rPr>
          <w:rFonts w:hint="eastAsia" w:ascii="楷体" w:hAnsi="楷体" w:eastAsia="楷体" w:cs="楷体"/>
          <w:color w:val="auto"/>
          <w:sz w:val="21"/>
          <w:szCs w:val="21"/>
          <w:highlight w:val="none"/>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产品认购</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认购方式</w:t>
      </w:r>
      <w:r>
        <w:rPr>
          <w:rFonts w:hint="eastAsia" w:ascii="楷体" w:hAnsi="楷体" w:eastAsia="楷体" w:cs="Calibri"/>
          <w:color w:val="auto"/>
          <w:sz w:val="21"/>
          <w:szCs w:val="21"/>
          <w:highlight w:val="none"/>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认购份额的计算</w:t>
      </w:r>
    </w:p>
    <w:p>
      <w:pPr>
        <w:numPr>
          <w:ilvl w:val="-1"/>
          <w:numId w:val="0"/>
        </w:numPr>
        <w:ind w:left="0" w:firstLine="420" w:firstLineChars="200"/>
        <w:rPr>
          <w:rFonts w:hint="eastAsia" w:ascii="楷体" w:hAnsi="楷体" w:eastAsia="楷体" w:cs="Calibri"/>
          <w:color w:val="auto"/>
          <w:sz w:val="21"/>
          <w:szCs w:val="21"/>
          <w:highlight w:val="none"/>
          <w:lang w:val="en-US" w:eastAsia="zh-CN"/>
        </w:rPr>
      </w:pPr>
      <w:r>
        <w:rPr>
          <w:rFonts w:hint="eastAsia" w:ascii="楷体" w:hAnsi="楷体" w:eastAsia="楷体" w:cs="Calibri"/>
          <w:color w:val="auto"/>
          <w:sz w:val="21"/>
          <w:szCs w:val="21"/>
          <w:highlight w:val="none"/>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highlight w:val="none"/>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投资周期、开放计划</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本产品在每个投资周期结束前设置开放计划，时间为投资周期终止日前</w:t>
      </w:r>
      <w:r>
        <w:rPr>
          <w:rFonts w:hint="eastAsia" w:ascii="楷体" w:hAnsi="楷体" w:eastAsia="楷体"/>
          <w:sz w:val="21"/>
          <w:szCs w:val="21"/>
          <w:highlight w:val="none"/>
          <w:lang w:val="en-US" w:eastAsia="zh-CN"/>
        </w:rPr>
        <w:t>7个工作</w:t>
      </w:r>
      <w:r>
        <w:rPr>
          <w:rFonts w:hint="eastAsia" w:ascii="楷体" w:hAnsi="楷体" w:eastAsia="楷体"/>
          <w:sz w:val="21"/>
          <w:szCs w:val="21"/>
          <w:highlight w:val="none"/>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highlight w:val="none"/>
          <w:u w:val="single"/>
        </w:rPr>
        <w:t>除开放计划外的其他时间，管理人不接受投资者申购、赎回申请。</w:t>
      </w:r>
      <w:r>
        <w:rPr>
          <w:rFonts w:hint="eastAsia" w:ascii="楷体" w:hAnsi="楷体" w:eastAsia="楷体" w:cs="Calibri"/>
          <w:sz w:val="21"/>
          <w:szCs w:val="21"/>
          <w:highlight w:val="none"/>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申购、赎回的原则：投资者必须在产品开放计划内提出申购、赎回申请</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采用金额申购、份额赎回的原则，即申购以金额申请，赎回以份额申请。投资者提出申购申请时，须备足购买资金</w:t>
      </w:r>
      <w:r>
        <w:rPr>
          <w:rFonts w:hint="eastAsia" w:ascii="楷体" w:hAnsi="楷体" w:eastAsia="楷体" w:cs="Calibri"/>
          <w:sz w:val="21"/>
          <w:szCs w:val="21"/>
          <w:highlight w:val="none"/>
          <w:lang w:val="en-US" w:eastAsia="zh-CN"/>
        </w:rPr>
        <w:t>；</w:t>
      </w:r>
      <w:r>
        <w:rPr>
          <w:rFonts w:hint="eastAsia" w:ascii="楷体" w:hAnsi="楷体" w:eastAsia="楷体" w:cs="Calibri"/>
          <w:sz w:val="21"/>
          <w:szCs w:val="21"/>
          <w:highlight w:val="none"/>
        </w:rPr>
        <w:t>投资者提出赎回申请时，须有足够的理财产品份额余额。在开放计划内提交的申购/赎回申请可以在产品开放日</w:t>
      </w:r>
      <w:r>
        <w:rPr>
          <w:rFonts w:hint="eastAsia" w:ascii="楷体" w:hAnsi="楷体" w:eastAsia="楷体" w:cs="Calibri"/>
          <w:sz w:val="21"/>
          <w:szCs w:val="21"/>
          <w:highlight w:val="none"/>
          <w:lang w:val="en-US" w:eastAsia="zh-CN"/>
        </w:rPr>
        <w:t>闭市</w:t>
      </w:r>
      <w:r>
        <w:rPr>
          <w:rFonts w:hint="eastAsia" w:ascii="楷体" w:hAnsi="楷体" w:eastAsia="楷体" w:cs="Calibri"/>
          <w:sz w:val="21"/>
          <w:szCs w:val="21"/>
          <w:highlight w:val="none"/>
        </w:rPr>
        <w:t>前撤销，之后不得撤销。</w:t>
      </w:r>
      <w:r>
        <w:rPr>
          <w:rFonts w:hint="eastAsia" w:ascii="楷体" w:hAnsi="楷体" w:eastAsia="楷体"/>
          <w:sz w:val="21"/>
          <w:szCs w:val="21"/>
          <w:highlight w:val="none"/>
        </w:rPr>
        <w:t>（</w:t>
      </w:r>
      <w:r>
        <w:rPr>
          <w:rFonts w:hint="eastAsia" w:ascii="楷体" w:hAnsi="楷体" w:eastAsia="楷体" w:cs="Calibri"/>
          <w:sz w:val="21"/>
          <w:szCs w:val="21"/>
          <w:highlight w:val="none"/>
          <w:lang w:val="en-US" w:eastAsia="zh-CN"/>
        </w:rPr>
        <w:t>闭市时间</w:t>
      </w:r>
      <w:r>
        <w:rPr>
          <w:rFonts w:hint="eastAsia" w:ascii="楷体" w:hAnsi="楷体" w:eastAsia="楷体"/>
          <w:sz w:val="21"/>
          <w:szCs w:val="21"/>
          <w:highlight w:val="none"/>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申购份额的计算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申购份额=申购金额/开放日产品单位净值</w:t>
      </w:r>
      <w:r>
        <w:rPr>
          <w:rFonts w:hint="eastAsia" w:ascii="楷体" w:hAnsi="楷体" w:eastAsia="楷体"/>
          <w:sz w:val="21"/>
          <w:szCs w:val="21"/>
          <w:highlight w:val="none"/>
          <w:lang w:eastAsia="zh-CN"/>
        </w:rPr>
        <w:t>，</w:t>
      </w:r>
      <w:r>
        <w:rPr>
          <w:rFonts w:hint="eastAsia" w:ascii="楷体" w:hAnsi="楷体" w:eastAsia="楷体"/>
          <w:sz w:val="21"/>
          <w:szCs w:val="21"/>
          <w:highlight w:val="none"/>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赎回金额的计算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赎回金额=赎回份额*开放日产品单位净值</w:t>
      </w:r>
      <w:r>
        <w:rPr>
          <w:rFonts w:hint="eastAsia" w:ascii="楷体" w:hAnsi="楷体" w:eastAsia="楷体"/>
          <w:sz w:val="21"/>
          <w:szCs w:val="21"/>
          <w:highlight w:val="none"/>
          <w:lang w:val="en-US" w:eastAsia="zh-CN"/>
        </w:rPr>
        <w:t>-超额业绩报酬（如有）</w:t>
      </w:r>
      <w:r>
        <w:rPr>
          <w:rFonts w:hint="eastAsia" w:ascii="楷体" w:hAnsi="楷体" w:eastAsia="楷体"/>
          <w:sz w:val="21"/>
          <w:szCs w:val="21"/>
          <w:highlight w:val="none"/>
          <w:lang w:eastAsia="zh-CN"/>
        </w:rPr>
        <w:t>，</w:t>
      </w:r>
      <w:r>
        <w:rPr>
          <w:rFonts w:hint="eastAsia" w:ascii="楷体" w:hAnsi="楷体" w:eastAsia="楷体"/>
          <w:sz w:val="21"/>
          <w:szCs w:val="21"/>
          <w:highlight w:val="none"/>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巨额赎回</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特殊情形及处理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1.</w:t>
      </w:r>
      <w:r>
        <w:rPr>
          <w:rFonts w:hint="eastAsia" w:ascii="楷体" w:hAnsi="楷体" w:eastAsia="楷体"/>
          <w:b w:val="0"/>
          <w:bCs w:val="0"/>
          <w:sz w:val="21"/>
          <w:szCs w:val="21"/>
          <w:highlight w:val="none"/>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（1）不可抗力的原因导致产品无法正常运作</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（2）超出产品单一投资者持有上限</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3</w:t>
      </w:r>
      <w:r>
        <w:rPr>
          <w:rFonts w:hint="eastAsia" w:ascii="楷体" w:hAnsi="楷体" w:eastAsia="楷体" w:cs="Calibri"/>
          <w:sz w:val="21"/>
          <w:szCs w:val="21"/>
          <w:highlight w:val="none"/>
        </w:rPr>
        <w:t>）发生《理财产品说明书》约定的暂停估值的情形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4</w:t>
      </w:r>
      <w:r>
        <w:rPr>
          <w:rFonts w:hint="eastAsia" w:ascii="楷体" w:hAnsi="楷体" w:eastAsia="楷体" w:cs="Calibri"/>
          <w:sz w:val="21"/>
          <w:szCs w:val="21"/>
          <w:highlight w:val="none"/>
        </w:rPr>
        <w:t>）管理人接受某笔或者某些申购申请有可能导致单一投资者持有理财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份额的比例达到或者超过50%的情形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）当接受某笔或某些申购申请可能对存量理财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）法律、法规规定认定的其他情形。</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2.</w:t>
      </w:r>
      <w:r>
        <w:rPr>
          <w:rFonts w:hint="eastAsia" w:ascii="楷体" w:hAnsi="楷体" w:eastAsia="楷体"/>
          <w:b w:val="0"/>
          <w:bCs w:val="0"/>
          <w:sz w:val="21"/>
          <w:szCs w:val="21"/>
          <w:highlight w:val="none"/>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（1）不可抗力的原因导致管理人不能支付赎回款项</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（2）触发巨额赎回条款</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（3）发生《理财产品说明书》约定的暂停估值的情形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（4）当接受某笔或某些赎回申请可能对存量理财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highlight w:val="none"/>
        </w:rPr>
      </w:pPr>
      <w:r>
        <w:rPr>
          <w:rFonts w:hint="eastAsia" w:ascii="楷体" w:hAnsi="楷体" w:eastAsia="楷体" w:cs="Calibri"/>
          <w:sz w:val="21"/>
          <w:szCs w:val="21"/>
          <w:highlight w:val="none"/>
        </w:rPr>
        <w:t>若管理人决定</w:t>
      </w:r>
      <w:r>
        <w:rPr>
          <w:rFonts w:hint="eastAsia" w:ascii="楷体" w:hAnsi="楷体" w:eastAsia="楷体"/>
          <w:sz w:val="21"/>
          <w:szCs w:val="21"/>
          <w:highlight w:val="none"/>
        </w:rPr>
        <w:t>暂停接受投资者的赎回申请或延缓支付赎回款项</w:t>
      </w:r>
      <w:r>
        <w:rPr>
          <w:rFonts w:hint="eastAsia" w:ascii="楷体" w:hAnsi="楷体" w:eastAsia="楷体" w:cs="Calibri"/>
          <w:sz w:val="21"/>
          <w:szCs w:val="21"/>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highlight w:val="none"/>
        </w:rPr>
        <w:t>暂停接受投资者的赎回申请或延缓支付赎回款项的情况消除后</w:t>
      </w:r>
      <w:r>
        <w:rPr>
          <w:rFonts w:hint="eastAsia" w:ascii="楷体" w:hAnsi="楷体" w:eastAsia="楷体" w:cs="Calibri"/>
          <w:sz w:val="21"/>
          <w:szCs w:val="21"/>
          <w:highlight w:val="none"/>
        </w:rPr>
        <w:t>，管理人将及时恢复</w:t>
      </w:r>
      <w:r>
        <w:rPr>
          <w:rFonts w:hint="eastAsia" w:ascii="楷体" w:hAnsi="楷体" w:eastAsia="楷体" w:cs="Calibri"/>
          <w:sz w:val="21"/>
          <w:szCs w:val="21"/>
          <w:highlight w:val="none"/>
          <w:lang w:val="en-US" w:eastAsia="zh-CN"/>
        </w:rPr>
        <w:t>赎回</w:t>
      </w:r>
      <w:r>
        <w:rPr>
          <w:rFonts w:hint="eastAsia" w:ascii="楷体" w:hAnsi="楷体" w:eastAsia="楷体" w:cs="Calibri"/>
          <w:sz w:val="21"/>
          <w:szCs w:val="21"/>
          <w:highlight w:val="none"/>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w:t>
      </w:r>
      <w:r>
        <w:rPr>
          <w:rFonts w:hint="eastAsia" w:ascii="楷体" w:hAnsi="楷体" w:eastAsia="楷体"/>
          <w:sz w:val="21"/>
          <w:szCs w:val="21"/>
          <w:highlight w:val="none"/>
          <w:lang w:val="en-US" w:eastAsia="zh-CN"/>
        </w:rPr>
        <w:t>计划</w:t>
      </w:r>
      <w:r>
        <w:rPr>
          <w:rFonts w:hint="eastAsia" w:ascii="楷体" w:hAnsi="楷体" w:eastAsia="楷体"/>
          <w:sz w:val="21"/>
          <w:szCs w:val="21"/>
          <w:highlight w:val="none"/>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highlight w:val="none"/>
          <w:lang w:eastAsia="zh-CN"/>
        </w:rPr>
      </w:pPr>
      <w:r>
        <w:rPr>
          <w:rFonts w:hint="eastAsia" w:ascii="楷体" w:hAnsi="楷体" w:eastAsia="楷体"/>
          <w:b/>
          <w:sz w:val="21"/>
          <w:szCs w:val="21"/>
          <w:highlight w:val="none"/>
          <w:u w:val="single"/>
        </w:rPr>
        <w:t>以下示例均为假设情况，不代表本产品实际投资业绩</w:t>
      </w:r>
      <w:r>
        <w:rPr>
          <w:rFonts w:hint="eastAsia" w:ascii="楷体" w:hAnsi="楷体" w:eastAsia="楷体"/>
          <w:b/>
          <w:sz w:val="21"/>
          <w:szCs w:val="21"/>
          <w:highlight w:val="none"/>
          <w:u w:val="single"/>
          <w:lang w:eastAsia="zh-CN"/>
        </w:rPr>
        <w:t>。</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1.情景一</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20。理财产品单位净值大于面值，管理人可进行现金分红，每份额可获得的现金分红为0.0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该投资周期投资者可得分红=10,000.00×0.0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20.00（元）</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2.情景二</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highlight w:val="none"/>
        </w:rPr>
      </w:pPr>
      <w:r>
        <w:rPr>
          <w:rFonts w:hint="eastAsia" w:ascii="楷体" w:hAnsi="楷体" w:eastAsia="楷体"/>
          <w:b/>
          <w:sz w:val="21"/>
          <w:szCs w:val="21"/>
          <w:highlight w:val="none"/>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highlight w:val="none"/>
          <w:u w:val="single"/>
          <w:lang w:val="en-US" w:eastAsia="zh-CN"/>
        </w:rPr>
        <w:t>收益</w:t>
      </w:r>
      <w:r>
        <w:rPr>
          <w:rFonts w:hint="eastAsia" w:ascii="楷体" w:hAnsi="楷体" w:eastAsia="楷体"/>
          <w:b/>
          <w:sz w:val="21"/>
          <w:szCs w:val="21"/>
          <w:highlight w:val="none"/>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highlight w:val="none"/>
        </w:rPr>
      </w:pPr>
      <w:r>
        <w:rPr>
          <w:rFonts w:hint="eastAsia" w:ascii="楷体" w:hAnsi="楷体" w:eastAsia="楷体" w:cs="楷体"/>
          <w:b w:val="0"/>
          <w:bCs w:val="0"/>
          <w:color w:val="auto"/>
          <w:sz w:val="21"/>
          <w:szCs w:val="21"/>
          <w:highlight w:val="none"/>
        </w:rPr>
        <w:t>提前终止</w:t>
      </w:r>
    </w:p>
    <w:p>
      <w:pPr>
        <w:numPr>
          <w:ilvl w:val="0"/>
          <w:numId w:val="0"/>
        </w:numPr>
        <w:ind w:left="0" w:firstLine="420" w:firstLineChars="200"/>
        <w:rPr>
          <w:rFonts w:hint="eastAsia" w:ascii="楷体" w:hAnsi="楷体" w:eastAsia="楷体"/>
          <w:b w:val="0"/>
          <w:bCs w:val="0"/>
          <w:color w:val="auto"/>
          <w:sz w:val="21"/>
          <w:szCs w:val="21"/>
          <w:highlight w:val="none"/>
        </w:rPr>
      </w:pPr>
      <w:r>
        <w:rPr>
          <w:rFonts w:hint="eastAsia" w:ascii="楷体" w:hAnsi="楷体" w:eastAsia="楷体" w:cs="Calibri"/>
          <w:b w:val="0"/>
          <w:bCs w:val="0"/>
          <w:color w:val="auto"/>
          <w:sz w:val="21"/>
          <w:szCs w:val="21"/>
          <w:highlight w:val="none"/>
        </w:rPr>
        <w:t>在理财产品投资运作期间内，投资者无权要求提前终止该理财产品。在理财产品投资运作期间内，</w:t>
      </w:r>
      <w:r>
        <w:rPr>
          <w:rFonts w:hint="eastAsia" w:ascii="楷体" w:hAnsi="楷体" w:eastAsia="楷体" w:cs="Calibri"/>
          <w:b w:val="0"/>
          <w:bCs w:val="0"/>
          <w:color w:val="auto"/>
          <w:sz w:val="21"/>
          <w:szCs w:val="21"/>
          <w:highlight w:val="none"/>
          <w:lang w:val="en-US" w:eastAsia="zh-CN"/>
        </w:rPr>
        <w:t>包括但不限于</w:t>
      </w:r>
      <w:r>
        <w:rPr>
          <w:rFonts w:hint="eastAsia" w:ascii="楷体" w:hAnsi="楷体" w:eastAsia="楷体" w:cs="Calibri"/>
          <w:b w:val="0"/>
          <w:bCs w:val="0"/>
          <w:color w:val="auto"/>
          <w:sz w:val="21"/>
          <w:szCs w:val="21"/>
          <w:highlight w:val="none"/>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highlight w:val="none"/>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明确产品终止日</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正常终止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延期</w:t>
      </w:r>
      <w:r>
        <w:rPr>
          <w:rFonts w:hint="eastAsia" w:ascii="楷体" w:hAnsi="楷体" w:eastAsia="楷体" w:cs="Calibri"/>
          <w:b w:val="0"/>
          <w:bCs w:val="0"/>
          <w:color w:val="auto"/>
          <w:sz w:val="21"/>
          <w:szCs w:val="21"/>
          <w:highlight w:val="none"/>
          <w:lang w:val="en-US" w:eastAsia="zh-CN"/>
        </w:rPr>
        <w:t>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投资者可得资金计算</w:t>
      </w:r>
    </w:p>
    <w:p>
      <w:pPr>
        <w:ind w:firstLine="420" w:firstLineChars="200"/>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投资者可得资金=投资者持有份额×产品到期</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终止）</w:t>
      </w:r>
      <w:r>
        <w:rPr>
          <w:rFonts w:hint="eastAsia" w:ascii="楷体" w:hAnsi="楷体" w:eastAsia="楷体"/>
          <w:b w:val="0"/>
          <w:bCs w:val="0"/>
          <w:color w:val="auto"/>
          <w:sz w:val="21"/>
          <w:szCs w:val="21"/>
          <w:highlight w:val="none"/>
        </w:rPr>
        <w:t>时单位净值</w:t>
      </w:r>
      <w:r>
        <w:rPr>
          <w:rFonts w:hint="eastAsia" w:ascii="楷体" w:hAnsi="楷体" w:eastAsia="楷体"/>
          <w:b w:val="0"/>
          <w:bCs w:val="0"/>
          <w:color w:val="auto"/>
          <w:sz w:val="21"/>
          <w:szCs w:val="21"/>
          <w:highlight w:val="none"/>
          <w:lang w:val="en-US" w:eastAsia="zh-CN"/>
        </w:rPr>
        <w:t>-超额业绩报酬（如有）</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终止</w:t>
      </w:r>
      <w:r>
        <w:rPr>
          <w:rFonts w:hint="eastAsia" w:ascii="楷体" w:hAnsi="楷体" w:eastAsia="楷体" w:cs="Calibri"/>
          <w:b w:val="0"/>
          <w:bCs w:val="0"/>
          <w:color w:val="auto"/>
          <w:sz w:val="21"/>
          <w:szCs w:val="21"/>
          <w:highlight w:val="none"/>
        </w:rPr>
        <w:t>清算</w:t>
      </w:r>
    </w:p>
    <w:p>
      <w:pPr>
        <w:widowControl w:val="0"/>
        <w:numPr>
          <w:ilvl w:val="0"/>
          <w:numId w:val="0"/>
        </w:numPr>
        <w:tabs>
          <w:tab w:val="left" w:pos="1092"/>
        </w:tabs>
        <w:jc w:val="both"/>
        <w:rPr>
          <w:rFonts w:hint="eastAsia" w:ascii="楷体" w:hAnsi="楷体" w:eastAsia="楷体" w:cs="Calibri"/>
          <w:color w:val="auto"/>
          <w:sz w:val="21"/>
          <w:szCs w:val="21"/>
          <w:highlight w:val="none"/>
          <w:lang w:eastAsia="zh-CN"/>
        </w:rPr>
      </w:pPr>
      <w:r>
        <w:rPr>
          <w:rFonts w:hint="eastAsia" w:ascii="楷体" w:hAnsi="楷体" w:eastAsia="楷体" w:cs="Calibri"/>
          <w:color w:val="auto"/>
          <w:sz w:val="21"/>
          <w:szCs w:val="21"/>
          <w:highlight w:val="none"/>
        </w:rPr>
        <w:t>投资者的投资本金和收益（如有）将于产品到期日</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产品终止日）</w:t>
      </w:r>
      <w:r>
        <w:rPr>
          <w:rFonts w:hint="eastAsia" w:ascii="楷体" w:hAnsi="楷体" w:eastAsia="楷体" w:cs="Calibri"/>
          <w:color w:val="auto"/>
          <w:sz w:val="21"/>
          <w:szCs w:val="21"/>
          <w:highlight w:val="none"/>
        </w:rPr>
        <w:t>后5个工作日以内划至投资者指定账户，如遇</w:t>
      </w:r>
      <w:r>
        <w:rPr>
          <w:rFonts w:hint="eastAsia" w:ascii="楷体" w:hAnsi="楷体" w:eastAsia="楷体" w:cs="Calibri"/>
          <w:color w:val="auto"/>
          <w:sz w:val="21"/>
          <w:szCs w:val="21"/>
          <w:highlight w:val="none"/>
          <w:lang w:val="en-US" w:eastAsia="zh-CN"/>
        </w:rPr>
        <w:t>非工作日</w:t>
      </w:r>
      <w:r>
        <w:rPr>
          <w:rFonts w:hint="eastAsia" w:ascii="楷体" w:hAnsi="楷体" w:eastAsia="楷体" w:cs="Calibri"/>
          <w:color w:val="auto"/>
          <w:sz w:val="21"/>
          <w:szCs w:val="21"/>
          <w:highlight w:val="none"/>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lang w:val="en-US" w:eastAsia="zh-CN"/>
        </w:rPr>
        <w:t>情景示例</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以下示例均为假设情况，不代表本产品实际投资业绩。</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1.情景一</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-10,000.00=</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2.情景二</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-10,000.00=-</w:t>
      </w:r>
      <w:r>
        <w:rPr>
          <w:rFonts w:ascii="楷体" w:hAnsi="楷体" w:eastAsia="楷体"/>
          <w:color w:val="auto"/>
          <w:sz w:val="21"/>
          <w:szCs w:val="21"/>
          <w:highlight w:val="none"/>
        </w:rPr>
        <w:t>2</w:t>
      </w:r>
      <w:r>
        <w:rPr>
          <w:rFonts w:hint="eastAsia" w:ascii="楷体" w:hAnsi="楷体" w:eastAsia="楷体"/>
          <w:color w:val="auto"/>
          <w:sz w:val="21"/>
          <w:szCs w:val="21"/>
          <w:highlight w:val="none"/>
          <w:lang w:val="en-US" w:eastAsia="zh-CN"/>
        </w:rPr>
        <w:t>4</w:t>
      </w:r>
      <w:r>
        <w:rPr>
          <w:rFonts w:hint="eastAsia" w:ascii="楷体" w:hAnsi="楷体" w:eastAsia="楷体"/>
          <w:color w:val="auto"/>
          <w:sz w:val="21"/>
          <w:szCs w:val="21"/>
          <w:highlight w:val="none"/>
        </w:rPr>
        <w:t>.</w:t>
      </w:r>
      <w:r>
        <w:rPr>
          <w:rFonts w:ascii="楷体" w:hAnsi="楷体" w:eastAsia="楷体"/>
          <w:color w:val="auto"/>
          <w:sz w:val="21"/>
          <w:szCs w:val="21"/>
          <w:highlight w:val="none"/>
        </w:rPr>
        <w:t>0</w:t>
      </w:r>
      <w:r>
        <w:rPr>
          <w:rFonts w:hint="eastAsia" w:ascii="楷体" w:hAnsi="楷体" w:eastAsia="楷体"/>
          <w:color w:val="auto"/>
          <w:sz w:val="21"/>
          <w:szCs w:val="21"/>
          <w:highlight w:val="none"/>
          <w:lang w:val="en-US" w:eastAsia="zh-CN"/>
        </w:rPr>
        <w:t>6</w:t>
      </w:r>
      <w:r>
        <w:rPr>
          <w:rFonts w:hint="eastAsia" w:ascii="楷体" w:hAnsi="楷体" w:eastAsia="楷体"/>
          <w:color w:val="auto"/>
          <w:sz w:val="21"/>
          <w:szCs w:val="21"/>
          <w:highlight w:val="none"/>
        </w:rPr>
        <w:t>（元）</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最不利的情形下，投资者可能损失100%本金。</w:t>
      </w:r>
    </w:p>
    <w:p>
      <w:pPr>
        <w:ind w:left="0" w:leftChars="0" w:firstLine="422" w:firstLineChars="200"/>
        <w:rPr>
          <w:highlight w:val="none"/>
        </w:rPr>
      </w:pPr>
      <w:r>
        <w:rPr>
          <w:rFonts w:hint="eastAsia" w:ascii="楷体" w:hAnsi="楷体" w:eastAsia="楷体"/>
          <w:b/>
          <w:color w:val="auto"/>
          <w:sz w:val="21"/>
          <w:szCs w:val="21"/>
          <w:highlight w:val="none"/>
          <w:u w:val="single"/>
        </w:rPr>
        <w:t>上述情况假设仅用于向投资者示例收益计算方法之用，并不代表管理人对实际投资情况的预期判断，</w:t>
      </w:r>
      <w:r>
        <w:rPr>
          <w:rFonts w:hint="eastAsia" w:ascii="楷体" w:hAnsi="楷体" w:eastAsia="楷体"/>
          <w:b/>
          <w:color w:val="auto"/>
          <w:sz w:val="21"/>
          <w:szCs w:val="21"/>
          <w:highlight w:val="none"/>
          <w:u w:val="single"/>
          <w:lang w:val="en-US" w:eastAsia="zh-CN"/>
        </w:rPr>
        <w:t>也不代表</w:t>
      </w:r>
      <w:r>
        <w:rPr>
          <w:rFonts w:hint="eastAsia" w:ascii="楷体" w:hAnsi="楷体" w:eastAsia="楷体"/>
          <w:b/>
          <w:color w:val="auto"/>
          <w:sz w:val="21"/>
          <w:szCs w:val="21"/>
          <w:highlight w:val="none"/>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highlight w:val="none"/>
        </w:rPr>
      </w:pPr>
      <w:r>
        <w:rPr>
          <w:rFonts w:hint="eastAsia" w:ascii="楷体" w:hAnsi="楷体" w:eastAsia="楷体"/>
          <w:b/>
          <w:sz w:val="21"/>
          <w:szCs w:val="21"/>
          <w:highlight w:val="none"/>
        </w:rPr>
        <w:t>产品费用</w:t>
      </w:r>
    </w:p>
    <w:p>
      <w:pPr>
        <w:ind w:firstLine="420" w:firstLineChars="200"/>
        <w:rPr>
          <w:rFonts w:hint="default" w:ascii="楷体" w:hAnsi="楷体" w:eastAsia="楷体" w:cs="Calibri"/>
          <w:b w:val="0"/>
          <w:bCs/>
          <w:sz w:val="21"/>
          <w:szCs w:val="21"/>
          <w:highlight w:val="none"/>
          <w:lang w:val="en-US" w:eastAsia="zh-CN"/>
        </w:rPr>
      </w:pPr>
      <w:r>
        <w:rPr>
          <w:rFonts w:hint="eastAsia" w:ascii="楷体" w:hAnsi="楷体" w:eastAsia="楷体"/>
          <w:b w:val="0"/>
          <w:bCs/>
          <w:sz w:val="21"/>
          <w:szCs w:val="21"/>
          <w:highlight w:val="none"/>
        </w:rPr>
        <w:t>本产品费用包括托管费、销售服务费、投资管理费、超额业绩报酬（如有）以及产品运作和清算中产生的其他费用等。</w:t>
      </w:r>
      <w:r>
        <w:rPr>
          <w:rFonts w:hint="eastAsia" w:ascii="楷体" w:hAnsi="楷体" w:eastAsia="楷体" w:cs="Calibri"/>
          <w:b w:val="0"/>
          <w:bCs/>
          <w:sz w:val="21"/>
          <w:szCs w:val="21"/>
          <w:highlight w:val="none"/>
        </w:rPr>
        <w:t>计提方法</w:t>
      </w:r>
      <w:r>
        <w:rPr>
          <w:rFonts w:hint="eastAsia" w:ascii="楷体" w:hAnsi="楷体" w:eastAsia="楷体" w:cs="Calibri"/>
          <w:b w:val="0"/>
          <w:bCs/>
          <w:sz w:val="21"/>
          <w:szCs w:val="21"/>
          <w:highlight w:val="none"/>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highlight w:val="none"/>
          <w:lang w:val="en-US" w:eastAsia="zh-CN"/>
        </w:rPr>
      </w:pPr>
      <w:r>
        <w:rPr>
          <w:rFonts w:hint="eastAsia" w:ascii="楷体" w:hAnsi="楷体" w:eastAsia="楷体"/>
          <w:sz w:val="21"/>
          <w:szCs w:val="21"/>
          <w:highlight w:val="none"/>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b w:val="0"/>
          <w:bCs w:val="0"/>
          <w:color w:val="auto"/>
          <w:sz w:val="21"/>
          <w:szCs w:val="21"/>
          <w:highlight w:val="none"/>
        </w:rPr>
        <w:t>本产品资产估值的目的是客观、准确</w:t>
      </w:r>
      <w:r>
        <w:rPr>
          <w:rFonts w:hint="eastAsia" w:ascii="楷体" w:hAnsi="楷体" w:eastAsia="楷体" w:cs="Calibri"/>
          <w:b w:val="0"/>
          <w:bCs w:val="0"/>
          <w:color w:val="auto"/>
          <w:sz w:val="21"/>
          <w:szCs w:val="21"/>
          <w:highlight w:val="none"/>
          <w:lang w:val="en-US" w:eastAsia="zh-CN"/>
        </w:rPr>
        <w:t>地</w:t>
      </w:r>
      <w:r>
        <w:rPr>
          <w:rFonts w:hint="eastAsia" w:ascii="楷体" w:hAnsi="楷体" w:eastAsia="楷体" w:cs="Calibri"/>
          <w:b w:val="0"/>
          <w:bCs w:val="0"/>
          <w:color w:val="auto"/>
          <w:sz w:val="21"/>
          <w:szCs w:val="21"/>
          <w:highlight w:val="none"/>
        </w:rPr>
        <w:t>反映资产净值，确定理财产品资产净值，并为理财产品的兑付提供计价依据</w:t>
      </w:r>
      <w:r>
        <w:rPr>
          <w:rFonts w:hint="eastAsia" w:ascii="楷体" w:hAnsi="楷体" w:eastAsia="楷体" w:cs="Calibri"/>
          <w:sz w:val="21"/>
          <w:szCs w:val="21"/>
          <w:highlight w:val="none"/>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信息披露</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highlight w:val="none"/>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highlight w:val="none"/>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重大事项公告：管理人在发生可能对理财产品投资者或者理财产品收益</w:t>
      </w:r>
      <w:r>
        <w:rPr>
          <w:rFonts w:hint="eastAsia" w:ascii="楷体" w:hAnsi="楷体" w:eastAsia="楷体" w:cs="Calibri"/>
          <w:color w:val="auto"/>
          <w:sz w:val="21"/>
          <w:szCs w:val="21"/>
          <w:highlight w:val="none"/>
          <w:lang w:val="en-US" w:eastAsia="zh-CN"/>
        </w:rPr>
        <w:t>产生重大影响</w:t>
      </w:r>
      <w:r>
        <w:rPr>
          <w:rFonts w:hint="eastAsia" w:ascii="楷体" w:hAnsi="楷体" w:eastAsia="楷体" w:cs="Calibri"/>
          <w:color w:val="auto"/>
          <w:sz w:val="21"/>
          <w:szCs w:val="21"/>
          <w:highlight w:val="none"/>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highlight w:val="none"/>
          <w:lang w:val="en-US" w:eastAsia="zh-CN"/>
        </w:rPr>
        <w:t>单位</w:t>
      </w:r>
      <w:r>
        <w:rPr>
          <w:rFonts w:hint="eastAsia" w:ascii="楷体" w:hAnsi="楷体" w:eastAsia="楷体" w:cs="Calibri"/>
          <w:color w:val="auto"/>
          <w:sz w:val="21"/>
          <w:szCs w:val="21"/>
          <w:highlight w:val="none"/>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其他</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追索条款</w:t>
      </w:r>
    </w:p>
    <w:p>
      <w:pPr>
        <w:ind w:firstLine="420" w:firstLineChars="200"/>
        <w:rPr>
          <w:rFonts w:ascii="楷体" w:hAnsi="楷体" w:eastAsia="楷体"/>
          <w:color w:val="auto"/>
          <w:sz w:val="21"/>
          <w:szCs w:val="21"/>
          <w:highlight w:val="none"/>
        </w:rPr>
      </w:pPr>
      <w:r>
        <w:rPr>
          <w:rFonts w:hint="eastAsia" w:ascii="楷体" w:hAnsi="楷体" w:eastAsia="楷体"/>
          <w:color w:val="auto"/>
          <w:sz w:val="21"/>
          <w:szCs w:val="21"/>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苏银理财及</w:t>
      </w:r>
      <w:r>
        <w:rPr>
          <w:rFonts w:hint="eastAsia" w:ascii="楷体" w:hAnsi="楷体" w:eastAsia="楷体"/>
          <w:color w:val="auto"/>
          <w:sz w:val="21"/>
          <w:szCs w:val="21"/>
          <w:highlight w:val="none"/>
          <w:lang w:val="en-US" w:eastAsia="zh-CN"/>
        </w:rPr>
        <w:t>销售</w:t>
      </w:r>
      <w:r>
        <w:rPr>
          <w:rFonts w:hint="eastAsia" w:ascii="楷体" w:hAnsi="楷体" w:eastAsia="楷体"/>
          <w:color w:val="auto"/>
          <w:sz w:val="21"/>
          <w:szCs w:val="21"/>
          <w:highlight w:val="none"/>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争议解决</w:t>
      </w:r>
    </w:p>
    <w:p>
      <w:pPr>
        <w:ind w:firstLine="420" w:firstLineChars="200"/>
        <w:jc w:val="left"/>
        <w:rPr>
          <w:rFonts w:hint="eastAsia"/>
          <w:highlight w:val="none"/>
        </w:rPr>
      </w:pP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的订立、生效、履行、解释、修改和终止等事项均适用中华人民共和国（</w:t>
      </w:r>
      <w:r>
        <w:rPr>
          <w:rFonts w:hint="eastAsia" w:ascii="楷体" w:hAnsi="楷体" w:eastAsia="楷体"/>
          <w:color w:val="auto"/>
          <w:sz w:val="21"/>
          <w:szCs w:val="21"/>
          <w:highlight w:val="none"/>
          <w:lang w:val="en-US" w:eastAsia="zh-CN"/>
        </w:rPr>
        <w:t>为本合同目的，</w:t>
      </w:r>
      <w:r>
        <w:rPr>
          <w:rFonts w:hint="eastAsia" w:ascii="楷体" w:hAnsi="楷体" w:eastAsia="楷体"/>
          <w:color w:val="auto"/>
          <w:sz w:val="21"/>
          <w:szCs w:val="21"/>
          <w:highlight w:val="none"/>
        </w:rPr>
        <w:t>不包括香港特别行政区、澳门特别行政区和台湾地区）法律。</w:t>
      </w:r>
      <w:r>
        <w:rPr>
          <w:rFonts w:hint="eastAsia" w:ascii="楷体" w:hAnsi="楷体" w:eastAsia="楷体"/>
          <w:color w:val="auto"/>
          <w:sz w:val="21"/>
          <w:szCs w:val="21"/>
          <w:highlight w:val="none"/>
          <w:lang w:val="en-US" w:eastAsia="zh-CN"/>
        </w:rPr>
        <w:t>因本产品说明书</w:t>
      </w:r>
      <w:r>
        <w:rPr>
          <w:rFonts w:hint="eastAsia" w:ascii="楷体" w:hAnsi="楷体" w:eastAsia="楷体"/>
          <w:color w:val="auto"/>
          <w:sz w:val="21"/>
          <w:szCs w:val="21"/>
          <w:highlight w:val="none"/>
        </w:rPr>
        <w:t>引起的或与</w:t>
      </w: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有关的任何争议，应当首先通过双方之间的友好协商解决；协商不成的，双方均有权提交产品管理人</w:t>
      </w:r>
      <w:r>
        <w:rPr>
          <w:rFonts w:hint="eastAsia" w:ascii="楷体" w:hAnsi="楷体" w:eastAsia="楷体"/>
          <w:color w:val="auto"/>
          <w:sz w:val="21"/>
          <w:szCs w:val="21"/>
          <w:highlight w:val="none"/>
          <w:lang w:val="en-US" w:eastAsia="zh-CN"/>
        </w:rPr>
        <w:t>住所地</w:t>
      </w:r>
      <w:r>
        <w:rPr>
          <w:rFonts w:hint="eastAsia" w:ascii="楷体" w:hAnsi="楷体" w:eastAsia="楷体"/>
          <w:color w:val="auto"/>
          <w:sz w:val="21"/>
          <w:szCs w:val="21"/>
          <w:highlight w:val="none"/>
        </w:rPr>
        <w:t>有管辖权的人民法院诉讼解决。</w:t>
      </w:r>
    </w:p>
    <w:p>
      <w: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4098"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4099"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4097"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5F0FC3"/>
    <w:rsid w:val="215F0FC3"/>
    <w:rsid w:val="29465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39"/>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40"/>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41"/>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42"/>
    <w:unhideWhenUsed/>
    <w:qFormat/>
    <w:uiPriority w:val="99"/>
    <w:pPr>
      <w:jc w:val="left"/>
    </w:pPr>
  </w:style>
  <w:style w:type="paragraph" w:styleId="6">
    <w:name w:val="Body Text"/>
    <w:basedOn w:val="1"/>
    <w:link w:val="38"/>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43"/>
    <w:unhideWhenUsed/>
    <w:qFormat/>
    <w:uiPriority w:val="99"/>
    <w:pPr>
      <w:ind w:left="100" w:leftChars="2500"/>
    </w:pPr>
  </w:style>
  <w:style w:type="paragraph" w:styleId="8">
    <w:name w:val="Balloon Text"/>
    <w:basedOn w:val="1"/>
    <w:link w:val="44"/>
    <w:unhideWhenUsed/>
    <w:qFormat/>
    <w:uiPriority w:val="99"/>
    <w:rPr>
      <w:kern w:val="0"/>
      <w:sz w:val="18"/>
      <w:szCs w:val="18"/>
    </w:rPr>
  </w:style>
  <w:style w:type="paragraph" w:styleId="9">
    <w:name w:val="footer"/>
    <w:basedOn w:val="1"/>
    <w:link w:val="45"/>
    <w:unhideWhenUsed/>
    <w:qFormat/>
    <w:uiPriority w:val="99"/>
    <w:pPr>
      <w:tabs>
        <w:tab w:val="center" w:pos="4153"/>
        <w:tab w:val="right" w:pos="8306"/>
      </w:tabs>
      <w:snapToGrid w:val="0"/>
      <w:jc w:val="left"/>
    </w:pPr>
    <w:rPr>
      <w:kern w:val="0"/>
      <w:sz w:val="18"/>
      <w:szCs w:val="18"/>
    </w:rPr>
  </w:style>
  <w:style w:type="paragraph" w:styleId="10">
    <w:name w:val="header"/>
    <w:basedOn w:val="1"/>
    <w:link w:val="4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48"/>
    <w:unhideWhenUsed/>
    <w:qFormat/>
    <w:uiPriority w:val="99"/>
    <w:rPr>
      <w:b/>
      <w:bCs/>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qFormat/>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lhy</cp:lastModifiedBy>
  <cp:lastPrinted>2025-05-30T08:12:00Z</cp:lastPrinted>
  <dcterms:modified xsi:type="dcterms:W3CDTF">2026-06-02T02:34:02Z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9ABF511DB6824641AF66C5FDC417654D</vt:lpwstr>
  </property>
</Properties>
</file>