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苏银理财恒源1年定开7期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计划存续期限为</w:t>
      </w:r>
      <w:r>
        <w:rPr>
          <w:rFonts w:hint="eastAsia" w:ascii="楷体" w:hAnsi="楷体" w:eastAsia="楷体" w:cs="Calibri"/>
          <w:b/>
          <w:color w:val="auto"/>
          <w:sz w:val="21"/>
          <w:szCs w:val="21"/>
          <w:highlight w:val="none"/>
          <w:u w:val="single"/>
          <w:lang w:val="en-US" w:eastAsia="zh-CN"/>
        </w:rPr>
        <w:t>无固定期限</w:t>
      </w:r>
      <w:r>
        <w:rPr>
          <w:rFonts w:hint="eastAsia" w:ascii="楷体" w:hAnsi="楷体" w:eastAsia="楷体"/>
          <w:color w:val="auto"/>
          <w:sz w:val="21"/>
          <w:szCs w:val="21"/>
          <w:highlight w:val="none"/>
          <w:lang w:val="en-US" w:eastAsia="zh-CN"/>
        </w:rPr>
        <w:t>，</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投资者的风险承受能力等级不低于本产品风险评级。若</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rPr>
        <w:t>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highlight w:val="none"/>
        </w:rPr>
        <w:t>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rPr>
        <w:t>投资者亲笔抄录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本人/本机构已经阅读风险揭示，愿意承担投资风险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苏银理财恒源1年定开7期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（2026年6月版）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等。请仔细阅读《“苏银理财恒源1年定开7期”理财产品风险揭示书》的“风险揭示”部分。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苏银理财恒源1年定开7期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Z7003121000023</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A份额:苏银理财恒源1年定开7期A/JSA000000199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B份额:苏银理财恒源1年定开7期B/JSA000000200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C份额:苏银理财恒源1年定开7期C/J20976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D份额:苏银理财恒源1年定开7期D/J03305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F份额:苏银理财恒源1年定开7期F/J03306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G份额:苏银理财恒源1年定开7期G/J03307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J份额:苏银理财恒源1年定开7期J/J03308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M份额:苏银理财恒源1年定开7期M/J03309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P份额:苏银理财恒源1年定开7期P/J04498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GRC份额:苏银理财恒源1年定开7期GRC（广州农商银行专属）/J20977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GS份额:苏银理财恒源1年定开7期GS/J20978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SX份额:苏银理财恒源1年定开7期SX（山银晋晟）/J20979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U份额:苏银理财恒源1年定开7期U/J20980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Z份额:苏银理财恒源1年定开7期Z/J20981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Z1份额:苏银理财恒源1年定开7期Z1/J21109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Z2份额:苏银理财恒源1年定开7期Z2/J21110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ZA份额:苏银理财恒源1年定开7期ZA鑫福款（自动赎回）/J03310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ZF份额:苏银理财恒源1年定开7期ZF（自动赎回）/J03311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ZF2份额:苏银理财恒源1年定开7期ZF2（自动赎回）/J21170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ZJ份额:苏银理财恒源1年定开7期ZJ（自动赎回）/J20982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ZL份额:苏银理财恒源1年定开7期ZL（自动赎回）/J20983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ZN份额:苏银理财恒源1年定开7期ZN（自动赎回）/J04499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ZQ份额:苏银理财恒源1年定开7期ZQ（自动赎回）/J04500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ZC份额:苏银理财恒源1年定开7期ZC鑫福优享（自动赎回）/J20984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ZK份额:苏银理财恒源1年定开7期ZK鑫福尊享（自动赎回）/J20985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参考。理财产品存续期间，若市场环境等因素发生变化，在符合监管政策要求的前提下管理人可对产品风险评级进行调整，并及时将调整情况向投资者披露。</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M份额:100元/100元的整数倍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GRC份额:100元/100元的整数倍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SX份额:100元/100元的整数倍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Z1份额:10,000元/1元的整数倍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Z2份额:500,000元/10,000元的整数倍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ZF2份额:1000元/1000元的整数倍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2021年4月7日至2021年4月13日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2021年4月14日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2031年4月15日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最新投资周期（2026年6月24日-2027年7月15日）开放申购与赎回时间为：2026年6月12日至2026年6月23日</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(其中ZA份额/ZF份额/ZF2份额/ZJ份额/ZL份额/ZN份额/ZQ份额/ZC份额/ZK份额由系统主动发起赎回申请，投资者无须发起赎回申请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各类份额最新投资周期（2026年6月24日-2027年7月15日）业绩比较基准如下：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w:t>
                  </w:r>
                </w:p>
              </w:tc>
              <w:tc>
                <w:tcPr>
                  <w:tcW w:w="1871"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投资周期起始日</w:t>
                  </w:r>
                </w:p>
              </w:tc>
              <w:tc>
                <w:tcPr>
                  <w:tcW w:w="1803"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投资周期终止日</w:t>
                  </w:r>
                </w:p>
              </w:tc>
              <w:tc>
                <w:tcPr>
                  <w:tcW w:w="2701" w:type="dxa"/>
                  <w:vAlign w:val="center"/>
                </w:tcPr>
                <w:p>
                  <w:pPr>
                    <w:jc w:val="center"/>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业绩比较基准</w:t>
                  </w:r>
                </w:p>
                <w:p>
                  <w:pPr>
                    <w:jc w:val="center"/>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1</w:t>
                  </w:r>
                </w:p>
              </w:tc>
              <w:tc>
                <w:tcPr>
                  <w:tcW w:w="1871" w:type="dxa"/>
                  <w:vAlign w:val="center"/>
                </w:tcPr>
                <w:p>
                  <w:pPr>
                    <w:spacing w:before="0" w:after="0" w:line="0" w:lineRule="atLeast"/>
                    <w:jc w:val="center"/>
                  </w:pPr>
                  <w:r>
                    <w:rPr>
                      <w:rFonts w:ascii="楷体" w:hAnsi="楷体" w:eastAsia="楷体"/>
                      <w:sz w:val="18"/>
                    </w:rPr>
                    <w:t>2021年4月14日</w:t>
                  </w:r>
                </w:p>
              </w:tc>
              <w:tc>
                <w:tcPr>
                  <w:tcW w:w="1803" w:type="dxa"/>
                  <w:vAlign w:val="center"/>
                </w:tcPr>
                <w:p>
                  <w:pPr>
                    <w:spacing w:before="0" w:after="0" w:line="0" w:lineRule="atLeast"/>
                    <w:jc w:val="center"/>
                  </w:pPr>
                  <w:r>
                    <w:rPr>
                      <w:rFonts w:ascii="楷体" w:hAnsi="楷体" w:eastAsia="楷体"/>
                      <w:sz w:val="18"/>
                    </w:rPr>
                    <w:t>2022年5月19日</w:t>
                  </w:r>
                </w:p>
              </w:tc>
              <w:tc>
                <w:tcPr>
                  <w:tcW w:w="2701" w:type="dxa"/>
                  <w:vAlign w:val="center"/>
                </w:tcPr>
                <w:p>
                  <w:pPr>
                    <w:spacing w:before="0" w:after="0" w:line="0" w:lineRule="atLeast"/>
                    <w:jc w:val="center"/>
                  </w:pPr>
                  <w:r>
                    <w:rPr>
                      <w:rFonts w:ascii="楷体" w:hAnsi="楷体" w:eastAsia="楷体"/>
                      <w:sz w:val="18"/>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2</w:t>
                  </w:r>
                </w:p>
              </w:tc>
              <w:tc>
                <w:tcPr>
                  <w:tcW w:w="1871" w:type="dxa"/>
                  <w:vAlign w:val="center"/>
                </w:tcPr>
                <w:p>
                  <w:pPr>
                    <w:spacing w:before="0" w:after="0" w:line="0" w:lineRule="atLeast"/>
                    <w:jc w:val="center"/>
                  </w:pPr>
                  <w:r>
                    <w:rPr>
                      <w:rFonts w:ascii="楷体" w:hAnsi="楷体" w:eastAsia="楷体"/>
                      <w:sz w:val="18"/>
                    </w:rPr>
                    <w:t>2022年5月20日</w:t>
                  </w:r>
                </w:p>
              </w:tc>
              <w:tc>
                <w:tcPr>
                  <w:tcW w:w="1803" w:type="dxa"/>
                  <w:vAlign w:val="center"/>
                </w:tcPr>
                <w:p>
                  <w:pPr>
                    <w:spacing w:before="0" w:after="0" w:line="0" w:lineRule="atLeast"/>
                    <w:jc w:val="center"/>
                  </w:pPr>
                  <w:r>
                    <w:rPr>
                      <w:rFonts w:ascii="楷体" w:hAnsi="楷体" w:eastAsia="楷体"/>
                      <w:sz w:val="18"/>
                    </w:rPr>
                    <w:t>2023年5月16日</w:t>
                  </w:r>
                </w:p>
              </w:tc>
              <w:tc>
                <w:tcPr>
                  <w:tcW w:w="2701" w:type="dxa"/>
                  <w:vAlign w:val="center"/>
                </w:tcPr>
                <w:p>
                  <w:pPr>
                    <w:spacing w:before="0" w:after="0" w:line="0" w:lineRule="atLeast"/>
                    <w:jc w:val="center"/>
                  </w:pPr>
                  <w:r>
                    <w:rPr>
                      <w:rFonts w:ascii="楷体" w:hAnsi="楷体" w:eastAsia="楷体"/>
                      <w:sz w:val="18"/>
                    </w:rPr>
                    <w:t>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3</w:t>
                  </w:r>
                </w:p>
              </w:tc>
              <w:tc>
                <w:tcPr>
                  <w:tcW w:w="1871" w:type="dxa"/>
                  <w:vAlign w:val="center"/>
                </w:tcPr>
                <w:p>
                  <w:pPr>
                    <w:spacing w:before="0" w:after="0" w:line="0" w:lineRule="atLeast"/>
                    <w:jc w:val="center"/>
                  </w:pPr>
                  <w:r>
                    <w:rPr>
                      <w:rFonts w:ascii="楷体" w:hAnsi="楷体" w:eastAsia="楷体"/>
                      <w:sz w:val="18"/>
                    </w:rPr>
                    <w:t>2023年5月17日</w:t>
                  </w:r>
                </w:p>
              </w:tc>
              <w:tc>
                <w:tcPr>
                  <w:tcW w:w="1803" w:type="dxa"/>
                  <w:vAlign w:val="center"/>
                </w:tcPr>
                <w:p>
                  <w:pPr>
                    <w:spacing w:before="0" w:after="0" w:line="0" w:lineRule="atLeast"/>
                    <w:jc w:val="center"/>
                  </w:pPr>
                  <w:r>
                    <w:rPr>
                      <w:rFonts w:ascii="楷体" w:hAnsi="楷体" w:eastAsia="楷体"/>
                      <w:sz w:val="18"/>
                    </w:rPr>
                    <w:t>2024年5月21日</w:t>
                  </w:r>
                </w:p>
              </w:tc>
              <w:tc>
                <w:tcPr>
                  <w:tcW w:w="2701" w:type="dxa"/>
                  <w:vAlign w:val="center"/>
                </w:tcPr>
                <w:p>
                  <w:pPr>
                    <w:spacing w:before="0" w:after="0" w:line="0" w:lineRule="atLeast"/>
                    <w:jc w:val="center"/>
                  </w:pPr>
                  <w:r>
                    <w:rPr>
                      <w:rFonts w:ascii="楷体" w:hAnsi="楷体" w:eastAsia="楷体"/>
                      <w:sz w:val="18"/>
                    </w:rPr>
                    <w:t>A份额 4%</w:t>
                  </w:r>
                  <w:r>
                    <w:rPr>
                      <w:rFonts w:ascii="楷体" w:hAnsi="楷体" w:eastAsia="楷体"/>
                      <w:sz w:val="18"/>
                    </w:rPr>
                    <w:br w:type="textWrapping"/>
                  </w:r>
                  <w:r>
                    <w:rPr>
                      <w:rFonts w:ascii="楷体" w:hAnsi="楷体" w:eastAsia="楷体"/>
                      <w:sz w:val="18"/>
                    </w:rPr>
                    <w:t>B份额 4.03%</w:t>
                  </w:r>
                  <w:r>
                    <w:rPr>
                      <w:rFonts w:ascii="楷体" w:hAnsi="楷体" w:eastAsia="楷体"/>
                      <w:sz w:val="18"/>
                    </w:rPr>
                    <w:br w:type="textWrapping"/>
                  </w:r>
                  <w:r>
                    <w:rPr>
                      <w:rFonts w:ascii="楷体" w:hAnsi="楷体" w:eastAsia="楷体"/>
                      <w:sz w:val="18"/>
                    </w:rPr>
                    <w:t>X份额 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4</w:t>
                  </w:r>
                </w:p>
              </w:tc>
              <w:tc>
                <w:tcPr>
                  <w:tcW w:w="1871" w:type="dxa"/>
                  <w:vAlign w:val="center"/>
                </w:tcPr>
                <w:p>
                  <w:pPr>
                    <w:spacing w:before="0" w:after="0" w:line="0" w:lineRule="atLeast"/>
                    <w:jc w:val="center"/>
                  </w:pPr>
                  <w:r>
                    <w:rPr>
                      <w:rFonts w:ascii="楷体" w:hAnsi="楷体" w:eastAsia="楷体"/>
                      <w:sz w:val="18"/>
                    </w:rPr>
                    <w:t>2024年5月22日</w:t>
                  </w:r>
                </w:p>
              </w:tc>
              <w:tc>
                <w:tcPr>
                  <w:tcW w:w="1803" w:type="dxa"/>
                  <w:vAlign w:val="center"/>
                </w:tcPr>
                <w:p>
                  <w:pPr>
                    <w:spacing w:before="0" w:after="0" w:line="0" w:lineRule="atLeast"/>
                    <w:jc w:val="center"/>
                  </w:pPr>
                  <w:r>
                    <w:rPr>
                      <w:rFonts w:ascii="楷体" w:hAnsi="楷体" w:eastAsia="楷体"/>
                      <w:sz w:val="18"/>
                    </w:rPr>
                    <w:t>2025年5月28日</w:t>
                  </w:r>
                </w:p>
              </w:tc>
              <w:tc>
                <w:tcPr>
                  <w:tcW w:w="2701" w:type="dxa"/>
                  <w:vAlign w:val="center"/>
                </w:tcPr>
                <w:p>
                  <w:pPr>
                    <w:spacing w:before="0" w:after="0" w:line="0" w:lineRule="atLeast"/>
                    <w:jc w:val="center"/>
                  </w:pPr>
                  <w:r>
                    <w:rPr>
                      <w:rFonts w:ascii="楷体" w:hAnsi="楷体" w:eastAsia="楷体"/>
                      <w:sz w:val="18"/>
                    </w:rPr>
                    <w:t>A份额3.00%-3.60%</w:t>
                  </w:r>
                  <w:r>
                    <w:rPr>
                      <w:rFonts w:ascii="楷体" w:hAnsi="楷体" w:eastAsia="楷体"/>
                      <w:sz w:val="18"/>
                    </w:rPr>
                    <w:br w:type="textWrapping"/>
                  </w:r>
                  <w:r>
                    <w:rPr>
                      <w:rFonts w:ascii="楷体" w:hAnsi="楷体" w:eastAsia="楷体"/>
                      <w:sz w:val="18"/>
                    </w:rPr>
                    <w:t>B份额3.03%-3.63%</w:t>
                  </w:r>
                  <w:r>
                    <w:rPr>
                      <w:rFonts w:ascii="楷体" w:hAnsi="楷体" w:eastAsia="楷体"/>
                      <w:sz w:val="18"/>
                    </w:rPr>
                    <w:br w:type="textWrapping"/>
                  </w:r>
                  <w:r>
                    <w:rPr>
                      <w:rFonts w:ascii="楷体" w:hAnsi="楷体" w:eastAsia="楷体"/>
                      <w:sz w:val="18"/>
                    </w:rPr>
                    <w:t>D份额3.15%-3.75%</w:t>
                  </w:r>
                  <w:r>
                    <w:rPr>
                      <w:rFonts w:ascii="楷体" w:hAnsi="楷体" w:eastAsia="楷体"/>
                      <w:sz w:val="18"/>
                    </w:rPr>
                    <w:br w:type="textWrapping"/>
                  </w:r>
                  <w:r>
                    <w:rPr>
                      <w:rFonts w:ascii="楷体" w:hAnsi="楷体" w:eastAsia="楷体"/>
                      <w:sz w:val="18"/>
                    </w:rPr>
                    <w:t>F份额3.00%-3.60%</w:t>
                  </w:r>
                  <w:r>
                    <w:rPr>
                      <w:rFonts w:ascii="楷体" w:hAnsi="楷体" w:eastAsia="楷体"/>
                      <w:sz w:val="18"/>
                    </w:rPr>
                    <w:br w:type="textWrapping"/>
                  </w:r>
                  <w:r>
                    <w:rPr>
                      <w:rFonts w:ascii="楷体" w:hAnsi="楷体" w:eastAsia="楷体"/>
                      <w:sz w:val="18"/>
                    </w:rPr>
                    <w:t>G份额3.05%-3.65%</w:t>
                  </w:r>
                  <w:r>
                    <w:rPr>
                      <w:rFonts w:ascii="楷体" w:hAnsi="楷体" w:eastAsia="楷体"/>
                      <w:sz w:val="18"/>
                    </w:rPr>
                    <w:br w:type="textWrapping"/>
                  </w:r>
                  <w:r>
                    <w:rPr>
                      <w:rFonts w:ascii="楷体" w:hAnsi="楷体" w:eastAsia="楷体"/>
                      <w:sz w:val="18"/>
                    </w:rPr>
                    <w:t>J份额3.10%-3.70%</w:t>
                  </w:r>
                  <w:r>
                    <w:rPr>
                      <w:rFonts w:ascii="楷体" w:hAnsi="楷体" w:eastAsia="楷体"/>
                      <w:sz w:val="18"/>
                    </w:rPr>
                    <w:br w:type="textWrapping"/>
                  </w:r>
                  <w:r>
                    <w:rPr>
                      <w:rFonts w:ascii="楷体" w:hAnsi="楷体" w:eastAsia="楷体"/>
                      <w:sz w:val="18"/>
                    </w:rPr>
                    <w:t>M份额 3.10%-3.70%</w:t>
                  </w:r>
                  <w:r>
                    <w:rPr>
                      <w:rFonts w:ascii="楷体" w:hAnsi="楷体" w:eastAsia="楷体"/>
                      <w:sz w:val="18"/>
                    </w:rPr>
                    <w:br w:type="textWrapping"/>
                  </w:r>
                  <w:r>
                    <w:rPr>
                      <w:rFonts w:ascii="楷体" w:hAnsi="楷体" w:eastAsia="楷体"/>
                      <w:sz w:val="18"/>
                    </w:rPr>
                    <w:t>ZA份额3.00%-3.60%</w:t>
                  </w:r>
                  <w:r>
                    <w:rPr>
                      <w:rFonts w:ascii="楷体" w:hAnsi="楷体" w:eastAsia="楷体"/>
                      <w:sz w:val="18"/>
                    </w:rPr>
                    <w:br w:type="textWrapping"/>
                  </w:r>
                  <w:r>
                    <w:rPr>
                      <w:rFonts w:ascii="楷体" w:hAnsi="楷体" w:eastAsia="楷体"/>
                      <w:sz w:val="18"/>
                    </w:rPr>
                    <w:t>ZF份额3.00%-3.60%</w:t>
                  </w:r>
                  <w:r>
                    <w:rPr>
                      <w:rFonts w:ascii="楷体" w:hAnsi="楷体" w:eastAsia="楷体"/>
                      <w:sz w:val="18"/>
                    </w:rPr>
                    <w:br w:type="textWrapping"/>
                  </w:r>
                  <w:r>
                    <w:rPr>
                      <w:rFonts w:ascii="楷体" w:hAnsi="楷体" w:eastAsia="楷体"/>
                      <w:sz w:val="18"/>
                    </w:rPr>
                    <w:t>ZS份额3.10%-3.70%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5</w:t>
                  </w:r>
                </w:p>
              </w:tc>
              <w:tc>
                <w:tcPr>
                  <w:tcW w:w="1871" w:type="dxa"/>
                  <w:vAlign w:val="center"/>
                </w:tcPr>
                <w:p>
                  <w:pPr>
                    <w:spacing w:before="0" w:after="0" w:line="0" w:lineRule="atLeast"/>
                    <w:jc w:val="center"/>
                  </w:pPr>
                  <w:r>
                    <w:rPr>
                      <w:rFonts w:ascii="楷体" w:hAnsi="楷体" w:eastAsia="楷体"/>
                      <w:sz w:val="18"/>
                    </w:rPr>
                    <w:t>2025年5月29日</w:t>
                  </w:r>
                </w:p>
              </w:tc>
              <w:tc>
                <w:tcPr>
                  <w:tcW w:w="1803" w:type="dxa"/>
                  <w:vAlign w:val="center"/>
                </w:tcPr>
                <w:p>
                  <w:pPr>
                    <w:spacing w:before="0" w:after="0" w:line="0" w:lineRule="atLeast"/>
                    <w:jc w:val="center"/>
                  </w:pPr>
                  <w:r>
                    <w:rPr>
                      <w:rFonts w:ascii="楷体" w:hAnsi="楷体" w:eastAsia="楷体"/>
                      <w:sz w:val="18"/>
                    </w:rPr>
                    <w:t>2026年6月23日</w:t>
                  </w:r>
                </w:p>
              </w:tc>
              <w:tc>
                <w:tcPr>
                  <w:tcW w:w="2701" w:type="dxa"/>
                  <w:vAlign w:val="center"/>
                </w:tcPr>
                <w:p>
                  <w:pPr>
                    <w:spacing w:before="0" w:after="0" w:line="0" w:lineRule="atLeast"/>
                    <w:jc w:val="center"/>
                  </w:pPr>
                  <w:r>
                    <w:rPr>
                      <w:rFonts w:ascii="楷体" w:hAnsi="楷体" w:eastAsia="楷体"/>
                      <w:sz w:val="18"/>
                    </w:rPr>
                    <w:t>A份额 2.60%-3.20%</w:t>
                  </w:r>
                  <w:r>
                    <w:rPr>
                      <w:rFonts w:ascii="楷体" w:hAnsi="楷体" w:eastAsia="楷体"/>
                      <w:sz w:val="18"/>
                    </w:rPr>
                    <w:br w:type="textWrapping"/>
                  </w:r>
                  <w:r>
                    <w:rPr>
                      <w:rFonts w:ascii="楷体" w:hAnsi="楷体" w:eastAsia="楷体"/>
                      <w:sz w:val="18"/>
                    </w:rPr>
                    <w:t>B份额 2.63%-3.23%</w:t>
                  </w:r>
                  <w:r>
                    <w:rPr>
                      <w:rFonts w:ascii="楷体" w:hAnsi="楷体" w:eastAsia="楷体"/>
                      <w:sz w:val="18"/>
                    </w:rPr>
                    <w:br w:type="textWrapping"/>
                  </w:r>
                  <w:r>
                    <w:rPr>
                      <w:rFonts w:ascii="楷体" w:hAnsi="楷体" w:eastAsia="楷体"/>
                      <w:sz w:val="18"/>
                    </w:rPr>
                    <w:t>D份额 2.75%-3.35%</w:t>
                  </w:r>
                  <w:r>
                    <w:rPr>
                      <w:rFonts w:ascii="楷体" w:hAnsi="楷体" w:eastAsia="楷体"/>
                      <w:sz w:val="18"/>
                    </w:rPr>
                    <w:br w:type="textWrapping"/>
                  </w:r>
                  <w:r>
                    <w:rPr>
                      <w:rFonts w:ascii="楷体" w:hAnsi="楷体" w:eastAsia="楷体"/>
                      <w:sz w:val="18"/>
                    </w:rPr>
                    <w:t>F份额 2.60%-3.20%</w:t>
                  </w:r>
                  <w:r>
                    <w:rPr>
                      <w:rFonts w:ascii="楷体" w:hAnsi="楷体" w:eastAsia="楷体"/>
                      <w:sz w:val="18"/>
                    </w:rPr>
                    <w:br w:type="textWrapping"/>
                  </w:r>
                  <w:r>
                    <w:rPr>
                      <w:rFonts w:ascii="楷体" w:hAnsi="楷体" w:eastAsia="楷体"/>
                      <w:sz w:val="18"/>
                    </w:rPr>
                    <w:t>G份额 2.65%-3.25%</w:t>
                  </w:r>
                  <w:r>
                    <w:rPr>
                      <w:rFonts w:ascii="楷体" w:hAnsi="楷体" w:eastAsia="楷体"/>
                      <w:sz w:val="18"/>
                    </w:rPr>
                    <w:br w:type="textWrapping"/>
                  </w:r>
                  <w:r>
                    <w:rPr>
                      <w:rFonts w:ascii="楷体" w:hAnsi="楷体" w:eastAsia="楷体"/>
                      <w:sz w:val="18"/>
                    </w:rPr>
                    <w:t>J份额 2.70%-3.30%</w:t>
                  </w:r>
                  <w:r>
                    <w:rPr>
                      <w:rFonts w:ascii="楷体" w:hAnsi="楷体" w:eastAsia="楷体"/>
                      <w:sz w:val="18"/>
                    </w:rPr>
                    <w:br w:type="textWrapping"/>
                  </w:r>
                  <w:r>
                    <w:rPr>
                      <w:rFonts w:ascii="楷体" w:hAnsi="楷体" w:eastAsia="楷体"/>
                      <w:sz w:val="18"/>
                    </w:rPr>
                    <w:t>M份额 2.70%-3.30%</w:t>
                  </w:r>
                  <w:r>
                    <w:rPr>
                      <w:rFonts w:ascii="楷体" w:hAnsi="楷体" w:eastAsia="楷体"/>
                      <w:sz w:val="18"/>
                    </w:rPr>
                    <w:br w:type="textWrapping"/>
                  </w:r>
                  <w:r>
                    <w:rPr>
                      <w:rFonts w:ascii="楷体" w:hAnsi="楷体" w:eastAsia="楷体"/>
                      <w:sz w:val="18"/>
                    </w:rPr>
                    <w:t>P份额 2.80%-3.40%</w:t>
                  </w:r>
                  <w:r>
                    <w:rPr>
                      <w:rFonts w:ascii="楷体" w:hAnsi="楷体" w:eastAsia="楷体"/>
                      <w:sz w:val="18"/>
                    </w:rPr>
                    <w:br w:type="textWrapping"/>
                  </w:r>
                  <w:r>
                    <w:rPr>
                      <w:rFonts w:ascii="楷体" w:hAnsi="楷体" w:eastAsia="楷体"/>
                      <w:sz w:val="18"/>
                    </w:rPr>
                    <w:t>ZA份额 2.60%-3.20%</w:t>
                  </w:r>
                  <w:r>
                    <w:rPr>
                      <w:rFonts w:ascii="楷体" w:hAnsi="楷体" w:eastAsia="楷体"/>
                      <w:sz w:val="18"/>
                    </w:rPr>
                    <w:br w:type="textWrapping"/>
                  </w:r>
                  <w:r>
                    <w:rPr>
                      <w:rFonts w:ascii="楷体" w:hAnsi="楷体" w:eastAsia="楷体"/>
                      <w:sz w:val="18"/>
                    </w:rPr>
                    <w:t>ZF份额 2.60%-3.20%</w:t>
                  </w:r>
                  <w:r>
                    <w:rPr>
                      <w:rFonts w:ascii="楷体" w:hAnsi="楷体" w:eastAsia="楷体"/>
                      <w:sz w:val="18"/>
                    </w:rPr>
                    <w:br w:type="textWrapping"/>
                  </w:r>
                  <w:r>
                    <w:rPr>
                      <w:rFonts w:ascii="楷体" w:hAnsi="楷体" w:eastAsia="楷体"/>
                      <w:sz w:val="18"/>
                    </w:rPr>
                    <w:t>ZN份额 2.79%-3.39%</w:t>
                  </w:r>
                  <w:r>
                    <w:rPr>
                      <w:rFonts w:ascii="楷体" w:hAnsi="楷体" w:eastAsia="楷体"/>
                      <w:sz w:val="18"/>
                    </w:rPr>
                    <w:br w:type="textWrapping"/>
                  </w:r>
                  <w:r>
                    <w:rPr>
                      <w:rFonts w:ascii="楷体" w:hAnsi="楷体" w:eastAsia="楷体"/>
                      <w:sz w:val="18"/>
                    </w:rPr>
                    <w:t>ZQ份额 2.55%-3.15%</w:t>
                  </w:r>
                  <w:r>
                    <w:rPr>
                      <w:rFonts w:ascii="楷体" w:hAnsi="楷体" w:eastAsia="楷体"/>
                      <w:sz w:val="18"/>
                    </w:rPr>
                    <w:br w:type="textWrapping"/>
                  </w:r>
                  <w:r>
                    <w:rPr>
                      <w:rFonts w:ascii="楷体" w:hAnsi="楷体" w:eastAsia="楷体"/>
                      <w:sz w:val="18"/>
                    </w:rPr>
                    <w:t>ZR份额 2.85%-3.45%</w:t>
                  </w:r>
                  <w:r>
                    <w:rPr>
                      <w:rFonts w:ascii="楷体" w:hAnsi="楷体" w:eastAsia="楷体"/>
                      <w:sz w:val="18"/>
                    </w:rPr>
                    <w:br w:type="textWrapping"/>
                  </w:r>
                  <w:r>
                    <w:rPr>
                      <w:rFonts w:ascii="楷体" w:hAnsi="楷体" w:eastAsia="楷体"/>
                      <w:sz w:val="18"/>
                    </w:rPr>
                    <w:t>ZS份额 2.70%-3.30%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rPr>
                      <w:rFonts w:hint="eastAsia" w:eastAsia="宋体"/>
                      <w:lang w:eastAsia="zh-CN"/>
                    </w:rPr>
                  </w:pPr>
                  <w:r>
                    <w:rPr>
                      <w:rFonts w:hint="eastAsia" w:ascii="楷体" w:hAnsi="楷体" w:eastAsia="楷体"/>
                      <w:sz w:val="18"/>
                      <w:lang w:val="en-US" w:eastAsia="zh-CN"/>
                    </w:rPr>
                    <w:t>6</w:t>
                  </w:r>
                </w:p>
              </w:tc>
              <w:tc>
                <w:tcPr>
                  <w:tcW w:w="1871" w:type="dxa"/>
                  <w:vAlign w:val="center"/>
                </w:tcPr>
                <w:p>
                  <w:pPr>
                    <w:spacing w:before="0" w:after="0" w:line="0" w:lineRule="atLeast"/>
                    <w:jc w:val="center"/>
                  </w:pPr>
                  <w:r>
                    <w:rPr>
                      <w:rFonts w:ascii="楷体" w:hAnsi="楷体" w:eastAsia="楷体"/>
                      <w:sz w:val="18"/>
                    </w:rPr>
                    <w:t>2026年6月24日</w:t>
                  </w:r>
                </w:p>
              </w:tc>
              <w:tc>
                <w:tcPr>
                  <w:tcW w:w="1803" w:type="dxa"/>
                  <w:vAlign w:val="center"/>
                </w:tcPr>
                <w:p>
                  <w:pPr>
                    <w:spacing w:before="0" w:after="0" w:line="0" w:lineRule="atLeast"/>
                    <w:jc w:val="center"/>
                  </w:pPr>
                  <w:r>
                    <w:rPr>
                      <w:rFonts w:ascii="楷体" w:hAnsi="楷体" w:eastAsia="楷体"/>
                      <w:sz w:val="18"/>
                    </w:rPr>
                    <w:t>2027年7月15日</w:t>
                  </w:r>
                </w:p>
              </w:tc>
              <w:tc>
                <w:tcPr>
                  <w:tcW w:w="2701" w:type="dxa"/>
                  <w:vAlign w:val="center"/>
                </w:tcPr>
                <w:p>
                  <w:pPr>
                    <w:spacing w:before="0" w:after="0" w:line="0" w:lineRule="atLeast"/>
                    <w:jc w:val="center"/>
                  </w:pPr>
                  <w:r>
                    <w:rPr>
                      <w:rFonts w:ascii="楷体" w:hAnsi="楷体" w:eastAsia="楷体"/>
                      <w:sz w:val="18"/>
                    </w:rPr>
                    <w:t>A份额2.45%-3.05%</w:t>
                  </w:r>
                  <w:r>
                    <w:rPr>
                      <w:rFonts w:ascii="楷体" w:hAnsi="楷体" w:eastAsia="楷体"/>
                      <w:sz w:val="18"/>
                    </w:rPr>
                    <w:br w:type="textWrapping"/>
                  </w:r>
                  <w:r>
                    <w:rPr>
                      <w:rFonts w:ascii="楷体" w:hAnsi="楷体" w:eastAsia="楷体"/>
                      <w:sz w:val="18"/>
                    </w:rPr>
                    <w:t>B份额2.48%-3.08%</w:t>
                  </w:r>
                  <w:r>
                    <w:rPr>
                      <w:rFonts w:ascii="楷体" w:hAnsi="楷体" w:eastAsia="楷体"/>
                      <w:sz w:val="18"/>
                    </w:rPr>
                    <w:br w:type="textWrapping"/>
                  </w:r>
                  <w:r>
                    <w:rPr>
                      <w:rFonts w:ascii="楷体" w:hAnsi="楷体" w:eastAsia="楷体"/>
                      <w:sz w:val="18"/>
                    </w:rPr>
                    <w:t>C份额2.50%-3.10%</w:t>
                  </w:r>
                  <w:r>
                    <w:rPr>
                      <w:rFonts w:ascii="楷体" w:hAnsi="楷体" w:eastAsia="楷体"/>
                      <w:sz w:val="18"/>
                    </w:rPr>
                    <w:br w:type="textWrapping"/>
                  </w:r>
                  <w:r>
                    <w:rPr>
                      <w:rFonts w:ascii="楷体" w:hAnsi="楷体" w:eastAsia="楷体"/>
                      <w:sz w:val="18"/>
                    </w:rPr>
                    <w:t>D份额2.60%-3.20%</w:t>
                  </w:r>
                  <w:r>
                    <w:rPr>
                      <w:rFonts w:ascii="楷体" w:hAnsi="楷体" w:eastAsia="楷体"/>
                      <w:sz w:val="18"/>
                    </w:rPr>
                    <w:br w:type="textWrapping"/>
                  </w:r>
                  <w:r>
                    <w:rPr>
                      <w:rFonts w:ascii="楷体" w:hAnsi="楷体" w:eastAsia="楷体"/>
                      <w:sz w:val="18"/>
                    </w:rPr>
                    <w:t>F份额2.45%-3.05%</w:t>
                  </w:r>
                  <w:r>
                    <w:rPr>
                      <w:rFonts w:ascii="楷体" w:hAnsi="楷体" w:eastAsia="楷体"/>
                      <w:sz w:val="18"/>
                    </w:rPr>
                    <w:br w:type="textWrapping"/>
                  </w:r>
                  <w:r>
                    <w:rPr>
                      <w:rFonts w:ascii="楷体" w:hAnsi="楷体" w:eastAsia="楷体"/>
                      <w:sz w:val="18"/>
                    </w:rPr>
                    <w:t>G份额2.48%-3.08%</w:t>
                  </w:r>
                  <w:r>
                    <w:rPr>
                      <w:rFonts w:ascii="楷体" w:hAnsi="楷体" w:eastAsia="楷体"/>
                      <w:sz w:val="18"/>
                    </w:rPr>
                    <w:br w:type="textWrapping"/>
                  </w:r>
                  <w:r>
                    <w:rPr>
                      <w:rFonts w:ascii="楷体" w:hAnsi="楷体" w:eastAsia="楷体"/>
                      <w:sz w:val="18"/>
                    </w:rPr>
                    <w:t>J份额2.55%-3.15%</w:t>
                  </w:r>
                  <w:r>
                    <w:rPr>
                      <w:rFonts w:ascii="楷体" w:hAnsi="楷体" w:eastAsia="楷体"/>
                      <w:sz w:val="18"/>
                    </w:rPr>
                    <w:br w:type="textWrapping"/>
                  </w:r>
                  <w:r>
                    <w:rPr>
                      <w:rFonts w:ascii="楷体" w:hAnsi="楷体" w:eastAsia="楷体"/>
                      <w:sz w:val="18"/>
                    </w:rPr>
                    <w:t>M份额2.55%-3.15%</w:t>
                  </w:r>
                  <w:r>
                    <w:rPr>
                      <w:rFonts w:ascii="楷体" w:hAnsi="楷体" w:eastAsia="楷体"/>
                      <w:sz w:val="18"/>
                    </w:rPr>
                    <w:br w:type="textWrapping"/>
                  </w:r>
                  <w:r>
                    <w:rPr>
                      <w:rFonts w:ascii="楷体" w:hAnsi="楷体" w:eastAsia="楷体"/>
                      <w:sz w:val="18"/>
                    </w:rPr>
                    <w:t>P份额2.65%-3.25%</w:t>
                  </w:r>
                  <w:r>
                    <w:rPr>
                      <w:rFonts w:ascii="楷体" w:hAnsi="楷体" w:eastAsia="楷体"/>
                      <w:sz w:val="18"/>
                    </w:rPr>
                    <w:br w:type="textWrapping"/>
                  </w:r>
                  <w:r>
                    <w:rPr>
                      <w:rFonts w:ascii="楷体" w:hAnsi="楷体" w:eastAsia="楷体"/>
                      <w:sz w:val="18"/>
                    </w:rPr>
                    <w:t>GRC份额2.50%-3.10%</w:t>
                  </w:r>
                  <w:r>
                    <w:rPr>
                      <w:rFonts w:ascii="楷体" w:hAnsi="楷体" w:eastAsia="楷体"/>
                      <w:sz w:val="18"/>
                    </w:rPr>
                    <w:br w:type="textWrapping"/>
                  </w:r>
                  <w:r>
                    <w:rPr>
                      <w:rFonts w:ascii="楷体" w:hAnsi="楷体" w:eastAsia="楷体"/>
                      <w:sz w:val="18"/>
                    </w:rPr>
                    <w:t>GS份额2.55%-3.15%</w:t>
                  </w:r>
                  <w:r>
                    <w:rPr>
                      <w:rFonts w:ascii="楷体" w:hAnsi="楷体" w:eastAsia="楷体"/>
                      <w:sz w:val="18"/>
                    </w:rPr>
                    <w:br w:type="textWrapping"/>
                  </w:r>
                  <w:r>
                    <w:rPr>
                      <w:rFonts w:ascii="楷体" w:hAnsi="楷体" w:eastAsia="楷体"/>
                      <w:sz w:val="18"/>
                    </w:rPr>
                    <w:t>SX份额2.55%-3.15%</w:t>
                  </w:r>
                  <w:r>
                    <w:rPr>
                      <w:rFonts w:ascii="楷体" w:hAnsi="楷体" w:eastAsia="楷体"/>
                      <w:sz w:val="18"/>
                    </w:rPr>
                    <w:br w:type="textWrapping"/>
                  </w:r>
                  <w:r>
                    <w:rPr>
                      <w:rFonts w:ascii="楷体" w:hAnsi="楷体" w:eastAsia="楷体"/>
                      <w:sz w:val="18"/>
                    </w:rPr>
                    <w:t>U份额2.45%-3.05%</w:t>
                  </w:r>
                  <w:r>
                    <w:rPr>
                      <w:rFonts w:ascii="楷体" w:hAnsi="楷体" w:eastAsia="楷体"/>
                      <w:sz w:val="18"/>
                    </w:rPr>
                    <w:br w:type="textWrapping"/>
                  </w:r>
                  <w:r>
                    <w:rPr>
                      <w:rFonts w:ascii="楷体" w:hAnsi="楷体" w:eastAsia="楷体"/>
                      <w:sz w:val="18"/>
                    </w:rPr>
                    <w:t>Z份额2.45%-3.05%</w:t>
                  </w:r>
                  <w:r>
                    <w:rPr>
                      <w:rFonts w:ascii="楷体" w:hAnsi="楷体" w:eastAsia="楷体"/>
                      <w:sz w:val="18"/>
                    </w:rPr>
                    <w:br w:type="textWrapping"/>
                  </w:r>
                  <w:r>
                    <w:rPr>
                      <w:rFonts w:ascii="楷体" w:hAnsi="楷体" w:eastAsia="楷体"/>
                      <w:sz w:val="18"/>
                    </w:rPr>
                    <w:t>Z1份额2.50%-3.10%</w:t>
                  </w:r>
                  <w:r>
                    <w:rPr>
                      <w:rFonts w:ascii="楷体" w:hAnsi="楷体" w:eastAsia="楷体"/>
                      <w:sz w:val="18"/>
                    </w:rPr>
                    <w:br w:type="textWrapping"/>
                  </w:r>
                  <w:r>
                    <w:rPr>
                      <w:rFonts w:ascii="楷体" w:hAnsi="楷体" w:eastAsia="楷体"/>
                      <w:sz w:val="18"/>
                    </w:rPr>
                    <w:t>Z2份额2.55%-3.15%</w:t>
                  </w:r>
                  <w:r>
                    <w:rPr>
                      <w:rFonts w:ascii="楷体" w:hAnsi="楷体" w:eastAsia="楷体"/>
                      <w:sz w:val="18"/>
                    </w:rPr>
                    <w:br w:type="textWrapping"/>
                  </w:r>
                  <w:r>
                    <w:rPr>
                      <w:rFonts w:ascii="楷体" w:hAnsi="楷体" w:eastAsia="楷体"/>
                      <w:sz w:val="18"/>
                    </w:rPr>
                    <w:t>ZA份额2.45%-3.05%</w:t>
                  </w:r>
                  <w:r>
                    <w:rPr>
                      <w:rFonts w:ascii="楷体" w:hAnsi="楷体" w:eastAsia="楷体"/>
                      <w:sz w:val="18"/>
                    </w:rPr>
                    <w:br w:type="textWrapping"/>
                  </w:r>
                  <w:r>
                    <w:rPr>
                      <w:rFonts w:ascii="楷体" w:hAnsi="楷体" w:eastAsia="楷体"/>
                      <w:sz w:val="18"/>
                    </w:rPr>
                    <w:t>ZF份额2.45%-3.05%</w:t>
                  </w:r>
                  <w:r>
                    <w:rPr>
                      <w:rFonts w:ascii="楷体" w:hAnsi="楷体" w:eastAsia="楷体"/>
                      <w:sz w:val="18"/>
                    </w:rPr>
                    <w:br w:type="textWrapping"/>
                  </w:r>
                  <w:r>
                    <w:rPr>
                      <w:rFonts w:ascii="楷体" w:hAnsi="楷体" w:eastAsia="楷体"/>
                      <w:sz w:val="18"/>
                    </w:rPr>
                    <w:t>ZF2份额2.55%-3.15%</w:t>
                  </w:r>
                  <w:r>
                    <w:rPr>
                      <w:rFonts w:ascii="楷体" w:hAnsi="楷体" w:eastAsia="楷体"/>
                      <w:sz w:val="18"/>
                    </w:rPr>
                    <w:br w:type="textWrapping"/>
                  </w:r>
                  <w:r>
                    <w:rPr>
                      <w:rFonts w:ascii="楷体" w:hAnsi="楷体" w:eastAsia="楷体"/>
                      <w:sz w:val="18"/>
                    </w:rPr>
                    <w:t>ZJ份额2.70%-3.30%</w:t>
                  </w:r>
                  <w:r>
                    <w:rPr>
                      <w:rFonts w:ascii="楷体" w:hAnsi="楷体" w:eastAsia="楷体"/>
                      <w:sz w:val="18"/>
                    </w:rPr>
                    <w:br w:type="textWrapping"/>
                  </w:r>
                  <w:r>
                    <w:rPr>
                      <w:rFonts w:ascii="楷体" w:hAnsi="楷体" w:eastAsia="楷体"/>
                      <w:sz w:val="18"/>
                    </w:rPr>
                    <w:t>ZL份额2.60%-3.20%</w:t>
                  </w:r>
                  <w:r>
                    <w:rPr>
                      <w:rFonts w:ascii="楷体" w:hAnsi="楷体" w:eastAsia="楷体"/>
                      <w:sz w:val="18"/>
                    </w:rPr>
                    <w:br w:type="textWrapping"/>
                  </w:r>
                  <w:r>
                    <w:rPr>
                      <w:rFonts w:ascii="楷体" w:hAnsi="楷体" w:eastAsia="楷体"/>
                      <w:sz w:val="18"/>
                    </w:rPr>
                    <w:t>ZN份额2.55%-3.15%</w:t>
                  </w:r>
                  <w:r>
                    <w:rPr>
                      <w:rFonts w:ascii="楷体" w:hAnsi="楷体" w:eastAsia="楷体"/>
                      <w:sz w:val="18"/>
                    </w:rPr>
                    <w:br w:type="textWrapping"/>
                  </w:r>
                  <w:r>
                    <w:rPr>
                      <w:rFonts w:ascii="楷体" w:hAnsi="楷体" w:eastAsia="楷体"/>
                      <w:sz w:val="18"/>
                    </w:rPr>
                    <w:t>ZQ份额2.40%-3.00%</w:t>
                  </w:r>
                  <w:r>
                    <w:rPr>
                      <w:rFonts w:ascii="楷体" w:hAnsi="楷体" w:eastAsia="楷体"/>
                      <w:sz w:val="18"/>
                    </w:rPr>
                    <w:br w:type="textWrapping"/>
                  </w:r>
                  <w:r>
                    <w:rPr>
                      <w:rFonts w:ascii="楷体" w:hAnsi="楷体" w:eastAsia="楷体"/>
                      <w:sz w:val="18"/>
                    </w:rPr>
                    <w:t>ZC份额2.50%-3.10%</w:t>
                  </w:r>
                  <w:r>
                    <w:rPr>
                      <w:rFonts w:ascii="楷体" w:hAnsi="楷体" w:eastAsia="楷体"/>
                      <w:sz w:val="18"/>
                    </w:rPr>
                    <w:br w:type="textWrapping"/>
                  </w:r>
                  <w:r>
                    <w:rPr>
                      <w:rFonts w:ascii="楷体" w:hAnsi="楷体" w:eastAsia="楷体"/>
                      <w:sz w:val="18"/>
                    </w:rPr>
                    <w:t>ZK份额2.60%-3.20%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0.50%，M份额 0.55%，P份额 0.45%，GRC份额 0.65%，GS份额 0.55%，SX份额 0.55%，U份额 0.60%，Z份额 0.65%，Z1份额 0.60%，Z2份额 0.55%，ZA份额 0.65%，ZF份额 0.65%，ZF2份额 0.60%，ZJ份额 0.45%，ZL份额 0.50%，ZN份额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0.70%，M份额 0.65%，P份额 0.65%，GRC份额 0.60%，GS份额 0.65%，SX份额 0.65%，U份额 0.70%，Z份额 0.65%，Z1份额 0.65%，Z2份额 0.65%，ZA份额 0.65%，ZF份额 0.65%，ZF2份额 0.60%，ZJ份额 0.60%，ZL份额 0.65%，ZN份额 0.65%，ZQ份额 0.70%，ZC份额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如皋农村商业银行股份有限公司/江苏高邮农村商业银行股份有限公司/江苏洪泽农村商业银行股份有限公司/江苏靖江农村商业银行股份有限公司/江苏句容农村商业银行股份有限公司/江苏阜宁农村商业银行股份有限公司/江苏盱眙农村商业银行股份有限公司/江苏新沂农村商业银行股份有限公司/江苏海安农村商业银行股份有限公司/江苏高淳农村商业银行股份有限公司/江苏扬中农村商业银行股份有限公司/江苏涟水农村商业银行股份有限公司/江苏溧水农村商业银行股份有限公司/江苏丹阳农村商业银行股份有限公司/江苏淮安农村商业银行股份有限公司/江苏江阴农村商业银行股份有限公司/江苏南通农村商业银行股份有限公司/江苏泰兴农村商业银行股份有限公司/江苏如东农村商业银行股份有限公司/江苏沭阳农村商业银行股份有限公司/江苏紫金农村商业银行股份有限公司/江苏仪征农村商业银行股份有限公司/江苏宜兴农村商业银行股份有限公司/江苏东台农村商业银行股份有限公司/江苏银行股份有限公司/江苏扬州农村商业银行股份有限公司/九江银行股份有限公司/江苏邳州农村商业银行股份有限公司/宁波东海银行股份有限公司/齐鲁银行股份有限公司/上海银行股份有限公司/苏银理财有限责任公司/上海农村商业银行股份有限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如皋农村商业银行股份有限公司/江苏高邮农村商业银行股份有限公司/江苏洪泽农村商业银行股份有限公司/江苏靖江农村商业银行股份有限公司/江苏句容农村商业银行股份有限公司/江苏阜宁农村商业银行股份有限公司/江苏盱眙农村商业银行股份有限公司/江苏新沂农村商业银行股份有限公司/江苏海安农村商业银行股份有限公司/江苏高淳农村商业银行股份有限公司/江苏扬中农村商业银行股份有限公司/江苏涟水农村商业银行股份有限公司/江苏溧水农村商业银行股份有限公司/江苏苏州农村商业银行股份有限公司/江苏丹阳农村商业银行股份有限公司/江苏淮安农村商业银行股份有限公司/江苏南通农村商业银行股份有限公司/江苏泰兴农村商业银行股份有限公司/江苏如东农村商业银行股份有限公司/江苏沭阳农村商业银行股份有限公司/江苏紫金农村商业银行股份有限公司/江苏仪征农村商业银行股份有限公司/江苏宜兴农村商业银行股份有限公司/江苏东台农村商业银行股份有限公司/江苏常熟农村商业银行股份有限公司/江苏银行股份有限公司/江苏扬州农村商业银行股份有限公司/江苏邳州农村商业银行股份有限公司/宁波东海银行股份有限公司/齐鲁银行股份有限公司/苏银理财有限责任公司/威海银行股份有限公司/徐州农村商业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D份额:江苏江阴农村商业银行股份有限公司/江苏银行股份有限公司/上海银行股份有限公司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广州农村商业银行股份有限公司/甘肃银行股份有限公司/广州银行股份有限公司/杭州联合农村商业银行股份有限公司/华侨银行有限公司/交通银行股份有限公司/九江银行股份有限公司/宁波通商银行股份有限公司/宁波慈溪农村商业银行股份有限公司/宁波镇海农村商业银行股份有限公司/宁波余姚农村商业银行股份有限公司/日照银行股份有限公司/苏州银行股份有限公司/山西银行股份有限公司/深圳农村商业银行股份有限公司/泰安银行股份有限公司/台州银行股份有限公司/天津滨海农村商业银行股份有限公司/潍坊银行股份有限公司/兴业银行股份有限公司/浙江上虞农村商业银行股份有限公司/浙江桐庐农村商业银行股份有限公司/浙江永嘉农村商业银行股份有限公司/浙江临海农村商业银行股份有限公司/浙江海宁农村商业银行股份有限公司/浙江温州瓯海农村商业银行股份有限公司/浙江舟山定海海洋农村商业银行股份有限公司/浙江乐清农村商业银行股份有限公司/浙江杭州余杭农村商业银行股份有限公司/浙商银行股份有限公司/浙江萧山农村商业银行股份有限公司/浙江青田农村商业银行股份有限公司/浙江永康农村商业银行股份有限公司/浙江义乌农村商业银行股份有限公司/浙江温州龙湾农村商业银行股份有限公司/浙江德清农村商业银行股份有限公司/中邮邮惠万家银行有限责任公司/浙江嘉善农村商业银行股份有限公司/浙江长兴农村商业银行股份有限公司/浙江江山农村商业银行股份有限公司/浙江泰顺农村商业银行股份有限公司/浙江岱山农村商业银行股份有限公司/浙江开化农村商业银行股份有限公司/浙江武义农村商业银行股份有限公司/浙江绍兴瑞丰农村商业银行股份有限公司/浙江淳安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农村商业银行股份有限公司/广州银行股份有限公司/杭州联合农村商业银行股份有限公司/徽商银行股份有限公司/九江银行股份有限公司/宁波通商银行股份有限公司/宁波余姚农村商业银行股份有限公司/山西银行股份有限公司/深圳农村商业银行股份有限公司/兴业银行股份有限公司/浙江上虞农村商业银行股份有限公司/浙江桐庐农村商业银行股份有限公司/浙江永嘉农村商业银行股份有限公司/浙江海宁农村商业银行股份有限公司/浙江舟山定海海洋农村商业银行股份有限公司/浙江杭州余杭农村商业银行股份有限公司/浙商银行股份有限公司/浙江衢州衢江农村商业银行股份有限公司/浙江青田农村商业银行股份有限公司/浙江德清农村商业银行股份有限公司/浙江嘉善农村商业银行股份有限公司/浙江岱山农村商业银行股份有限公司/浙江绍兴瑞丰农村商业银行股份有限公司/浙江淳安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J份额:江苏如皋农村商业银行股份有限公司/江苏银行股份有限公司/上海银行股份有限公司/威海银行股份有限公司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M份额:徽商银行股份有限公司/宁波通商银行股份有限公司/兴业银行股份有限公司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P份额:甘肃银行股份有限公司/徽商银行股份有限公司/泰安银行股份有限公司/郑州银行股份有限公司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GRC份额：广州农村商业银行股份有限公司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GS份额:甘肃银行股份有限公司/兰州银行股份有限公司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SX份额:山西银行股份有限公司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Z份额：上海农村商业银行股份有限公司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Z1份额：上海农村商业银行股份有限公司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Z2份额：上海农村商业银行股份有限公司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A份额:江苏启东农村商业银行股份有限公司/江苏如皋农村商业银行股份有限公司/江苏高邮农村商业银行股份有限公司/江苏灌南农村商业银行股份有限公司/江苏洪泽农村商业银行股份有限公司/江苏靖江农村商业银行股份有限公司/江苏灌云农村商业银行股份有限公司/江苏句容农村商业银行股份有限公司/江苏阜宁农村商业银行股份有限公司/江苏盱眙农村商业银行股份有限公司/江苏新沂农村商业银行股份有限公司/江苏睢宁农村商业银行股份有限公司/江苏海安农村商业银行股份有限公司/江苏金湖农村商业银行股份有限公司/江苏东海农村商业银行股份有限公司/江苏高淳农村商业银行股份有限公司/江苏扬中农村商业银行股份有限公司/江苏姜堰农村商业银行股份有限公司/江苏盐城农村商业银行股份有限公司/江苏民丰农村商业银行股份有限公司/江苏涟水农村商业银行股份有限公司/江苏溧水农村商业银行股份有限公司/江苏丰县农村商业银行股份有限公司/江苏苏州农村商业银行股份有限公司/江苏大丰农村商业银行股份有限公司/江苏丹阳农村商业银行股份有限公司/江苏江都农村商业银行股份有限公司/江苏淮安农村商业银行股份有限公司/江苏南通农村商业银行股份有限公司/江苏镇江农村商业银行股份有限公司/江苏泰兴农村商业银行股份有限公司/江苏如东农村商业银行股份有限公司/江苏泗洪农村商业银行股份有限公司/江苏沭阳农村商业银行股份有限公司/江苏紫金农村商业银行股份有限公司/江苏仪征农村商业银行股份有限公司/江苏宜兴农村商业银行股份有限公司/江苏东台农村商业银行股份有限公司/江苏常熟农村商业银行股份有限公司/江苏建湖农村商业银行股份有限公司/江苏扬州农村商业银行股份有限公司/江苏泗阳农村商业银行股份有限公司/江苏响水农村商业银行股份有限公司/江苏邳州农村商业银行股份有限公司/连云港东方农村商业银行股份有限公司/宁波东海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河北银行股份有限公司/汉口银行股份有限公司/江苏江南农村商业银行股份有限公司/江门农村商业银行股份有限公司/嘉兴银行股份有限公司/江苏张家港农村商业银行股份有限公司/莱商银行股份有限公司/宁波慈溪农村商业银行股份有限公司/宁波甬城农村商业银行股份有限公司/宁波镇海农村商业银行股份有限公司/宁波余姚农村商业银行股份有限公司/苏州银行股份有限公司/厦门银行股份有限公司/兴业银行股份有限公司/浙江上虞农村商业银行股份有限公司/中山农村商业银行股份有限公司/浙江衢州柯城农村商业银行股份有限公司/浙江民泰商业银行股份有限公司/浙江临海农村商业银行股份有限公司/浙江温州瓯海农村商业银行股份有限公司/浙江杭州余杭农村商业银行股份有限公司/浙江龙泉农村商业银行股份有限公司/浙江萧山农村商业银行股份有限公司/浙江衢州衢江农村商业银行股份有限公司/浙江青田农村商业银行股份有限公司/浙江永康农村商业银行股份有限公司/浙江义乌农村商业银行股份有限公司/浙江温州龙湾农村商业银行股份有限公司/浙江德清农村商业银行股份有限公司/浙江温岭农村商业银行股份有限公司/浙江临安农村商业银行股份有限公司/浙江嘉善农村商业银行股份有限公司/浙江南浔农村商业银行股份有限公司/浙江浦江农村商业银行股份有限公司/浙江新昌农村商业银行股份有限公司/浙江江山农村商业银行股份有限公司/浙江泰顺农村商业银行股份有限公司/浙江岱山农村商业银行股份有限公司/浙江兰溪农村商业银行股份有限公司/浙江开化农村商业银行股份有限公司/浙江东阳农村商业银行股份有限公司/浙江武义农村商业银行股份有限公司/浙江嵊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ZF2份额:石嘴山银行股份有限公司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湖州吴兴农村商业银行股份有限公司/苏银理财有限责任公司/泰安银行股份有限公司/浙江台州路桥农村商业银行股份有限公司/浙江上虞农村商业银行股份有限公司/浙江舟山普陀农村商业银行股份有限公司/浙江瑞安农村商业银行股份有限公司/浙江诸暨农村商业银行股份有限公司/浙江缙云农村商业银行股份有限公司/浙江衢州柯城农村商业银行股份有限公司/浙江禾城农村商业银行股份有限公司/浙江永嘉农村商业银行股份有限公司/浙江台州黄岩农村商业银行股份有限公司/浙江临海农村商业银行股份有限公司/浙江海宁农村商业银行股份有限公司/浙江温州瓯海农村商业银行股份有限公司/浙江舟山定海海洋农村商业银行股份有限公司/浙江乐清农村商业银行股份有限公司/浙江仙居农村商业银行股份有限公司/浙江龙泉农村商业银行股份有限公司/浙江绍兴恒信农村商业银行股份有限公司/浙江安吉农村商业银行股份有限公司/浙江金华成泰农村商业银行股份有限公司/浙江衢州衢江农村商业银行股份有限公司/浙江青田农村商业银行股份有限公司/浙江温州鹿城农村商业银行股份有限公司/浙江桐乡农村商业银行股份有限公司/浙江永康农村商业银行股份有限公司/浙江南浔农村商业银行股份有限公司/浙江义乌农村商业银行股份有限公司/浙江温州龙湾农村商业银行股份有限公司/浙江德清农村商业银行股份有限公司/浙江温岭农村商业银行股份有限公司/浙江嘉善农村商业银行股份有限公司/浙江长兴农村商业银行股份有限公司/浙江平湖农村商业银行股份有限公司/浙江浦江农村商业银行股份有限公司/浙江新昌农村商业银行股份有限公司/浙江苍南农村商业银行股份有限公司/浙江江山农村商业银行股份有限公司/浙江天台农村商业银行股份有限公司/浙江文成农村商业银行股份有限公司/浙江泰顺农村商业银行股份有限公司/浙江岱山农村商业银行股份有限公司/浙江海盐农村商业银行股份有限公司/浙江兰溪农村商业银行股份有限公司/浙江开化农村商业银行股份有限公司/浙江东阳农村商业银行股份有限公司/浙江遂昌农村商业银行股份有限公司/浙江武义农村商业银行股份有限公司/浙江龙游农村商业银行股份有限公司/浙江绍兴瑞丰农村商业银行股份有限公司/浙江嵊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ZN份额:广西北部湾银行股份有限公司/河北银行股份有限公司/宁波通商银行股份有限公司/苏银理财有限责任公司/浙江萧山农村商业银行股份有限公司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如皋农村商业银行股份有限公司/江苏高邮农村商业银行股份有限公司/江苏灌南农村商业银行股份有限公司/江苏阜宁农村商业银行股份有限公司/江苏新沂农村商业银行股份有限公司/江苏海安农村商业银行股份有限公司/江苏东海农村商业银行股份有限公司/江苏高淳农村商业银行股份有限公司/江苏兴化农村商业银行股份有限公司/江苏姜堰农村商业银行股份有限公司/江苏盐城农村商业银行股份有限公司/江苏民丰农村商业银行股份有限公司/江苏溧水农村商业银行股份有限公司/江苏大丰农村商业银行股份有限公司/江苏丹阳农村商业银行股份有限公司/江苏江都农村商业银行股份有限公司/江苏泰兴农村商业银行股份有限公司/江苏如东农村商业银行股份有限公司/江苏紫金农村商业银行股份有限公司/江苏仪征农村商业银行股份有限公司/江苏宜兴农村商业银行股份有限公司/江苏东台农村商业银行股份有限公司/江苏常熟农村商业银行股份有限公司/江苏建湖农村商业银行股份有限公司/江苏扬州农村商业银行股份有限公司/江苏泗阳农村商业银行股份有限公司/江苏响水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如皋农村商业银行股份有限公司/江苏高邮农村商业银行股份有限公司/江苏灌南农村商业银行股份有限公司/江苏阜宁农村商业银行股份有限公司/江苏新沂农村商业银行股份有限公司/江苏海安农村商业银行股份有限公司/江苏高淳农村商业银行股份有限公司/江苏兴化农村商业银行股份有限公司/江苏姜堰农村商业银行股份有限公司/江苏盐城农村商业银行股份有限公司/江苏民丰农村商业银行股份有限公司/江苏溧水农村商业银行股份有限公司/江苏大丰农村商业银行股份有限公司/江苏丹阳农村商业银行股份有限公司/江苏江都农村商业银行股份有限公司/江苏南通农村商业银行股份有限公司/江苏泰兴农村商业银行股份有限公司/江苏如东农村商业银行股份有限公司/江苏紫金农村商业银行股份有限公司/江苏仪征农村商业银行股份有限公司/江苏沛县农村商业银行股份有限公司/江苏宜兴农村商业银行股份有限公司/江苏东台农村商业银行股份有限公司/江苏常熟农村商业银行股份有限公司/江苏建湖农村商业银行股份有限公司/江苏扬州农村商业银行股份有限公司/江苏泗阳农村商业银行股份有限公司/江苏响水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诸暨市国有资产经营有限公司。融资人经营正常，是依法设立的国有公司，主要股东为诸暨市财政局(诸暨市人民政府国有资产监督管理办公室)、浙江省财务开发有限责任公司，实际控制人为诸暨市财政局(诸暨市人民政府国有资产监督管理办公室)。（4）非标准化债权类资产：融资人为富港建设集团有限公司。融资人经营正常，是依法设立的国有公司，主要股东为如皋市人民政府、工银金融资产投资有限公司，实际控制人为如皋市人民政府。（5）非标准化债权类资产：融资人为无锡市梁溪产业发展集团有限公司。融资人经营正常，是依法设立的国有公司，主要股东为无锡市梁溪区人民政府国有资产监督管理办公室、无锡市梁溪城市运营服务集团有限公司，实际控制人为无锡市梁溪区人民政府国有资产监督管理办公室。（6）非标准化债权类资产：融资人为诸暨市城乡投资集团有限公司。融资人经营正常，是依法设立的国有公司，主要股东为诸暨市建设集团有限公司，实际控制人为诸暨市财政局。（7）非标准化债权类资产：融资人为台州市黄岩国有资本投资运营集团有限公司。融资人经营正常，是依法设立的国有公司，主要股东为台州市黄岩区财政局，实际控制人为台州市黄岩区财政局。（8）非标准化债权类资产：融资人为镇江文化广电产业集团有限公司。融资人经营正常，是依法设立的国有公司，主要股东为镇江市广播电视台，实际控制人为江苏省镇江市人民政府。（9）非标准化债权类资产：融资人为绍兴市镜湖开发集团有限公司。融资人经营正常，是依法设立的国有公司，主要股东为绍兴市人民政府国有资产监督管理委员会，实际控制人为绍兴市人民政府国有资产监督管理委员会。（10）非标准化债权类资产：融资人为泰兴市城市投资发展集团有限公司。融资人经营正常，是依法设立的国有公司，主要股东为江苏平仲科技发展集团有限公司，实际控制人为泰兴市人民政府国有资产监督管理办公室。（11）非标准化债权类资产：融资人为湖州经开投资发展集团有限公司。融资人经营正常，是依法设立的国有公司，主要股东为湖州南太湖国有控股集团有限公司，实际控制人为湖州市人民政府国有资产监督管理委员会。（12）非标准化债权类资产：融资人为湖州吴兴城市投资发展集团有限公司。融资人经营正常，是依法设立的国有公司，主要股东为湖州吴兴国控投资运营发展集团有限公司，实际控制人为湖州市吴兴区财政局。（13）非标准化债权类资产：融资人为江苏皋开投资发展集团有限公司。融资人经营正常，是依法设立的国有公司，主要股东为如皋市人民政府，实际控制人为如皋市人民政府。（14）非标准化债权类资产：融资人为燕舞集团有限公司。融资人经营正常，是依法设立的国有公司，主要股东为盐城市人民政府、盐城市城市资产投资集团有限公司、江苏悦达集团有限公司，实际控制人为盐城市人民政府。（15）非标准化债权类资产：融资人为兰溪市城市投资集团有限公司。融资人经营正常，是依法设立的国有公司，主要股东为兰溪市城市发展集团有限公司，实际控制人为兰溪市人民政府国有资产监督管理办公室。（16）非标准化债权类资产：融资人为绍兴市越城区城市发展建设集团有限公司。融资人经营正常，是依法设立的国有公司，主要股东为绍兴市越城区财政局，实际控制人为绍兴市越城区财政局。（17）非标准化债权类资产：融资人为桐庐县城市建设投资集团有限公司。融资人经营正常，是依法设立的国有公司，主要股东为桐庐投资建设发展集团有限公司，实际控制人为桐庐县人民政府国有资产监督管理委员会。（18）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19）非标准化债权类资产：融资人为扬州新盛投资集团有限公司。融资人经营正常，是依法设立的国有公司，主要股东为扬州市城建国有资产控股(集团)有限责任公司、扬州易盛德产业投资集团有限公司、扬州市扬子江文旅投资发展集团有限责任公司，实际控制人为扬州市人民政府国有资产监督管理委员会。（20）非标准化债权类资产：融资人为张家港市高铁投资发展(集团)有限公司。融资人经营正常，是依法设立的国有公司，主要股东为张家港市交通控股有限公司、张家港市城市投资发展集团有限公司、张家港高新区投资控股有限公司，张家港市城镇发展集团有限公司，实际控制人为张家港市国有资产管理中心。（21）非标准化债权类资产：融资人为海安市城建开发投资集团有限公司。融资人经营正常，是依法设立的国有公司，主要股东为海安市政府国有资产监督管理办公室，实际控制人为海安市政府国有资产监督管理办公室。（22）非标准化债权类资产：融资人为徐州金龙湖控股集团有限公司。融资人经营正常，是依法设立的国有公司，主要股东为徐州市产业发展控股集团有限公司，实际控制人为徐州市人民政府国有资产监督管理委员会。（23）同业借款：融资人为中国中信金融资产管理股份有限公司。融资人经营正常，是依法成立的国有公司，主要股东为中国中信集团有限公司、财政局、中国融信私募基金有限公司，实际控制人为财政部。（24）同业借款：融资人为中国东方资产管理股份有限公司。融资人经营正常，是依法成立的国有公司，主要股东为中央汇金投资有限责任公司、全国社会保障基金理事会、中国电信集团有限公司，实际控制人为国务院。（25）同业借款：融资人为中国信达资产管理股份有限公司。融资人经营正常，是依法成立的国有公司，主要股东为中央汇金投资有限责任公司，实际控制人为国务院。（26）同业借款：融资人为中国长城资产管理股份有限公司。融资人经营正常，是依法成立的国有公司，主要股东为中央汇金投资有限责任公司、全国社会保障基金理事会、中国财产再保险有限责任公司、中国大地财产保险股份有限公司、中国人寿保险（集团）公司，实际控制人为国务院。（27）收益凭证：融资人为中信证券股份有限公司。融资人经营正常，是依法设立的持牌金融机构，主要股东为中国中信金融控股有限公司、香港中央结算（代理人）有限公司、广州越秀资本控股集团有限公司，实际控制人为中国中信集团有限公司（28）收益凭证：融资人为中国国际金融股份有限公司。融资人经营正常，是依法设立的持牌金融机构，主要股东为中央汇金投资有限责任公司、香港中央结算（代理人）有限公司、香港中央结算有限公司，实际控制人为中央汇金投资有限责任公司。（29）收益凭证：融资人为中信建投证券股份有限公司。融资人经营正常，是依法设立的持牌金融机构，主要股东为北京金融控股集团有限公司、中央汇金投资有限责任公司、香港中央结算（代理人）有限公司，实际控制人为中央汇金投资有限责任公司。（30）收益凭证：融资人为中国银河证券股份有限公司。融资人经营正常，是依法设立的持牌金融机构，主要股东为中国银河金融控股有限责任公司、香港中央结算（代理人）有限公司、香港中央结算有限公司，实际控制人为中央汇金投资有限责任公司。（31）收益凭证：融资人为华泰证券股份有限公司。融资人经营正常，是依法设立的持牌金融机构，主要股东为江苏省国信集团有限公司、香港中央结算（代理人）有限公司、江苏交通控股有限公司，无实际控制人。（32）收益凭证：融资人为国泰海通证券股份有限公司。融资人经营正常，是依法设立的持牌金融机构，主要股东为香港中央结算（代理人）有限公司、上海国有资产经营有限公司、上海国际集团有限公司，实际控制人为上海市国有资产监督管理委员会。（33）收益凭证：融资人为申万宏源证券有限公司。融资人经营正常，是依法设立的持牌金融机构，主要股东为申万宏源集团股份有限公司，实际控制人为中央汇金投资有限责任公司。（34）收益凭证：融资人为东方证券股份有限公司。融资人经营正常，是依法设立的持牌金融机构，主要股东为申能（集团）有限公司、香港中央结算（代理人）有限公司、上海海烟投资管理有限公司，实际控制人为上海市国有资产监督管理委员会。（35）收益凭证：融资人为浙商证券股份有限公司。融资人经营正常，是依法设立的持牌金融机构，主要股东为浙江上三高速公路有限公司、台州市金融投资集团有限公司，实际控制人为浙江省交通投资集团有限公司。（36）收益凭证：融资人为国投证券股份有限公司。融资人经营正常，是依法设立的持牌金融机构，主要股东为国投资本股份有限公司、上海毅胜投资有限公司，实际控制人为国家开发投资集团有限公司。（37）收益凭证：融资人为平安证券股份有限公司。融资人经营正常，是依法设立的持牌金融机构，主要股东为平安信托有限责任公司、中国平安保险（集团）股份有限公司、深圳市英华柏涛投资有限公司，实际控制人为中国平安保险（集团）股份有限公司。（38）收益凭证：融资人为中泰证券股份有限公司。融资人经营正常，是依法设立的持牌金融机构，主要股东为枣庄矿业（集团）有限责任公司、莱芜钢铁集团有限公司、山东高速投资控股有限公司，实际控制人为山东省人民政府国有资产监督管理委员会。（39）收益凭证：融资人为兴业证券股份有限公司。融资人经营正常，是依法设立的持牌金融机构，主要股东为福建省财政厅、福建省投资开发集团有限责任公司、上海申新（集团）有限公司，实际控制人为福建省财政厅。（40）收益凭证：融资人为财通证券股份有限公司。融资人经营正常，是依法设立的持牌金融机构，主要股东为浙江省创新投资集团有限公司、浙江省财开集团有限公司、台州</w:t>
      </w:r>
      <w:r>
        <w:rPr>
          <w:rFonts w:hint="eastAsia" w:ascii="楷体" w:hAnsi="楷体" w:eastAsia="楷体" w:cs="楷体"/>
          <w:color w:val="auto"/>
          <w:kern w:val="2"/>
          <w:sz w:val="21"/>
          <w:szCs w:val="21"/>
          <w:highlight w:val="none"/>
          <w:lang w:val="en-US" w:eastAsia="zh-CN" w:bidi="ar-SA"/>
        </w:rPr>
        <w:t>市金融投资集团有限公司，实际控制人为浙江省财政厅。（41）收益凭证：融资人为金融街证券股份有限公司。融资人经营正常，是依法设立的持牌金融机构，主要股东为北京华融综合投资有限公司、天风证券股份有限公司、包头华资实业股份有限公司，实际控制人为北京金融街投资（集团）有限公司。（42）收益凭证：融资人为东海证券股份有限公司。融资人经营正常，是依法设立的持牌金融机构，主要股东为常州投资集团有限公司、山东金控资本管理有限公司，实际控制人为常州投资集团有限公司。（43）收益凭证：融资人为国联民生证券股份有限公司。融资人经营正常，是依法设立的持牌金融机构，主要股东为无锡市国联发展（集团）有限公司、香港中央结算（代理人）有限公司、国联信托股份有限公司，实际控制人为无锡市人民政府国有资产监督管理委员会。（44）收益凭证：融资人为光大证券股份有限公司。融资人经营正常，是依法设立的持牌金融机构，主要股东为中国光大集团股份有限公司、中国光大控股有限公司、香港中央结算（代理人）有限公司，实际控制人为中央汇金投资有限责任公司。（45）收益凭证：融资人为长城证券股份有限公司。融资人经营正常，是依法设立的持牌金融机构，主要股东为华能资本服务有限公司、深圳新江南投资有限公司、深圳能源集团股份有限公司，实际控制人为中央汇金投资有限责任公司。（46）收益凭证：融资人为中国中金财富证券有限公司。融资人经营正常，是依法设立的持牌金融机构，主要股东为中国国际金融股份有限公司，实际控制人为中央汇金投资有限责任公司。（47）收益凭证：融资人为山西证券股份有限公司。融资人经营正常，是依法设立的持牌金融机构，主要股东为山西金融投资控股集团有限公司、太原钢铁（集团）有限公司、山西国际电力集团有限公司，实际控制人为山西省财政厅。（48）收益凭证：融资人为国都证券股份有限公司。融资人经营正常，是依法设立的持牌金融机构，主要股东为浙商证券股份有限公司、中诚信托有限责任公司、北京国际信托有限公司，实际控制人为浙江省交通投资集团有限公司。（49）收益凭证：融资人为东莞证券股份有限公司。融资人经营正常，是依法设立的持牌金融机构，主要股东为东莞市投资控股集团有限公司、东莞发展控股股份有限公司、广东锦龙发展股份有限公司，实际控制人为东莞市人民政府国有资产监督管理委员会。（50）收益凭证：融资人为华鑫证券有限责任公司。融资人经营正常，是依法设立的持牌金融机构，主要股东为上海华鑫股份有限公司，实际控制人为上海市国有资产监督管理委员会。（51）收益凭证：融资人为第一创业证券股份有限公司。融资人经营正常，是依法设立的持牌金融机构，主要股东为北京国有资本运营管理有限公司、北京首农食品集团有限公司，实际控制人为北京市人民政府国有资产监督管理委员会。（52）收益凭证：融资人为广发证券股份有限公司。融资人经营正常，是依法设立的持牌金融机构，主要股东为香港中央结算（代理人）有限公司、吉林敖东药业集团股份有限公司、辽宁成大股份有限公司，无实际控制人。（53）收益凭证：融资人为方正证券股份有限公司。融资人经营正常，是依法设立的持牌金融机构，主要股东为新方正控股发展有限责任公司、全国社会保障基金理事会、中国信达资产管理股份有限公司，实际控制人为中国平安保险（集团）股份有限公司。（54）收益凭证：融资人为招商证券股份有限公司。融资人经营正常，是依法设立的持牌金融机构，主要股东为招商局金融控股有限公司、深圳市集盛投资发展有限公司、香港中央结算（代理人）有限公司，实际控制人为招商局集团有限公司。</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1）-（2）各资产到期日不超过理财产品投资周期终止日，循环期不还本、摊还期过手摊还本息；（3）-（26）各资产到期日不超过理财产品投资周期终止日，定期付息、到期一次性还本；（27）-（54）各资产到期日不超过理财产品投资周期终止日，到期一次性还本付息。</w:t>
      </w:r>
      <w:bookmarkStart w:id="0" w:name="_GoBack"/>
      <w:bookmarkEnd w:id="0"/>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t>⑧建信保险资产管理有限公司：建信保险资产管理有限公司成立于2016年4月7日，是中国银行保险监督管理委员会核准的国有控股金融机构，注册资本3亿元，股东为建信人寿保险股份有限公司和建银国际（中国）有限公司。</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4098"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4099"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4097"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E20CA3"/>
    <w:rsid w:val="388D4594"/>
    <w:rsid w:val="4023564E"/>
    <w:rsid w:val="45E20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4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42"/>
    <w:unhideWhenUsed/>
    <w:qFormat/>
    <w:uiPriority w:val="99"/>
    <w:pPr>
      <w:jc w:val="left"/>
    </w:pPr>
  </w:style>
  <w:style w:type="paragraph" w:styleId="6">
    <w:name w:val="Body Text"/>
    <w:basedOn w:val="1"/>
    <w:link w:val="38"/>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43"/>
    <w:unhideWhenUsed/>
    <w:qFormat/>
    <w:uiPriority w:val="99"/>
    <w:pPr>
      <w:ind w:left="100" w:leftChars="2500"/>
    </w:pPr>
  </w:style>
  <w:style w:type="paragraph" w:styleId="8">
    <w:name w:val="Balloon Text"/>
    <w:basedOn w:val="1"/>
    <w:link w:val="44"/>
    <w:unhideWhenUsed/>
    <w:qFormat/>
    <w:uiPriority w:val="99"/>
    <w:rPr>
      <w:kern w:val="0"/>
      <w:sz w:val="18"/>
      <w:szCs w:val="18"/>
    </w:rPr>
  </w:style>
  <w:style w:type="paragraph" w:styleId="9">
    <w:name w:val="footer"/>
    <w:basedOn w:val="1"/>
    <w:link w:val="45"/>
    <w:unhideWhenUsed/>
    <w:qFormat/>
    <w:uiPriority w:val="99"/>
    <w:pPr>
      <w:tabs>
        <w:tab w:val="center" w:pos="4153"/>
        <w:tab w:val="right" w:pos="8306"/>
      </w:tabs>
      <w:snapToGrid w:val="0"/>
      <w:jc w:val="left"/>
    </w:pPr>
    <w:rPr>
      <w:kern w:val="0"/>
      <w:sz w:val="18"/>
      <w:szCs w:val="18"/>
    </w:rPr>
  </w:style>
  <w:style w:type="paragraph" w:styleId="10">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48"/>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qFormat/>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12</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lhy</cp:lastModifiedBy>
  <cp:lastPrinted>2025-05-30T08:12:00Z</cp:lastPrinted>
  <dcterms:modified xsi:type="dcterms:W3CDTF">2026-06-03T06:30:29Z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1725436F6FA745BFAB46C4D1A096C7EA</vt:lpwstr>
  </property>
</Properties>
</file>