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bookmarkStart w:id="0" w:name="_GoBack"/>
      <w:bookmarkEnd w:id="0"/>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幸福99丰裕固收386天26094期理财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幸福99丰裕固收386天26094期理财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幸福99丰裕固收386天26094期理财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幸福99丰裕固收386天26094期理财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幸福99丰裕固收386天26094期理财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386</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w:t>
      </w:r>
      <w:r>
        <w:rPr>
          <w:rFonts w:hint="eastAsia" w:ascii="宋体" w:hAnsi="宋体" w:cs="宋体"/>
          <w:bCs/>
          <w:color w:val="000000"/>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color w:val="000000"/>
          <w:sz w:val="24"/>
          <w:highlight w:val="none"/>
        </w:rPr>
        <w:t>），</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〖机构投资者〗以及〖稳健型、平衡型、成长型、进取型〗的个人投资者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w:t>
      </w:r>
      <w:r>
        <w:rPr>
          <w:rFonts w:hint="eastAsia" w:ascii="宋体" w:hAnsi="宋体" w:cs="宋体"/>
          <w:bCs/>
          <w:color w:val="000000"/>
          <w:sz w:val="24"/>
          <w:highlight w:val="none"/>
        </w:rPr>
        <w:t>应确保个人投资者的风险承受能力不低于本理财计划风险评级。</w:t>
      </w:r>
      <w:r>
        <w:rPr>
          <w:rFonts w:hint="eastAsia" w:ascii="宋体" w:hAnsi="宋体" w:cs="宋体"/>
          <w:bCs/>
          <w:color w:val="000000"/>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cs="宋体"/>
          <w:b/>
          <w:color w:val="000000"/>
          <w:highlight w:val="none"/>
        </w:rPr>
      </w:pPr>
      <w:r>
        <w:rPr>
          <w:rFonts w:hint="eastAsia" w:ascii="宋体" w:hAnsi="宋体" w:cs="宋体"/>
          <w:b/>
          <w:color w:val="000000"/>
          <w:highlight w:val="none"/>
        </w:rPr>
        <w:br w:type="page"/>
      </w:r>
    </w:p>
    <w:p>
      <w:pPr>
        <w:pStyle w:val="17"/>
        <w:pageBreakBefore/>
        <w:widowControl/>
        <w:spacing w:line="360" w:lineRule="auto"/>
        <w:ind w:left="0" w:leftChars="0"/>
        <w:jc w:val="center"/>
        <w:outlineLvl w:val="9"/>
        <w:rPr>
          <w:rFonts w:hint="eastAsia" w:ascii="宋体" w:hAnsi="宋体" w:cs="宋体"/>
          <w:b/>
          <w:color w:val="000000"/>
          <w:highlight w:val="none"/>
        </w:rPr>
      </w:pPr>
      <w:r>
        <w:rPr>
          <w:rFonts w:hint="eastAsia" w:ascii="宋体" w:hAnsi="宋体" w:cs="宋体"/>
          <w:b/>
          <w:color w:val="000000"/>
          <w:highlight w:val="none"/>
        </w:rPr>
        <w:t>投资者确认栏（个人投资者填写）</w:t>
      </w:r>
    </w:p>
    <w:p>
      <w:pPr>
        <w:pStyle w:val="17"/>
        <w:spacing w:line="360" w:lineRule="auto"/>
        <w:jc w:val="both"/>
        <w:rPr>
          <w:rFonts w:hint="eastAsia" w:ascii="宋体" w:hAnsi="宋体" w:cs="宋体"/>
          <w:b/>
          <w:color w:val="000000"/>
          <w:highlight w:val="none"/>
        </w:rPr>
      </w:pPr>
    </w:p>
    <w:p>
      <w:pPr>
        <w:pStyle w:val="17"/>
        <w:spacing w:line="360" w:lineRule="auto"/>
        <w:jc w:val="both"/>
        <w:rPr>
          <w:rFonts w:hint="eastAsia" w:ascii="宋体" w:hAnsi="宋体" w:cs="宋体"/>
          <w:color w:val="000000"/>
          <w:highlight w:val="none"/>
        </w:rPr>
      </w:pPr>
      <w:r>
        <w:rPr>
          <w:rFonts w:hint="eastAsia" w:ascii="宋体" w:hAnsi="宋体" w:cs="宋体"/>
          <w:color w:val="000000"/>
          <w:highlight w:val="none"/>
        </w:rPr>
        <w:t>本人经销售机构评估的风险承受能力等级为（投资者填写）：</w:t>
      </w:r>
    </w:p>
    <w:p>
      <w:pPr>
        <w:pStyle w:val="17"/>
        <w:spacing w:line="360" w:lineRule="auto"/>
        <w:jc w:val="both"/>
        <w:rPr>
          <w:rFonts w:hint="eastAsia" w:ascii="宋体" w:hAnsi="宋体" w:cs="宋体"/>
          <w:color w:val="000000"/>
          <w:highlight w:val="none"/>
          <w:u w:val="single"/>
        </w:rPr>
      </w:pPr>
      <w:r>
        <w:rPr>
          <w:rFonts w:hint="eastAsia" w:ascii="宋体" w:hAnsi="宋体" w:cs="宋体"/>
          <w:color w:val="000000"/>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000000"/>
          <w:highlight w:val="none"/>
          <w:u w:val="single"/>
        </w:rPr>
      </w:pPr>
      <w:r>
        <w:rPr>
          <w:rFonts w:hint="eastAsia" w:ascii="宋体" w:hAnsi="宋体" w:cs="宋体"/>
          <w:color w:val="000000"/>
          <w:highlight w:val="none"/>
          <w:u w:val="single"/>
        </w:rPr>
        <w:t>如超过一年未进行风险承受能力评估或影响本人风险承受能力的因素发生变化，本人将于再次购买理财</w:t>
      </w:r>
      <w:r>
        <w:rPr>
          <w:rFonts w:hint="eastAsia" w:ascii="宋体" w:hAnsi="宋体" w:cs="宋体"/>
          <w:color w:val="000000"/>
          <w:highlight w:val="none"/>
          <w:u w:val="single"/>
          <w:lang w:eastAsia="zh-CN"/>
        </w:rPr>
        <w:t>计划</w:t>
      </w:r>
      <w:r>
        <w:rPr>
          <w:rFonts w:hint="eastAsia" w:ascii="宋体" w:hAnsi="宋体" w:cs="宋体"/>
          <w:color w:val="000000"/>
          <w:highlight w:val="none"/>
          <w:u w:val="single"/>
        </w:rPr>
        <w:t>时及时完成风险承受能力评估。</w:t>
      </w:r>
    </w:p>
    <w:p>
      <w:pPr>
        <w:pStyle w:val="17"/>
        <w:spacing w:line="360" w:lineRule="auto"/>
        <w:ind w:firstLine="472" w:firstLineChars="196"/>
        <w:jc w:val="both"/>
        <w:rPr>
          <w:rFonts w:hint="eastAsia" w:ascii="宋体" w:hAnsi="宋体" w:cs="宋体"/>
          <w:b/>
          <w:bCs/>
          <w:color w:val="000000"/>
          <w:highlight w:val="none"/>
          <w:u w:val="single"/>
        </w:rPr>
      </w:pPr>
      <w:r>
        <w:rPr>
          <w:rFonts w:hint="eastAsia" w:ascii="宋体" w:hAnsi="宋体" w:cs="宋体"/>
          <w:b/>
          <w:bCs/>
          <w:color w:val="000000"/>
          <w:highlight w:val="none"/>
          <w:u w:val="single"/>
        </w:rPr>
        <w:t>声明：本人已经认真阅读本风险揭示书以及《理财计划产品说明书》《投资者权益须知》《理财计划投资协议书》</w:t>
      </w:r>
      <w:r>
        <w:rPr>
          <w:rFonts w:hint="eastAsia" w:ascii="宋体" w:hAnsi="宋体" w:cs="宋体"/>
          <w:b/>
          <w:bCs/>
          <w:color w:val="000000"/>
          <w:highlight w:val="none"/>
          <w:u w:val="single"/>
          <w:lang w:eastAsia="zh-CN"/>
        </w:rPr>
        <w:t>《理财计划销售协议书》</w:t>
      </w:r>
      <w:r>
        <w:rPr>
          <w:rFonts w:hint="eastAsia" w:ascii="宋体" w:hAnsi="宋体" w:cs="宋体"/>
          <w:b/>
          <w:bCs/>
          <w:color w:val="000000"/>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000000"/>
          <w:highlight w:val="none"/>
          <w:u w:val="single"/>
          <w:lang w:eastAsia="zh-CN"/>
        </w:rPr>
        <w:t>《理财计划销售协议书》</w:t>
      </w:r>
      <w:r>
        <w:rPr>
          <w:rFonts w:hint="eastAsia" w:ascii="宋体" w:hAnsi="宋体" w:cs="宋体"/>
          <w:b/>
          <w:bCs/>
          <w:color w:val="000000"/>
          <w:highlight w:val="none"/>
          <w:u w:val="single"/>
        </w:rPr>
        <w:t>等本</w:t>
      </w:r>
      <w:r>
        <w:rPr>
          <w:rFonts w:hint="eastAsia" w:ascii="宋体" w:hAnsi="宋体" w:cs="宋体"/>
          <w:b/>
          <w:bCs/>
          <w:color w:val="000000"/>
          <w:highlight w:val="none"/>
          <w:u w:val="single"/>
          <w:lang w:eastAsia="zh-CN"/>
        </w:rPr>
        <w:t>理财计划</w:t>
      </w:r>
      <w:r>
        <w:rPr>
          <w:rFonts w:hint="eastAsia" w:ascii="宋体" w:hAnsi="宋体" w:cs="宋体"/>
          <w:b/>
          <w:bCs/>
          <w:color w:val="000000"/>
          <w:highlight w:val="none"/>
          <w:u w:val="single"/>
        </w:rPr>
        <w:t>合同全部内容，自愿且有能力承担投资本理财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的风险。</w:t>
      </w:r>
    </w:p>
    <w:p>
      <w:pPr>
        <w:pStyle w:val="17"/>
        <w:spacing w:line="360" w:lineRule="auto"/>
        <w:ind w:firstLine="472" w:firstLineChars="196"/>
        <w:jc w:val="both"/>
        <w:rPr>
          <w:rFonts w:ascii="宋体" w:hAnsi="宋体" w:cs="宋体"/>
          <w:b/>
          <w:bCs/>
          <w:color w:val="000000"/>
          <w:highlight w:val="none"/>
          <w:u w:val="single"/>
        </w:rPr>
      </w:pPr>
      <w:r>
        <w:rPr>
          <w:rFonts w:hint="eastAsia" w:ascii="宋体" w:hAnsi="宋体" w:cs="宋体"/>
          <w:b/>
          <w:bCs/>
          <w:color w:val="000000"/>
          <w:highlight w:val="none"/>
          <w:u w:val="single"/>
        </w:rPr>
        <w:t>本人购买本理财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的资金为合法自有资金，不存在使用借款、贷款等非自有资金的情形；且系为合法目的投资本理财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000000"/>
          <w:highlight w:val="none"/>
        </w:rPr>
      </w:pPr>
      <w:r>
        <w:rPr>
          <w:rFonts w:hint="eastAsia" w:ascii="宋体" w:hAnsi="宋体" w:cs="宋体"/>
          <w:color w:val="000000"/>
          <w:highlight w:val="none"/>
        </w:rPr>
        <w:t>（投资者需全文抄录以下文字以完成确认：</w:t>
      </w:r>
      <w:r>
        <w:rPr>
          <w:rFonts w:hint="eastAsia" w:ascii="宋体" w:hAnsi="宋体" w:cs="宋体"/>
          <w:b/>
          <w:color w:val="000000"/>
          <w:highlight w:val="none"/>
        </w:rPr>
        <w:t>“本人已经阅读上述风险揭示，愿意承担投资风险。”</w:t>
      </w:r>
      <w:r>
        <w:rPr>
          <w:rFonts w:hint="eastAsia" w:ascii="宋体" w:hAnsi="宋体" w:cs="宋体"/>
          <w:b/>
          <w:color w:val="000000"/>
          <w:highlight w:val="none"/>
          <w:lang w:eastAsia="zh-CN"/>
        </w:rPr>
        <w:t>如通过线上渠道购买，认</w:t>
      </w:r>
      <w:r>
        <w:rPr>
          <w:rFonts w:hint="eastAsia" w:ascii="宋体" w:hAnsi="宋体" w:cs="宋体"/>
          <w:b/>
          <w:color w:val="000000"/>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000000"/>
          <w:highlight w:val="none"/>
        </w:rPr>
        <w:t xml:space="preserve">） </w:t>
      </w:r>
    </w:p>
    <w:p>
      <w:pPr>
        <w:pStyle w:val="17"/>
        <w:spacing w:line="360" w:lineRule="auto"/>
        <w:jc w:val="both"/>
        <w:rPr>
          <w:rFonts w:hint="eastAsia" w:ascii="宋体" w:hAnsi="宋体" w:cs="宋体"/>
          <w:color w:val="000000"/>
          <w:highlight w:val="none"/>
          <w:u w:val="single"/>
        </w:rPr>
      </w:pPr>
      <w:r>
        <w:rPr>
          <w:rFonts w:hint="eastAsia" w:ascii="宋体" w:hAnsi="宋体" w:cs="宋体"/>
          <w:color w:val="000000"/>
          <w:highlight w:val="none"/>
        </w:rPr>
        <w:t>本人同时确认如下：</w:t>
      </w:r>
      <w:r>
        <w:rPr>
          <w:rFonts w:hint="eastAsia" w:ascii="宋体" w:hAnsi="宋体" w:cs="宋体"/>
          <w:color w:val="000000"/>
          <w:highlight w:val="none"/>
          <w:u w:val="single"/>
        </w:rPr>
        <w:t xml:space="preserve">                                                          </w:t>
      </w:r>
    </w:p>
    <w:p>
      <w:pPr>
        <w:pStyle w:val="17"/>
        <w:spacing w:line="360" w:lineRule="auto"/>
        <w:jc w:val="both"/>
        <w:rPr>
          <w:rFonts w:hint="eastAsia" w:ascii="宋体" w:hAnsi="宋体" w:cs="宋体"/>
          <w:color w:val="000000"/>
          <w:highlight w:val="none"/>
        </w:rPr>
      </w:pPr>
      <w:r>
        <w:rPr>
          <w:rFonts w:hint="eastAsia" w:ascii="宋体" w:hAnsi="宋体" w:cs="宋体"/>
          <w:color w:val="000000"/>
          <w:highlight w:val="none"/>
          <w:u w:val="single"/>
        </w:rPr>
        <w:t xml:space="preserve">                                                                                </w:t>
      </w:r>
    </w:p>
    <w:p>
      <w:pPr>
        <w:spacing w:line="360" w:lineRule="auto"/>
        <w:rPr>
          <w:rFonts w:hint="eastAsia" w:ascii="宋体" w:hAnsi="宋体" w:cs="宋体"/>
          <w:color w:val="000000"/>
          <w:kern w:val="0"/>
          <w:sz w:val="24"/>
          <w:highlight w:val="none"/>
        </w:rPr>
      </w:pPr>
    </w:p>
    <w:p>
      <w:pPr>
        <w:spacing w:line="360" w:lineRule="auto"/>
        <w:rPr>
          <w:rFonts w:hint="eastAsia" w:ascii="宋体" w:hAnsi="宋体"/>
          <w:b/>
          <w:color w:val="000000"/>
          <w:kern w:val="0"/>
          <w:szCs w:val="21"/>
          <w:highlight w:val="none"/>
        </w:rPr>
      </w:pPr>
      <w:r>
        <w:rPr>
          <w:rFonts w:hint="eastAsia" w:ascii="宋体" w:hAnsi="宋体" w:cs="宋体"/>
          <w:color w:val="000000"/>
          <w:kern w:val="0"/>
          <w:sz w:val="24"/>
          <w:highlight w:val="none"/>
        </w:rPr>
        <w:t>确认人（签字）：</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 xml:space="preserve">           日期：</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年</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月</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日</w:t>
      </w:r>
    </w:p>
    <w:p>
      <w:pPr>
        <w:rPr>
          <w:rFonts w:hint="eastAsia" w:ascii="宋体" w:hAnsi="宋体" w:eastAsia="宋体" w:cs="宋体"/>
          <w:b/>
          <w:bCs/>
          <w:color w:val="000000"/>
          <w:highlight w:val="none"/>
          <w:u w:val="none"/>
        </w:rPr>
      </w:pPr>
      <w:r>
        <w:rPr>
          <w:rFonts w:hint="eastAsia" w:ascii="宋体" w:hAnsi="宋体" w:eastAsia="宋体" w:cs="宋体"/>
          <w:b/>
          <w:bCs/>
          <w:color w:val="000000"/>
          <w:highlight w:val="none"/>
          <w:u w:val="none"/>
        </w:rPr>
        <w:br w:type="page"/>
      </w:r>
    </w:p>
    <w:p>
      <w:pPr>
        <w:pStyle w:val="17"/>
        <w:pageBreakBefore/>
        <w:widowControl/>
        <w:spacing w:line="360" w:lineRule="auto"/>
        <w:ind w:firstLine="482" w:firstLineChars="200"/>
        <w:jc w:val="center"/>
        <w:outlineLvl w:val="9"/>
        <w:rPr>
          <w:rFonts w:hint="eastAsia" w:ascii="宋体" w:hAnsi="宋体" w:eastAsia="宋体" w:cs="宋体"/>
          <w:b/>
          <w:bCs/>
          <w:color w:val="000000"/>
          <w:highlight w:val="none"/>
          <w:u w:val="none"/>
        </w:rPr>
      </w:pPr>
      <w:r>
        <w:rPr>
          <w:rFonts w:hint="eastAsia" w:ascii="宋体" w:hAnsi="宋体" w:eastAsia="宋体" w:cs="宋体"/>
          <w:b/>
          <w:bCs/>
          <w:color w:val="000000"/>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000000"/>
          <w:highlight w:val="none"/>
          <w:u w:val="single"/>
          <w:lang w:val="en-US" w:eastAsia="zh-CN"/>
        </w:rPr>
      </w:pPr>
      <w:r>
        <w:rPr>
          <w:rFonts w:hint="eastAsia" w:ascii="宋体" w:hAnsi="宋体" w:eastAsia="宋体" w:cs="宋体"/>
          <w:b/>
          <w:bCs/>
          <w:color w:val="000000"/>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000000"/>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000000"/>
          <w:highlight w:val="none"/>
          <w:u w:val="single"/>
          <w:lang w:val="en-US" w:eastAsia="zh-CN"/>
        </w:rPr>
      </w:pPr>
      <w:r>
        <w:rPr>
          <w:rFonts w:hint="eastAsia" w:ascii="宋体" w:hAnsi="宋体" w:eastAsia="宋体" w:cs="宋体"/>
          <w:b/>
          <w:bCs/>
          <w:color w:val="000000"/>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jc w:val="both"/>
        <w:rPr>
          <w:rFonts w:hint="eastAsia" w:ascii="宋体" w:hAnsi="宋体" w:eastAsia="宋体" w:cs="宋体"/>
          <w:b w:val="0"/>
          <w:bCs w:val="0"/>
          <w:color w:val="000000"/>
          <w:highlight w:val="none"/>
          <w:u w:val="none"/>
          <w:lang w:val="en-US" w:eastAsia="zh-CN"/>
        </w:rPr>
      </w:pPr>
      <w:r>
        <w:rPr>
          <w:rFonts w:hint="eastAsia" w:ascii="宋体" w:hAnsi="宋体" w:eastAsia="宋体" w:cs="宋体"/>
          <w:b w:val="0"/>
          <w:bCs w:val="0"/>
          <w:color w:val="000000"/>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000000"/>
          <w:highlight w:val="none"/>
          <w:u w:val="none"/>
          <w:lang w:val="en-US" w:eastAsia="zh-CN"/>
        </w:rPr>
        <w:t>日期：</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年</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月</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幸福99丰裕固收386天26094期理财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Z7002226000204</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9"/>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rPr>
          <w:color w:val="000000"/>
        </w:rPr>
        <w:fldChar w:fldCharType="begin"/>
      </w:r>
      <w:r>
        <w:rPr>
          <w:color w:val="000000"/>
        </w:rPr>
        <w:instrText xml:space="preserve"> HYPERLINK "http://www.hzbank.com.cn" </w:instrText>
      </w:r>
      <w:r>
        <w:rPr>
          <w:color w:val="000000"/>
        </w:rP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color w:val="000000"/>
        </w:rPr>
        <w:fldChar w:fldCharType="begin"/>
      </w:r>
      <w:r>
        <w:rPr>
          <w:color w:val="000000"/>
        </w:rPr>
        <w:instrText xml:space="preserve"> HYPERLINK "http://www.hzbank.com.cn" </w:instrText>
      </w:r>
      <w:r>
        <w:rPr>
          <w:color w:val="000000"/>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幸福99丰裕固收386天26094期理财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幸福99丰裕固收386天26094期理财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幸福99丰裕固收386天26094期理财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幸福99丰裕固收386天26094期理财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幸福99丰裕固收386天26094期理财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幸福99丰裕固收386天26094期理财</w:t>
      </w:r>
      <w:r>
        <w:rPr>
          <w:rFonts w:hint="eastAsia" w:ascii="宋体" w:hAnsi="宋体" w:cs="宋体"/>
          <w:bCs/>
          <w:color w:val="000000"/>
          <w:highlight w:val="none"/>
        </w:rPr>
        <w:t>。</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5"/>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指在本理财计划存续期内，管理人单方面决定全部提前终止本理财计划的权利。</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5"/>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6"/>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巨额赎回：</w:t>
      </w:r>
      <w:r>
        <w:rPr>
          <w:rFonts w:hint="eastAsia" w:ascii="宋体" w:hAnsi="宋体" w:cs="宋体"/>
          <w:bCs/>
          <w:color w:val="000000"/>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摆动定价机制：</w:t>
      </w:r>
      <w:r>
        <w:rPr>
          <w:rFonts w:hint="eastAsia" w:ascii="宋体" w:hAnsi="宋体" w:cs="宋体"/>
          <w:b w:val="0"/>
          <w:bCs/>
          <w:color w:val="000000"/>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短期赎回费机制：</w:t>
      </w:r>
      <w:r>
        <w:rPr>
          <w:rFonts w:hint="eastAsia" w:ascii="宋体" w:hAnsi="宋体" w:cs="宋体"/>
          <w:b w:val="0"/>
          <w:bCs/>
          <w:color w:val="000000"/>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000000"/>
          <w:kern w:val="2"/>
          <w:highlight w:val="none"/>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保守型、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w:t>
            </w:r>
            <w:r>
              <w:rPr>
                <w:rFonts w:hint="eastAsia" w:ascii="宋体" w:hAnsi="宋体" w:cs="宋体"/>
                <w:bCs/>
                <w:color w:val="000000"/>
                <w:kern w:val="2"/>
                <w:highlight w:val="none"/>
              </w:rPr>
              <w:t>型</w:t>
            </w:r>
            <w:r>
              <w:rPr>
                <w:rFonts w:hint="eastAsia" w:ascii="宋体" w:hAnsi="宋体" w:cs="宋体"/>
                <w:bCs/>
                <w:color w:val="000000"/>
                <w:kern w:val="2"/>
                <w:highlight w:val="none"/>
                <w:lang w:eastAsia="zh-CN"/>
              </w:rPr>
              <w:t>、进取</w:t>
            </w:r>
            <w:r>
              <w:rPr>
                <w:rFonts w:hint="eastAsia" w:ascii="宋体" w:hAnsi="宋体" w:cs="宋体"/>
                <w:bCs/>
                <w:color w:val="000000"/>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w:t>
            </w:r>
            <w:r>
              <w:rPr>
                <w:rFonts w:hint="eastAsia" w:ascii="宋体" w:hAnsi="宋体" w:cs="宋体"/>
                <w:bCs/>
                <w:color w:val="000000"/>
                <w:kern w:val="2"/>
                <w:highlight w:val="none"/>
              </w:rPr>
              <w:t>型</w:t>
            </w:r>
            <w:r>
              <w:rPr>
                <w:rFonts w:hint="eastAsia" w:ascii="宋体" w:hAnsi="宋体" w:cs="宋体"/>
                <w:bCs/>
                <w:color w:val="000000"/>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幸福99丰裕固收386天26094期理财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丰裕固收26094期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FYG26094</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Z7002226000204</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A份额（销售代码〖FYG26094A〗）：普通个人投资者和机构客户。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B份额（销售代码〖FYG26094B〗）：普通个人投资者和机构客户。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C份额（销售代码〖FYG26094C〗）：普通个人投资者和机构客户。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D份额（销售代码〖FYG26094D〗）：普通个人投资者和机构客户。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E份额（公司专属）（销售代码〖FYG26094E〗）：普通个人投资者和机构客户。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G份额（销售代码〖FYG26094G〗）：普通个人投资者和机构客户。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H份额（销售代码〖FYG26094H〗）：浙商银行浙江省内分行网点开户的客户。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I份额（爽盈优选）（销售代码〖FYG26094I〗）：普通个人投资者和机构客户。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J份额（销售代码〖FYG26094J〗）：普通个人投资者和机构客户。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K份额（鲲鹏优选）（销售代码〖FYG26094K〗）：普通个人投资者和机构客户。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M份额（天府·优选）（销售代码〖FYG26094M〗）：普通个人投资者和机构客户。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N份额惠享款（长长财富·鑫享）（销售代码〖FYG26094N〗）：普通个人投资者和机构客户。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O份额惠享款（销售代码〖FYG26094O〗）：普通个人投资者和机构客户。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P份额（芙蓉锦程·优选）（销售代码〖FYG26094P〗）：普通个人投资者和机构客户。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Q份额（销售代码〖FYG26094Q〗）：普通个人投资者和机构客户。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R份额惠享款吉行十二号（销售代码〖FYG26094R〗）：普通个人投资者和机构客户。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T份额惠享款（齐鲁-逢六有约）（销售代码〖FYG26094T〗）：普通个人投资者和机构客户。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U份额（吉林农商端午节专属）（销售代码〖FYG26094U〗）：普通个人投资者和机构客户。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V份额（金芙蓉专属）（销售代码〖FYG26094V〗）：普通个人投资者和机构客户。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W份额惠享款（销售代码〖FYG26094W〗）：普通个人投资者和机构客户。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X份额（销售代码〖FYG26094X〗）：普通个人投资者。</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Y份额惠享款（销售代码〖FYG26094Y〗）：普通个人投资者和机构客户。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Z份额惠享款（销售代码〖FYG26094Z〗）：普通个人投资者和机构客户。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ZA份额惠享款（销售代码〖FYG26094ZA〗）：普通个人投资者和机构客户。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ZB份额（吉林农商工薪代发专属）（销售代码〖FYG26094ZB〗）：普通个人投资者和机构客户。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ZC份额惠享款（长长财富·臻享）（销售代码〖FYG26094ZC〗）：普通个人投资者和机构客户。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ZD份额惠享款（湖北银行专属）（销售代码〖FYG26094ZD〗）：普通个人投资者和机构客户。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ZF份额（桂银优选）（销售代码〖FYG26094ZF〗）：普通个人投资者和机构客户。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ZG份额（销售代码〖FYG26094ZG〗）：普通个人投资者和机构客户。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ZH份额（金华银行专属）（销售代码〖FYG26094ZH〗）：普通个人投资者和机构客户。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16</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22</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23</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14</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〖U份额〗起点〖1〗元整，超过认购起点部分，应为〖1〗元的整数倍。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〖ZF份额〗起点〖1〗元整，超过认购起点部分，应为〖1〗元的整数倍。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〖ZG份额〗起点〖1〗元整，超过认购起点部分，应为〖1〗元的整数倍。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〖ZH份额〗起点〖1〗元整，超过认购起点部分，应为〖1〗元的整数倍。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理财计划总份额，单位净值〖保留小数点后四位〗</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w:t>
            </w:r>
            <w:r>
              <w:rPr>
                <w:rFonts w:hint="eastAsia" w:ascii="宋体" w:hAnsi="宋体" w:cs="宋体"/>
                <w:color w:val="000000"/>
                <w:kern w:val="2"/>
                <w:sz w:val="21"/>
                <w:szCs w:val="21"/>
                <w:highlight w:val="none"/>
                <w:lang w:val="en-US" w:eastAsia="zh-CN" w:bidi="ar-SA"/>
              </w:rPr>
              <w:t>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本理财计划〖G份额〗业绩比较基准为〖2.65%-2.85%〗（年化）。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本理财计划〖H份额〗业绩比较基准为〖2.50%-2.70%〗（年化）。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本理财计划〖U份额〗业绩比较基准为〖2.60%-2.80%〗（年化）。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本理财计划〖V份额〗业绩比较基准为〖2.50%-2.70%〗（年化）。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本理财计划〖ZB份额〗业绩比较基准为〖2.60%-2.80%〗（年化）。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本理财计划〖ZD份额〗业绩比较基准为〖2.65%-2.85%〗（年化）。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本理财计划〖ZF份额〗业绩比较基准为〖2.55%-2.75%〗（年化）。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本理财计划〖ZG份额〗业绩比较基准为〖2.50%-2.70%〗（年化）。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本理财计划〖ZH份额〗业绩比较基准为〖2.60%-2.80%〗（年化）。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color w:val="000000"/>
                <w:szCs w:val="21"/>
                <w:highlight w:val="none"/>
              </w:rPr>
            </w:pPr>
            <w:r>
              <w:rPr>
                <w:rFonts w:hint="eastAsia" w:ascii="宋体" w:hAnsi="宋体" w:cs="宋体"/>
                <w:color w:val="000000"/>
                <w:szCs w:val="21"/>
                <w:highlight w:val="none"/>
              </w:rPr>
              <w:t>管理人有权根据市场情况及</w:t>
            </w:r>
            <w:r>
              <w:rPr>
                <w:rFonts w:hint="eastAsia" w:ascii="宋体" w:hAnsi="宋体" w:cs="宋体"/>
                <w:color w:val="000000"/>
                <w:szCs w:val="21"/>
                <w:highlight w:val="none"/>
                <w:lang w:eastAsia="zh-CN"/>
              </w:rPr>
              <w:t>理财计划</w:t>
            </w:r>
            <w:r>
              <w:rPr>
                <w:rFonts w:hint="eastAsia" w:ascii="宋体" w:hAnsi="宋体" w:cs="宋体"/>
                <w:color w:val="000000"/>
                <w:szCs w:val="21"/>
                <w:highlight w:val="none"/>
              </w:rPr>
              <w:t>运作情况调整业绩基准，并至少于新业绩基准启用前</w:t>
            </w:r>
            <w:r>
              <w:rPr>
                <w:rFonts w:hint="eastAsia" w:ascii="宋体" w:hAnsi="宋体" w:cs="宋体"/>
                <w:color w:val="000000"/>
                <w:kern w:val="0"/>
                <w:highlight w:val="none"/>
              </w:rPr>
              <w:t>〖</w:t>
            </w:r>
            <w:r>
              <w:rPr>
                <w:rFonts w:hint="eastAsia" w:ascii="宋体" w:hAnsi="宋体" w:cs="宋体"/>
                <w:color w:val="000000"/>
                <w:kern w:val="0"/>
                <w:highlight w:val="none"/>
                <w:lang w:val="en-US" w:eastAsia="zh-CN"/>
              </w:rPr>
              <w:t>2</w:t>
            </w:r>
            <w:r>
              <w:rPr>
                <w:rFonts w:hint="eastAsia" w:ascii="宋体" w:hAnsi="宋体" w:cs="宋体"/>
                <w:color w:val="000000"/>
                <w:kern w:val="0"/>
                <w:highlight w:val="none"/>
              </w:rPr>
              <w:t>〗</w:t>
            </w:r>
            <w:r>
              <w:rPr>
                <w:rFonts w:hint="eastAsia" w:ascii="宋体" w:hAnsi="宋体" w:cs="宋体"/>
                <w:color w:val="000000"/>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〖G份额〗收取年化〖0.01%〗的销售服务费, 〖H份额〗收取年化〖0.15%〗的销售服务费, 〖I份额〗收取年化〖0.30%〗的销售服务费, 〖J份额〗收取年化〖0.05%〗的销售服务费, 〖K份额〗收取年化〖0.30%〗的销售服务费, 〖M份额〗收取年化〖0.15%〗的销售服务费, 〖N份额〗收取年化〖0.20%〗的销售服务费, 〖O份额〗收取年化〖0.30%〗的销售服务费, 〖P份额〗收取年化〖0.15%〗的销售服务费, 〖Q份额〗收取年化〖0.25%〗的销售服务费, 〖R份额〗收取年化〖0.15%〗的销售服务费, 〖T份额〗收取年化〖0.15%〗的销售服务费, 〖U份额〗收取年化〖0.05%〗的销售服务费,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 〖ZC份额〗收取年化〖0.15%〗的销售服务费, 〖ZD份额〗收取年化〖0.01%〗的销售服务费, 〖ZF份额〗收取年化〖0.15%〗的销售服务费, 〖ZG份额〗收取年化〖0.15%〗的销售服务费, 〖ZH份额〗收取年化〖0.05%〗的销售服务费。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〖G份额〗收取年化〖0.09%〗的固定管理费, 〖H份额〗收取年化〖0.10%〗的固定管理费,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〖U份额〗收取年化〖0.10%〗的固定管理费,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 〖ZC份额〗收取年化〖0.10%〗的固定管理费, 〖ZD份额〗收取年化〖0.09%〗的固定管理费, 〖ZF份额〗收取年化〖0.05%〗的固定管理费, 〖ZG份额〗收取年化〖0.10%〗的固定管理费, 〖ZH份额〗收取年化〖0.10%〗的固定管理费。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rPr>
          <w:color w:val="000000"/>
        </w:rPr>
        <w:fldChar w:fldCharType="begin"/>
      </w:r>
      <w:r>
        <w:rPr>
          <w:color w:val="000000"/>
        </w:rPr>
        <w:instrText xml:space="preserve"> HYPERLINK "https://baike.baidu.com/item/%E8%AF%81%E5%88%B8%E6%8A%95%E8%B5%84%E5%9F%BA%E9%87%91/3746" \t "https://baike.baidu.com/item/%E5%95%86%E4%B8%9A%E9%93%B6%E8%A1%8C%E7%90%86%E8%B4%A2%E4%B8%9A%E5%8A%A1%E7%9B%91%E7%9D%A3%E7%AE%A1%E7%90%86%E5%8A%9E%E6%B3%95/_blank" </w:instrText>
      </w:r>
      <w:r>
        <w:rPr>
          <w:color w:val="000000"/>
        </w:rP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color w:val="000000"/>
        </w:rPr>
        <w:fldChar w:fldCharType="begin"/>
      </w:r>
      <w:r>
        <w:rPr>
          <w:color w:val="000000"/>
        </w:rPr>
        <w:instrText xml:space="preserve"> HYPERLINK "https://baike.baidu.com/item/%E8%B5%84%E4%BA%A7%E6%94%AF%E6%8C%81%E8%AF%81%E5%88%B8/8989161" \t "https://baike.baidu.com/item/%E5%95%86%E4%B8%9A%E9%93%B6%E8%A1%8C%E7%90%86%E8%B4%A2%E4%B8%9A%E5%8A%A1%E7%9B%91%E7%9D%A3%E7%AE%A1%E7%90%86%E5%8A%9E%E6%B3%95/_blank" </w:instrText>
      </w:r>
      <w:r>
        <w:rPr>
          <w:color w:val="000000"/>
        </w:rP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东莞农村商业银行股份有限公司</w:t>
            </w:r>
          </w:p>
        </w:tc>
        <w:tc>
          <w:tcPr>
            <w:tcW w:w="1200" w:type="dxa"/>
            <w:vAlign w:val="center"/>
          </w:tcPr>
          <w:p>
            <w:pPr>
              <w:jc w:val="left"/>
            </w:pPr>
            <w:r>
              <w:t>住所</w:t>
            </w:r>
          </w:p>
        </w:tc>
        <w:tc>
          <w:tcPr>
            <w:tcW w:w="3800" w:type="dxa"/>
            <w:vAlign w:val="center"/>
          </w:tcPr>
          <w:p>
            <w:pPr>
              <w:jc w:val="center"/>
            </w:pPr>
            <w: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中山农村商业银行股份有限公司</w:t>
            </w:r>
          </w:p>
        </w:tc>
        <w:tc>
          <w:tcPr>
            <w:tcW w:w="1200" w:type="dxa"/>
            <w:vAlign w:val="center"/>
          </w:tcPr>
          <w:p>
            <w:pPr>
              <w:jc w:val="left"/>
            </w:pPr>
            <w:r>
              <w:t>住所</w:t>
            </w:r>
          </w:p>
        </w:tc>
        <w:tc>
          <w:tcPr>
            <w:tcW w:w="3800" w:type="dxa"/>
            <w:vAlign w:val="center"/>
          </w:tcPr>
          <w:p>
            <w:pPr>
              <w:jc w:val="center"/>
            </w:pPr>
            <w: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哈密市商业银行股份有限公司</w:t>
            </w:r>
          </w:p>
        </w:tc>
        <w:tc>
          <w:tcPr>
            <w:tcW w:w="1200" w:type="dxa"/>
            <w:vAlign w:val="center"/>
          </w:tcPr>
          <w:p>
            <w:pPr>
              <w:jc w:val="left"/>
            </w:pPr>
            <w:r>
              <w:t>住所</w:t>
            </w:r>
          </w:p>
        </w:tc>
        <w:tc>
          <w:tcPr>
            <w:tcW w:w="3800" w:type="dxa"/>
            <w:vAlign w:val="center"/>
          </w:tcPr>
          <w:p>
            <w:pPr>
              <w:jc w:val="center"/>
            </w:pPr>
            <w:r>
              <w:t>新疆哈密市伊州区天山北路52号哈建大厦1-4层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0902-2365763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唐山银行股份有限公司</w:t>
            </w:r>
          </w:p>
        </w:tc>
        <w:tc>
          <w:tcPr>
            <w:tcW w:w="1200" w:type="dxa"/>
            <w:vAlign w:val="center"/>
          </w:tcPr>
          <w:p>
            <w:pPr>
              <w:jc w:val="left"/>
            </w:pPr>
            <w:r>
              <w:t>住所</w:t>
            </w:r>
          </w:p>
        </w:tc>
        <w:tc>
          <w:tcPr>
            <w:tcW w:w="3800" w:type="dxa"/>
            <w:vAlign w:val="center"/>
          </w:tcPr>
          <w:p>
            <w:pPr>
              <w:jc w:val="center"/>
            </w:pPr>
            <w:r>
              <w:t>河北省唐山市路南区建设南路19号唐山新世界中心写字楼5层、21层、22层、23层、24层、26层、27层、28层、29层、30层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0315-2826443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大连银行股份有限公司</w:t>
            </w:r>
          </w:p>
        </w:tc>
        <w:tc>
          <w:tcPr>
            <w:tcW w:w="1200" w:type="dxa"/>
            <w:vAlign w:val="center"/>
          </w:tcPr>
          <w:p>
            <w:pPr>
              <w:jc w:val="left"/>
            </w:pPr>
            <w:r>
              <w:t>住所</w:t>
            </w:r>
          </w:p>
        </w:tc>
        <w:tc>
          <w:tcPr>
            <w:tcW w:w="3800" w:type="dxa"/>
            <w:vAlign w:val="center"/>
          </w:tcPr>
          <w:p>
            <w:pPr>
              <w:jc w:val="center"/>
            </w:pPr>
            <w: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广发银行股份有限公司</w:t>
            </w:r>
          </w:p>
        </w:tc>
        <w:tc>
          <w:tcPr>
            <w:tcW w:w="1200" w:type="dxa"/>
            <w:vAlign w:val="center"/>
          </w:tcPr>
          <w:p>
            <w:pPr>
              <w:jc w:val="left"/>
            </w:pPr>
            <w:r>
              <w:t>住所</w:t>
            </w:r>
          </w:p>
        </w:tc>
        <w:tc>
          <w:tcPr>
            <w:tcW w:w="3800" w:type="dxa"/>
            <w:vAlign w:val="center"/>
          </w:tcPr>
          <w:p>
            <w:pPr>
              <w:jc w:val="center"/>
            </w:pPr>
            <w: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02038322606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成都农村商业银行股份有限公司</w:t>
            </w:r>
          </w:p>
        </w:tc>
        <w:tc>
          <w:tcPr>
            <w:tcW w:w="1200" w:type="dxa"/>
            <w:vAlign w:val="center"/>
          </w:tcPr>
          <w:p>
            <w:pPr>
              <w:jc w:val="left"/>
            </w:pPr>
            <w:r>
              <w:t>住所</w:t>
            </w:r>
          </w:p>
        </w:tc>
        <w:tc>
          <w:tcPr>
            <w:tcW w:w="3800" w:type="dxa"/>
            <w:vAlign w:val="center"/>
          </w:tcPr>
          <w:p>
            <w:pPr>
              <w:jc w:val="center"/>
            </w:pPr>
            <w:r>
              <w:t>成都市武侯区科华中路88号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无锡农村商业银行股份有限公司</w:t>
            </w:r>
          </w:p>
        </w:tc>
        <w:tc>
          <w:tcPr>
            <w:tcW w:w="1200" w:type="dxa"/>
            <w:vAlign w:val="center"/>
          </w:tcPr>
          <w:p>
            <w:pPr>
              <w:jc w:val="left"/>
            </w:pPr>
            <w:r>
              <w:t>住所</w:t>
            </w:r>
          </w:p>
        </w:tc>
        <w:tc>
          <w:tcPr>
            <w:tcW w:w="3800" w:type="dxa"/>
            <w:vAlign w:val="center"/>
          </w:tcPr>
          <w:p>
            <w:pPr>
              <w:jc w:val="center"/>
            </w:pPr>
            <w: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汉口银行股份有限公司</w:t>
            </w:r>
          </w:p>
        </w:tc>
        <w:tc>
          <w:tcPr>
            <w:tcW w:w="1200" w:type="dxa"/>
            <w:vAlign w:val="center"/>
          </w:tcPr>
          <w:p>
            <w:pPr>
              <w:jc w:val="left"/>
            </w:pPr>
            <w:r>
              <w:t>住所</w:t>
            </w:r>
          </w:p>
        </w:tc>
        <w:tc>
          <w:tcPr>
            <w:tcW w:w="3800" w:type="dxa"/>
            <w:vAlign w:val="center"/>
          </w:tcPr>
          <w:p>
            <w:pPr>
              <w:jc w:val="center"/>
            </w:pPr>
            <w: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江苏南通农村商业银行股份有限公司</w:t>
            </w:r>
          </w:p>
        </w:tc>
        <w:tc>
          <w:tcPr>
            <w:tcW w:w="1200" w:type="dxa"/>
            <w:vAlign w:val="center"/>
          </w:tcPr>
          <w:p>
            <w:pPr>
              <w:jc w:val="left"/>
            </w:pPr>
            <w:r>
              <w:t>住所</w:t>
            </w:r>
          </w:p>
        </w:tc>
        <w:tc>
          <w:tcPr>
            <w:tcW w:w="3800" w:type="dxa"/>
            <w:vAlign w:val="center"/>
          </w:tcPr>
          <w:p>
            <w:pPr>
              <w:jc w:val="center"/>
            </w:pPr>
            <w: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江苏常熟农村商业银行股份有限公司</w:t>
            </w:r>
          </w:p>
        </w:tc>
        <w:tc>
          <w:tcPr>
            <w:tcW w:w="1200" w:type="dxa"/>
            <w:vAlign w:val="center"/>
          </w:tcPr>
          <w:p>
            <w:pPr>
              <w:jc w:val="left"/>
            </w:pPr>
            <w:r>
              <w:t>住所</w:t>
            </w:r>
          </w:p>
        </w:tc>
        <w:tc>
          <w:tcPr>
            <w:tcW w:w="3800" w:type="dxa"/>
            <w:vAlign w:val="center"/>
          </w:tcPr>
          <w:p>
            <w:pPr>
              <w:jc w:val="center"/>
            </w:pPr>
            <w: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江苏江阴农村商业银行股份有限公司</w:t>
            </w:r>
          </w:p>
        </w:tc>
        <w:tc>
          <w:tcPr>
            <w:tcW w:w="1200" w:type="dxa"/>
            <w:vAlign w:val="center"/>
          </w:tcPr>
          <w:p>
            <w:pPr>
              <w:jc w:val="left"/>
            </w:pPr>
            <w:r>
              <w:t>住所</w:t>
            </w:r>
          </w:p>
        </w:tc>
        <w:tc>
          <w:tcPr>
            <w:tcW w:w="3800" w:type="dxa"/>
            <w:vAlign w:val="center"/>
          </w:tcPr>
          <w:p>
            <w:pPr>
              <w:jc w:val="center"/>
            </w:pPr>
            <w: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珠海农村商业银行股份有限公司</w:t>
            </w:r>
          </w:p>
        </w:tc>
        <w:tc>
          <w:tcPr>
            <w:tcW w:w="1200" w:type="dxa"/>
            <w:vAlign w:val="center"/>
          </w:tcPr>
          <w:p>
            <w:pPr>
              <w:jc w:val="left"/>
            </w:pPr>
            <w:r>
              <w:t>住所</w:t>
            </w:r>
          </w:p>
        </w:tc>
        <w:tc>
          <w:tcPr>
            <w:tcW w:w="3800" w:type="dxa"/>
            <w:vAlign w:val="center"/>
          </w:tcPr>
          <w:p>
            <w:pPr>
              <w:jc w:val="center"/>
            </w:pPr>
            <w: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H份额〗、〖I份额〗、〖J份额〗、〖K份额〗、〖M份额〗、〖P份额〗、〖Q份额〗、〖U份额〗、〖V份额〗、〖X份额〗、〖ZB份额〗、〖ZF份额〗、〖ZG份额〗、〖ZH份额〗和销售服务费于产品成立日一次性收取的〖N份额〗、〖O份额〗、〖R份额〗、〖T份额〗、〖W份额〗、〖Y份额〗、〖Z份额〗、〖ZA份额〗、〖ZC份额〗、〖ZD份额〗。A份额的年化销售服务费率为〖0.30%〗, B份额的年化销售服务费率为〖0.20%〗, C份额的年化销售服务费率为〖0.10%〗, D份额的年化销售服务费率为〖0.15%〗, E份额的年化销售服务费率为〖0.40%〗, G份额的年化销售服务费率为〖0.01%〗, H份额的年化销售服务费率为〖0.15%〗, I份额的年化销售服务费率为〖0.30%〗, J份额的年化销售服务费率为〖0.05%〗, K份额的年化销售服务费率为〖0.30%〗, M份额的年化销售服务费率为〖0.15%〗, N份额的年化销售服务费率为〖0.20%〗, O份额的年化销售服务费率为〖0.30%〗, P份额的年化销售服务费率为〖0.15%〗, Q份额的年化销售服务费率为〖0.25%〗, R份额的年化销售服务费率为〖0.15%〗, T份额的年化销售服务费率为〖0.15%〗, U份额的年化销售服务费率为〖0.05%〗,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 ZC份额的年化销售服务费率为〖0.15%〗, ZD份额的年化销售服务费率为〖0.01%〗, ZF份额的年化销售服务费率为〖0.15%〗, ZG份额的年化销售服务费率为〖0.15%〗, ZH份额的年化销售服务费率为〖0.05%〗。两种计算方法如下：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G份额的年化固定管理费率为〖0.09%〗, H份额的年化固定管理费率为〖0.10%〗,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U份额的年化固定管理费率为〖0.10%〗,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ZC份额的年化固定管理费率为〖0.10%〗, ZD份额的年化固定管理费率为〖0.09%〗, ZF份额的年化固定管理费率为〖0.05%〗, ZG份额的年化固定管理费率为〖0.10%〗, ZH份额的年化固定管理费率为〖0.10%〗,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3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8"/>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预计理财计划所投资的信托计划、资管计划、私募基金的受托人或管理人不能按时向管理人划付理财计划的本金和收益。</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color w:val="000000"/>
          <w:kern w:val="0"/>
          <w:sz w:val="24"/>
          <w:highlight w:val="none"/>
          <w:lang w:val="en-US" w:eastAsia="zh-CN"/>
        </w:rPr>
        <w:t>如销售机构对于机构投资者的风险承受能力评估有要求的，则参照销售机构相关评估标准或代理销售协议书执行。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个人投资者风险承受能力评估流程（详询销售机构工作人员）</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个人投资者在销售机构进行风险承受能力评估；</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填写销售机构个人投资者风险承受能力测试问卷；</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生成相应的个人投资者风险承受能力评估结果；</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color w:val="000000"/>
          <w:kern w:val="0"/>
          <w:sz w:val="24"/>
          <w:highlight w:val="none"/>
          <w:lang w:eastAsia="zh-CN"/>
        </w:rPr>
        <w:t>理财计划风险揭示书、理财计划</w:t>
      </w:r>
      <w:r>
        <w:rPr>
          <w:rFonts w:hint="eastAsia" w:ascii="宋体" w:hAnsi="宋体" w:cs="宋体"/>
          <w:color w:val="000000"/>
          <w:kern w:val="0"/>
          <w:sz w:val="24"/>
          <w:highlight w:val="none"/>
        </w:rPr>
        <w:t>产品说明书</w:t>
      </w:r>
      <w:r>
        <w:rPr>
          <w:rFonts w:hint="eastAsia" w:ascii="宋体" w:hAnsi="宋体" w:cs="宋体"/>
          <w:color w:val="000000"/>
          <w:kern w:val="0"/>
          <w:sz w:val="24"/>
          <w:highlight w:val="none"/>
          <w:lang w:eastAsia="zh-CN"/>
        </w:rPr>
        <w:t>、理财计划投资协议书和理财计划销售协议书</w:t>
      </w:r>
      <w:r>
        <w:rPr>
          <w:rFonts w:hint="eastAsia" w:ascii="宋体" w:hAnsi="宋体" w:cs="宋体"/>
          <w:color w:val="000000"/>
          <w:kern w:val="0"/>
          <w:sz w:val="24"/>
          <w:highlight w:val="none"/>
        </w:rPr>
        <w:t>的基础上，充分认识投资本理财计划需要承担的风险。</w:t>
      </w:r>
      <w:r>
        <w:rPr>
          <w:rFonts w:hint="eastAsia" w:ascii="宋体" w:hAnsi="宋体" w:cs="宋体"/>
          <w:color w:val="000000"/>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rPr>
          <w:color w:val="000000"/>
        </w:rPr>
        <w:fldChar w:fldCharType="begin"/>
      </w:r>
      <w:r>
        <w:rPr>
          <w:color w:val="000000"/>
        </w:rPr>
        <w:instrText xml:space="preserve"> HYPERLINK "http://www.hzbankwealth.cn" </w:instrText>
      </w:r>
      <w:r>
        <w:rPr>
          <w:color w:val="000000"/>
        </w:rP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1"/>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的法律和行政法规。本合同项下的及与之有关的一切争议，投资者与管理人双方应首先协商解决，协商不成的，应提交</w:t>
      </w:r>
      <w:r>
        <w:rPr>
          <w:rFonts w:hint="eastAsia" w:ascii="宋体" w:hAnsi="宋体"/>
          <w:color w:val="000000"/>
          <w:sz w:val="24"/>
          <w:highlight w:val="none"/>
          <w:lang w:val="en-US" w:eastAsia="zh-CN"/>
        </w:rPr>
        <w:t>被告人</w:t>
      </w:r>
      <w:r>
        <w:rPr>
          <w:rFonts w:hint="eastAsia" w:ascii="宋体" w:hAnsi="宋体"/>
          <w:color w:val="000000"/>
          <w:sz w:val="24"/>
          <w:highlight w:val="none"/>
        </w:rPr>
        <w:t>所在地人民法院司法裁决。诉讼期间，未涉及争议的条款仍需继续履行。</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202502</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（202502</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w:t>
      </w:r>
      <w:r>
        <w:rPr>
          <w:rFonts w:hint="eastAsia" w:ascii="Calibri" w:hAnsi="Calibri" w:eastAsia="宋体" w:cs="黑体"/>
          <w:b/>
          <w:bCs/>
          <w:color w:val="000000"/>
          <w:sz w:val="24"/>
          <w:highlight w:val="none"/>
          <w:lang w:val="en-US" w:eastAsia="zh-CN"/>
        </w:rPr>
        <w:t>本</w:t>
      </w:r>
      <w:r>
        <w:rPr>
          <w:rFonts w:hint="eastAsia" w:ascii="Calibri" w:hAnsi="Calibri" w:eastAsia="宋体" w:cs="黑体"/>
          <w:b/>
          <w:bCs/>
          <w:color w:val="000000"/>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在本理财计划存续期内，如有权机关要求</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配合对投资者理财份额、理财账户、授权指定账户进行查封、冻结或扣划的，</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有权根据实际情况采取</w:t>
      </w:r>
      <w:r>
        <w:rPr>
          <w:rFonts w:hint="eastAsia" w:ascii="宋体" w:hAnsi="宋体" w:eastAsia="宋体" w:cs="黑体"/>
          <w:color w:val="000000"/>
          <w:sz w:val="24"/>
          <w:highlight w:val="none"/>
          <w:lang w:val="en-US" w:eastAsia="zh-CN"/>
        </w:rPr>
        <w:t>相应</w:t>
      </w:r>
      <w:r>
        <w:rPr>
          <w:rFonts w:hint="eastAsia" w:ascii="宋体" w:hAnsi="宋体" w:eastAsia="宋体" w:cs="黑体"/>
          <w:color w:val="000000"/>
          <w:sz w:val="24"/>
          <w:highlight w:val="none"/>
        </w:rPr>
        <w:t>措施。</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对上述后果不承担任何责任。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不承担任何责任。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投资者应确保其提供的所有资料真实、完整、合法、有效，如果有任何变更，投资者应及时通知</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并办理变更手续。如因投资者未及时通知</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并办理相应的变更手续，由此导致的一切后果由投资者自行承担，</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w:t>
      </w:r>
      <w:r>
        <w:rPr>
          <w:rFonts w:hint="eastAsia" w:ascii="宋体" w:hAnsi="宋体" w:eastAsia="宋体" w:cs="黑体"/>
          <w:color w:val="000000"/>
          <w:sz w:val="24"/>
          <w:highlight w:val="none"/>
        </w:rPr>
        <w:t>对本协议及其条款负有保密义务，未经</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书面许可，不得向任何组织、个人提供或泄露与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有关的业务资料及信息，但法律、法规另有规定的除外</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原因导致司法或行政</w:t>
      </w:r>
      <w:r>
        <w:rPr>
          <w:rFonts w:hint="eastAsia" w:ascii="宋体" w:hAnsi="宋体" w:eastAsia="宋体" w:cs="黑体"/>
          <w:color w:val="000000"/>
          <w:sz w:val="24"/>
          <w:highlight w:val="none"/>
          <w:lang w:eastAsia="zh-CN"/>
        </w:rPr>
        <w:t>等有权机关</w:t>
      </w:r>
      <w:r>
        <w:rPr>
          <w:rFonts w:hint="eastAsia" w:ascii="宋体" w:hAnsi="宋体" w:eastAsia="宋体" w:cs="黑体"/>
          <w:color w:val="000000"/>
          <w:sz w:val="24"/>
          <w:highlight w:val="none"/>
        </w:rPr>
        <w:t>采取强制措施对其理财本金、收益进行部分或全部被扣划，均视投资者本人就全部理财本金进行了提前</w:t>
      </w:r>
      <w:r>
        <w:rPr>
          <w:rFonts w:hint="eastAsia" w:ascii="宋体" w:hAnsi="宋体" w:eastAsia="宋体" w:cs="黑体"/>
          <w:color w:val="000000"/>
          <w:sz w:val="24"/>
          <w:highlight w:val="none"/>
          <w:lang w:eastAsia="zh-CN"/>
        </w:rPr>
        <w:t>赎回</w:t>
      </w:r>
      <w:r>
        <w:rPr>
          <w:rFonts w:hint="eastAsia" w:ascii="宋体" w:hAnsi="宋体" w:eastAsia="宋体" w:cs="黑体"/>
          <w:color w:val="000000"/>
          <w:sz w:val="24"/>
          <w:highlight w:val="none"/>
        </w:rPr>
        <w:t>，本</w:t>
      </w:r>
      <w:r>
        <w:rPr>
          <w:rFonts w:hint="eastAsia" w:ascii="宋体" w:hAnsi="宋体" w:eastAsia="宋体" w:cs="黑体"/>
          <w:color w:val="000000"/>
          <w:sz w:val="24"/>
          <w:highlight w:val="none"/>
          <w:lang w:eastAsia="zh-CN"/>
        </w:rPr>
        <w:t>协议</w:t>
      </w:r>
      <w:r>
        <w:rPr>
          <w:rFonts w:hint="eastAsia" w:ascii="宋体" w:hAnsi="宋体" w:eastAsia="宋体" w:cs="黑体"/>
          <w:color w:val="000000"/>
          <w:sz w:val="24"/>
          <w:highlight w:val="none"/>
        </w:rPr>
        <w:t>自动终止。因提前终止而产生的损失及相关费用由投资者承担。本</w:t>
      </w:r>
      <w:r>
        <w:rPr>
          <w:rFonts w:hint="eastAsia" w:ascii="宋体" w:hAnsi="宋体" w:eastAsia="宋体" w:cs="黑体"/>
          <w:color w:val="000000"/>
          <w:sz w:val="24"/>
          <w:highlight w:val="none"/>
          <w:lang w:eastAsia="zh-CN"/>
        </w:rPr>
        <w:t>协议因</w:t>
      </w:r>
      <w:r>
        <w:rPr>
          <w:rFonts w:hint="eastAsia" w:ascii="宋体" w:hAnsi="宋体" w:eastAsia="宋体" w:cs="黑体"/>
          <w:color w:val="000000"/>
          <w:sz w:val="24"/>
          <w:highlight w:val="none"/>
        </w:rPr>
        <w:t>前述情况终止的，理财本金不计付</w:t>
      </w:r>
      <w:r>
        <w:rPr>
          <w:rFonts w:hint="eastAsia" w:ascii="宋体" w:hAnsi="宋体" w:eastAsia="宋体" w:cs="黑体"/>
          <w:color w:val="000000"/>
          <w:sz w:val="24"/>
          <w:highlight w:val="none"/>
          <w:lang w:eastAsia="zh-CN"/>
        </w:rPr>
        <w:t>赎回</w:t>
      </w:r>
      <w:r>
        <w:rPr>
          <w:rFonts w:hint="eastAsia" w:ascii="宋体" w:hAnsi="宋体" w:eastAsia="宋体" w:cs="黑体"/>
          <w:color w:val="000000"/>
          <w:sz w:val="24"/>
          <w:highlight w:val="none"/>
        </w:rPr>
        <w:t>日前的理财收益，也不计付存款利息。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对由此导致的理财业务交易延误、中断、终止及</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损失不承担任何责任，并有权单方终止双方理财业务关系。因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w:t>
      </w:r>
      <w:r>
        <w:rPr>
          <w:rFonts w:hint="eastAsia" w:ascii="宋体" w:hAnsi="宋体" w:eastAsia="宋体" w:cs="黑体"/>
          <w:color w:val="000000"/>
          <w:sz w:val="24"/>
          <w:highlight w:val="none"/>
          <w:lang w:eastAsia="zh-CN"/>
        </w:rPr>
        <w:t>渠道</w:t>
      </w:r>
      <w:r>
        <w:rPr>
          <w:rFonts w:hint="eastAsia" w:ascii="宋体" w:hAnsi="宋体" w:eastAsia="宋体" w:cs="黑体"/>
          <w:color w:val="000000"/>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w:t>
      </w:r>
      <w:r>
        <w:rPr>
          <w:rFonts w:hint="eastAsia" w:ascii="宋体" w:hAnsi="宋体" w:eastAsia="宋体" w:cs="黑体"/>
          <w:color w:val="000000"/>
          <w:sz w:val="24"/>
          <w:highlight w:val="none"/>
          <w:lang w:val="en-US" w:eastAsia="zh-CN"/>
        </w:rPr>
        <w:t>管理人</w:t>
      </w:r>
      <w:r>
        <w:rPr>
          <w:rFonts w:hint="eastAsia" w:ascii="宋体" w:hAnsi="宋体" w:eastAsia="宋体" w:cs="黑体"/>
          <w:color w:val="000000"/>
          <w:sz w:val="24"/>
          <w:highlight w:val="none"/>
        </w:rPr>
        <w:t>有权单方对理财计划</w:t>
      </w:r>
      <w:r>
        <w:rPr>
          <w:rFonts w:hint="default" w:ascii="宋体" w:hAnsi="宋体" w:eastAsia="宋体" w:cs="黑体"/>
          <w:color w:val="000000"/>
          <w:sz w:val="24"/>
          <w:highlight w:val="none"/>
          <w:lang w:val="en-US"/>
        </w:rPr>
        <w:t>合同</w:t>
      </w:r>
      <w:r>
        <w:rPr>
          <w:rFonts w:hint="eastAsia" w:ascii="宋体" w:hAnsi="宋体" w:eastAsia="宋体" w:cs="黑体"/>
          <w:color w:val="000000"/>
          <w:sz w:val="24"/>
          <w:highlight w:val="none"/>
          <w:lang w:val="en-US" w:eastAsia="zh-CN"/>
        </w:rPr>
        <w:t>销售文件</w:t>
      </w:r>
      <w:r>
        <w:rPr>
          <w:rFonts w:hint="eastAsia" w:ascii="宋体" w:hAnsi="宋体" w:eastAsia="宋体" w:cs="黑体"/>
          <w:color w:val="000000"/>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2">
    <w:nsid w:val="D8D75090"/>
    <w:multiLevelType w:val="singleLevel"/>
    <w:tmpl w:val="D8D75090"/>
    <w:lvl w:ilvl="0" w:tentative="0">
      <w:start w:val="1"/>
      <w:numFmt w:val="decimal"/>
      <w:suff w:val="nothing"/>
      <w:lvlText w:val="（%1）"/>
      <w:lvlJc w:val="left"/>
      <w:rPr>
        <w:rFonts w:hint="default"/>
        <w:b w:val="0"/>
        <w:bCs w:val="0"/>
      </w:rPr>
    </w:lvl>
  </w:abstractNum>
  <w:abstractNum w:abstractNumId="23">
    <w:nsid w:val="DD2251DF"/>
    <w:multiLevelType w:val="singleLevel"/>
    <w:tmpl w:val="DD2251DF"/>
    <w:lvl w:ilvl="0" w:tentative="0">
      <w:start w:val="1"/>
      <w:numFmt w:val="decimal"/>
      <w:suff w:val="nothing"/>
      <w:lvlText w:val="（%1）"/>
      <w:lvlJc w:val="left"/>
      <w:rPr>
        <w:rFonts w:hint="default"/>
        <w:b w:val="0"/>
        <w:bCs w:val="0"/>
      </w:rPr>
    </w:lvl>
  </w:abstractNum>
  <w:abstractNum w:abstractNumId="24">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5">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6">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7">
    <w:nsid w:val="F574F5B6"/>
    <w:multiLevelType w:val="singleLevel"/>
    <w:tmpl w:val="F574F5B6"/>
    <w:lvl w:ilvl="0" w:tentative="0">
      <w:start w:val="1"/>
      <w:numFmt w:val="decimal"/>
      <w:suff w:val="nothing"/>
      <w:lvlText w:val="（%1）"/>
      <w:lvlJc w:val="left"/>
    </w:lvl>
  </w:abstractNum>
  <w:abstractNum w:abstractNumId="28">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9">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0"/>
  </w:num>
  <w:num w:numId="3">
    <w:abstractNumId w:val="42"/>
  </w:num>
  <w:num w:numId="4">
    <w:abstractNumId w:val="37"/>
  </w:num>
  <w:num w:numId="5">
    <w:abstractNumId w:val="49"/>
  </w:num>
  <w:num w:numId="6">
    <w:abstractNumId w:val="72"/>
  </w:num>
  <w:num w:numId="7">
    <w:abstractNumId w:val="32"/>
  </w:num>
  <w:num w:numId="8">
    <w:abstractNumId w:val="73"/>
  </w:num>
  <w:num w:numId="9">
    <w:abstractNumId w:val="47"/>
  </w:num>
  <w:num w:numId="10">
    <w:abstractNumId w:val="44"/>
  </w:num>
  <w:num w:numId="11">
    <w:abstractNumId w:val="28"/>
  </w:num>
  <w:num w:numId="12">
    <w:abstractNumId w:val="26"/>
  </w:num>
  <w:num w:numId="13">
    <w:abstractNumId w:val="33"/>
  </w:num>
  <w:num w:numId="14">
    <w:abstractNumId w:val="25"/>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70"/>
  </w:num>
  <w:num w:numId="22">
    <w:abstractNumId w:val="5"/>
  </w:num>
  <w:num w:numId="23">
    <w:abstractNumId w:val="1"/>
  </w:num>
  <w:num w:numId="24">
    <w:abstractNumId w:val="43"/>
  </w:num>
  <w:num w:numId="25">
    <w:abstractNumId w:val="27"/>
  </w:num>
  <w:num w:numId="26">
    <w:abstractNumId w:val="19"/>
  </w:num>
  <w:num w:numId="27">
    <w:abstractNumId w:val="38"/>
  </w:num>
  <w:num w:numId="28">
    <w:abstractNumId w:val="21"/>
  </w:num>
  <w:num w:numId="29">
    <w:abstractNumId w:val="6"/>
  </w:num>
  <w:num w:numId="30">
    <w:abstractNumId w:val="46"/>
  </w:num>
  <w:num w:numId="31">
    <w:abstractNumId w:val="4"/>
  </w:num>
  <w:num w:numId="32">
    <w:abstractNumId w:val="31"/>
  </w:num>
  <w:num w:numId="33">
    <w:abstractNumId w:val="36"/>
  </w:num>
  <w:num w:numId="34">
    <w:abstractNumId w:val="71"/>
  </w:num>
  <w:num w:numId="35">
    <w:abstractNumId w:val="30"/>
  </w:num>
  <w:num w:numId="36">
    <w:abstractNumId w:val="23"/>
  </w:num>
  <w:num w:numId="37">
    <w:abstractNumId w:val="41"/>
  </w:num>
  <w:num w:numId="38">
    <w:abstractNumId w:val="2"/>
  </w:num>
  <w:num w:numId="39">
    <w:abstractNumId w:val="24"/>
  </w:num>
  <w:num w:numId="40">
    <w:abstractNumId w:val="29"/>
  </w:num>
  <w:num w:numId="41">
    <w:abstractNumId w:val="45"/>
  </w:num>
  <w:num w:numId="42">
    <w:abstractNumId w:val="34"/>
  </w:num>
  <w:num w:numId="43">
    <w:abstractNumId w:val="18"/>
  </w:num>
  <w:num w:numId="44">
    <w:abstractNumId w:val="48"/>
  </w:num>
  <w:num w:numId="45">
    <w:abstractNumId w:val="12"/>
  </w:num>
  <w:num w:numId="46">
    <w:abstractNumId w:val="10"/>
  </w:num>
  <w:num w:numId="47">
    <w:abstractNumId w:val="13"/>
  </w:num>
  <w:num w:numId="48">
    <w:abstractNumId w:val="35"/>
  </w:num>
  <w:num w:numId="49">
    <w:abstractNumId w:val="22"/>
  </w:num>
  <w:num w:numId="50">
    <w:abstractNumId w:val="3"/>
  </w:num>
  <w:num w:numId="51">
    <w:abstractNumId w:val="40"/>
  </w:num>
  <w:num w:numId="52">
    <w:abstractNumId w:val="57"/>
  </w:num>
  <w:num w:numId="53">
    <w:abstractNumId w:val="56"/>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39"/>
  </w:num>
  <w:num w:numId="61">
    <w:abstractNumId w:val="16"/>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64"/>
  </w:num>
  <w:num w:numId="69">
    <w:abstractNumId w:val="65"/>
  </w:num>
  <w:num w:numId="70">
    <w:abstractNumId w:val="15"/>
  </w:num>
  <w:num w:numId="71">
    <w:abstractNumId w:val="66"/>
  </w:num>
  <w:num w:numId="72">
    <w:abstractNumId w:val="67"/>
  </w:num>
  <w:num w:numId="73">
    <w:abstractNumId w:val="68"/>
  </w:num>
  <w:num w:numId="7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4F13FD9"/>
    <w:rsid w:val="46184F00"/>
    <w:rsid w:val="466F6F60"/>
    <w:rsid w:val="46A726DE"/>
    <w:rsid w:val="4745701D"/>
    <w:rsid w:val="477B0F69"/>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5BB6D"/>
    <w:rsid w:val="73FC9A3F"/>
    <w:rsid w:val="751974A1"/>
    <w:rsid w:val="758B30E4"/>
    <w:rsid w:val="75F42331"/>
    <w:rsid w:val="761F7C3C"/>
    <w:rsid w:val="76683D2A"/>
    <w:rsid w:val="76C62D9E"/>
    <w:rsid w:val="76DF52A4"/>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84392690"/>
    <w:rsid w:val="9FD01BC3"/>
    <w:rsid w:val="9FDF7357"/>
    <w:rsid w:val="B3FE25BF"/>
    <w:rsid w:val="BE6E0F8F"/>
    <w:rsid w:val="C679D4D5"/>
    <w:rsid w:val="C7EFAC2C"/>
    <w:rsid w:val="CFBD1285"/>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qFormat/>
    <w:uiPriority w:val="0"/>
    <w:rPr>
      <w:sz w:val="21"/>
      <w:szCs w:val="21"/>
    </w:rPr>
  </w:style>
  <w:style w:type="character" w:customStyle="1" w:styleId="13">
    <w:name w:val="批注文字 字符"/>
    <w:link w:val="2"/>
    <w:qFormat/>
    <w:uiPriority w:val="0"/>
    <w:rPr>
      <w:rFonts w:ascii="Calibri" w:hAnsi="Calibri" w:cs="黑体"/>
      <w:kern w:val="2"/>
      <w:sz w:val="21"/>
      <w:szCs w:val="24"/>
    </w:rPr>
  </w:style>
  <w:style w:type="character" w:customStyle="1" w:styleId="14">
    <w:name w:val="批注框文本 字符"/>
    <w:link w:val="3"/>
    <w:qFormat/>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qFormat/>
    <w:uiPriority w:val="0"/>
    <w:rPr>
      <w:rFonts w:ascii="Calibri" w:hAnsi="Calibri" w:cs="黑体"/>
      <w:kern w:val="2"/>
      <w:sz w:val="21"/>
      <w:szCs w:val="24"/>
    </w:rPr>
  </w:style>
  <w:style w:type="character" w:customStyle="1" w:styleId="19">
    <w:name w:val="批注主题 Char"/>
    <w:link w:val="7"/>
    <w:qFormat/>
    <w:uiPriority w:val="0"/>
    <w:rPr>
      <w:rFonts w:ascii="Calibri" w:hAnsi="Calibri" w:cs="黑体"/>
      <w:b/>
      <w:bCs/>
      <w:kern w:val="2"/>
      <w:sz w:val="21"/>
      <w:szCs w:val="24"/>
    </w:rPr>
  </w:style>
  <w:style w:type="character" w:customStyle="1" w:styleId="20">
    <w:name w:val="批注框文本 Char"/>
    <w:link w:val="3"/>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61</Pages>
  <Words>40115</Words>
  <Characters>43440</Characters>
  <Lines>1</Lines>
  <Paragraphs>1</Paragraphs>
  <TotalTime>0</TotalTime>
  <ScaleCrop>false</ScaleCrop>
  <LinksUpToDate>false</LinksUpToDate>
  <CharactersWithSpaces>43967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Administrator</dc:creator>
  <cp:lastModifiedBy>hccb</cp:lastModifiedBy>
  <dcterms:modified xsi:type="dcterms:W3CDTF">2026-06-11T06:15:43Z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2886C8A4E11EE72F4C9F176AE739E4AC_43</vt:lpwstr>
  </property>
  <property fmtid="{D5CDD505-2E9C-101B-9397-08002B2CF9AE}" pid="3" name="KSOProductBuildVer">
    <vt:lpwstr>2052-11.8.2.8411</vt:lpwstr>
  </property>
</Properties>
</file>