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杭银理财幸福99季添益1904期理财</w:t>
      </w:r>
      <w:r>
        <w:rPr>
          <w:rFonts w:hint="eastAsia" w:ascii="宋体" w:hAnsi="宋体" w:cs="宋体"/>
          <w:b/>
          <w:bCs/>
          <w:color w:val="000000"/>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杭银理财幸福99季添益1904期理财</w:t>
      </w:r>
      <w:r>
        <w:rPr>
          <w:rFonts w:hint="eastAsia" w:ascii="宋体" w:hAnsi="宋体" w:cs="宋体"/>
          <w:b/>
          <w:bCs/>
          <w:color w:val="000000"/>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11"/>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杭银理财幸福99季添益1904期理财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杭银理财幸福99季添益1904期理财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杭银理财幸福99季添益1904期理财</w:t>
      </w:r>
      <w:r>
        <w:rPr>
          <w:rFonts w:hint="eastAsia" w:ascii="宋体" w:hAnsi="宋体" w:cs="宋体"/>
          <w:b/>
          <w:bCs/>
          <w:color w:val="000000"/>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资金流动性风险：本理财计划定期开放申购、赎回，非开放期内投资者不得提前交易。</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收益不达业绩比较基准风险：业绩比较基准并非预测收益，不代表产品的未来表现和实际收益；本理财计划的投资收益与投资者的申购、赎回时点密切相关，收益存在一定的波动性，产品本金出现损失的可能性不容忽视。</w:t>
      </w:r>
    </w:p>
    <w:p>
      <w:pPr>
        <w:keepNext w:val="0"/>
        <w:keepLines w:val="0"/>
        <w:widowControl w:val="0"/>
        <w:numPr>
          <w:ilvl w:val="0"/>
          <w:numId w:val="0"/>
        </w:numPr>
        <w:suppressLineNumbers w:val="0"/>
        <w:spacing w:before="0" w:beforeAutospacing="0" w:after="0" w:afterAutospacing="0" w:line="360" w:lineRule="auto"/>
        <w:ind w:left="0" w:leftChars="0" w:right="0"/>
        <w:jc w:val="both"/>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numPr>
          <w:ilvl w:val="0"/>
          <w:numId w:val="8"/>
        </w:numPr>
        <w:spacing w:line="360" w:lineRule="auto"/>
        <w:jc w:val="left"/>
        <w:outlineLvl w:val="9"/>
        <w:rPr>
          <w:rFonts w:hint="eastAsia" w:ascii="宋体" w:hAnsi="宋体" w:cs="宋体"/>
          <w:b/>
          <w:bCs/>
          <w:sz w:val="24"/>
          <w:highlight w:val="none"/>
        </w:rPr>
      </w:pPr>
      <w:r>
        <w:rPr>
          <w:rFonts w:hint="eastAsia" w:ascii="宋体" w:hAnsi="宋体" w:cs="宋体"/>
          <w:b/>
          <w:bCs/>
          <w:color w:val="000000"/>
          <w:sz w:val="24"/>
          <w:highlight w:val="none"/>
          <w:lang w:eastAsia="zh"/>
        </w:rPr>
        <w:t>根据适当性管理原则，将理财投资人分为专业投资者和普通投资者。其中专业投资者应符合下列条件之一：</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1.银行业金融机构、保险业金融机构、金融控股公司、证券基金期货经营机构、私募基金管理人；</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2.上述机构面向投资者发行的金融产品，信托公司管理的资产服务信托、公益慈善信托；</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3.社会保障基金、企业年金、职业年金等养老基金，慈善基金等社会公益基金，合格境外机构投资者（QFII）、人民币合格境外机构投资者（ROFII）。</w:t>
      </w:r>
    </w:p>
    <w:p>
      <w:pPr>
        <w:numPr>
          <w:ilvl w:val="0"/>
          <w:numId w:val="0"/>
        </w:numPr>
        <w:spacing w:line="360" w:lineRule="auto"/>
        <w:ind w:left="420" w:left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专业投资者之外的投资者为普通投资者。</w:t>
      </w:r>
    </w:p>
    <w:p>
      <w:pPr>
        <w:numPr>
          <w:ilvl w:val="0"/>
          <w:numId w:val="0"/>
        </w:numPr>
        <w:spacing w:line="360" w:lineRule="auto"/>
        <w:ind w:left="420" w:leftChars="0"/>
        <w:jc w:val="left"/>
        <w:outlineLvl w:val="9"/>
        <w:rPr>
          <w:rFonts w:hint="eastAsia" w:ascii="宋体" w:hAnsi="宋体" w:cs="宋体"/>
          <w:bCs/>
          <w:sz w:val="24"/>
          <w:highlight w:val="none"/>
        </w:rPr>
      </w:pP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开放式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cs="宋体"/>
          <w:b/>
          <w:color w:val="000000"/>
          <w:sz w:val="24"/>
          <w:highlight w:val="none"/>
          <w:lang w:eastAsia="zh-CN"/>
        </w:rPr>
        <w:t>无固定期限</w:t>
      </w:r>
      <w:r>
        <w:rPr>
          <w:rFonts w:hint="eastAsia" w:ascii="宋体" w:hAnsi="宋体" w:cs="宋体"/>
          <w:b/>
          <w:color w:val="000000"/>
          <w:sz w:val="24"/>
          <w:highlight w:val="none"/>
        </w:rPr>
        <w:t>〗</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color w:val="000000"/>
          <w:sz w:val="24"/>
          <w:highlight w:val="none"/>
        </w:rPr>
        <w:t>风险提示方：杭银理财有限责任公司</w:t>
      </w:r>
    </w:p>
    <w:p>
      <w:pPr>
        <w:pStyle w:val="9"/>
        <w:keepNext w:val="0"/>
        <w:keepLines w:val="0"/>
        <w:pageBreakBefore/>
        <w:widowControl/>
        <w:suppressLineNumbers w:val="0"/>
        <w:autoSpaceDE w:val="0"/>
        <w:autoSpaceDN w:val="0"/>
        <w:adjustRightInd w:val="0"/>
        <w:spacing w:before="0" w:beforeAutospacing="0" w:after="0" w:afterAutospacing="0" w:line="360" w:lineRule="auto"/>
        <w:ind w:left="0" w:leftChars="0" w:right="0"/>
        <w:jc w:val="center"/>
        <w:outlineLvl w:val="9"/>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投资者确认栏（普通投资者填写）</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本人/本机构经销售机构评估的风险承受能力等级为：</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（投资者填写）</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如超过一年未进行风险承受能力评估或影响本人风险承受能力的因素发生变化，本人/本机构将于再次购买理财计划时及时完成风险承受能力评估。</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（投资者需全文抄录以下文字以完成确认：</w:t>
      </w:r>
      <w:r>
        <w:rPr>
          <w:rFonts w:hint="eastAsia" w:ascii="宋体" w:hAnsi="宋体" w:eastAsia="宋体" w:cs="宋体"/>
          <w:b/>
          <w:bCs/>
          <w:color w:val="000000"/>
          <w:kern w:val="0"/>
          <w:sz w:val="24"/>
          <w:szCs w:val="24"/>
          <w:lang w:val="en-US" w:eastAsia="zh-CN" w:bidi="ar"/>
        </w:rPr>
        <w:t>“本人/本机构已经阅读上述风险揭示，愿意承担投资风险。”如通过线上渠道购买，认/申购交易确认即知晓并同意自身风险承受能力等级并确认风险揭示内容，愿意承担投资风险，与书面签署具有同等效力。</w:t>
      </w: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lang w:val="en-US" w:eastAsia="zh-CN" w:bidi="ar"/>
        </w:rPr>
        <w:t>本人/本机构同时确认如下：</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个人投资者（签字）：</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机构投资者（盖章）：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机构投资者法定代表人或授权代表（签字或盖章）：</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黑体"/>
          <w:b/>
          <w:bCs/>
          <w:kern w:val="0"/>
          <w:sz w:val="21"/>
          <w:szCs w:val="21"/>
        </w:rPr>
      </w:pPr>
      <w:r>
        <w:rPr>
          <w:rFonts w:hint="eastAsia" w:ascii="宋体" w:hAnsi="宋体" w:eastAsia="宋体" w:cs="宋体"/>
          <w:color w:val="000000"/>
          <w:kern w:val="2"/>
          <w:sz w:val="21"/>
          <w:szCs w:val="21"/>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杭银理财幸福99季添益1904期理财</w:t>
      </w:r>
      <w:r>
        <w:rPr>
          <w:rFonts w:hint="eastAsia" w:ascii="宋体" w:hAnsi="宋体" w:cs="宋体"/>
          <w:b/>
          <w:bCs/>
          <w:color w:val="000000"/>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Z7002221000275</w:t>
      </w:r>
      <w:r>
        <w:rPr>
          <w:rFonts w:hint="eastAsia" w:ascii="宋体" w:hAnsi="宋体" w:cs="宋体"/>
          <w:bCs/>
          <w:color w:val="000000"/>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重要须知</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9"/>
        <w:rPr>
          <w:rFonts w:hint="eastAsia" w:ascii="宋体" w:hAnsi="宋体" w:cs="宋体"/>
          <w:bCs/>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风险揭示书》《投资者权益须知》《理财计划投资协议书》</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参与主体用语</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20"/>
        <w:numPr>
          <w:ilvl w:val="0"/>
          <w:numId w:val="13"/>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000000"/>
          <w:kern w:val="2"/>
          <w:highlight w:val="none"/>
        </w:rPr>
        <w:t>。</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法律文件用语</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杭银理财幸福99季添益1904期理财</w:t>
      </w:r>
      <w:r>
        <w:rPr>
          <w:rFonts w:hint="eastAsia" w:ascii="宋体" w:hAnsi="宋体" w:cs="宋体"/>
          <w:bCs/>
          <w:highlight w:val="none"/>
        </w:rPr>
        <w:t>产品说明书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杭银理财幸福99季添益1904期理财</w:t>
      </w:r>
      <w:r>
        <w:rPr>
          <w:rFonts w:hint="eastAsia" w:ascii="宋体" w:hAnsi="宋体" w:cs="宋体"/>
          <w:bCs/>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杭银理财幸福99季添益1904期理财</w:t>
      </w:r>
      <w:r>
        <w:rPr>
          <w:rFonts w:hint="eastAsia" w:ascii="宋体" w:hAnsi="宋体" w:cs="宋体"/>
          <w:bCs/>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杭银理财幸福99季添益1904期理财</w:t>
      </w:r>
      <w:r>
        <w:rPr>
          <w:rFonts w:hint="eastAsia" w:ascii="宋体" w:hAnsi="宋体" w:cs="宋体"/>
          <w:bCs/>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杭银理财幸福99季添益1904期理财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产品说明书</w:t>
      </w:r>
      <w:r>
        <w:rPr>
          <w:rFonts w:hint="eastAsia" w:ascii="宋体" w:hAnsi="宋体" w:cs="宋体"/>
          <w:bCs/>
          <w:color w:val="000000"/>
          <w:kern w:val="2"/>
          <w:highlight w:val="none"/>
        </w:rPr>
        <w:t>》《投资者权益须知》《理财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理财产品用语</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杭银理财幸福99季添益1904期理财</w:t>
      </w:r>
      <w:r>
        <w:rPr>
          <w:rFonts w:hint="eastAsia" w:ascii="宋体" w:hAnsi="宋体" w:cs="宋体"/>
          <w:bCs/>
          <w:highlight w:val="none"/>
        </w:rPr>
        <w:t>。</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20"/>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投资周期</w:t>
      </w:r>
      <w:r>
        <w:rPr>
          <w:rFonts w:hint="eastAsia" w:ascii="宋体" w:hAnsi="宋体" w:cs="宋体"/>
          <w:b/>
          <w:color w:val="000000"/>
          <w:kern w:val="2"/>
          <w:highlight w:val="none"/>
          <w:lang w:eastAsia="zh-CN"/>
        </w:rPr>
        <w:t>：</w:t>
      </w:r>
      <w:r>
        <w:rPr>
          <w:rFonts w:hint="eastAsia" w:ascii="宋体" w:hAnsi="宋体" w:cs="宋体"/>
          <w:b w:val="0"/>
          <w:bCs/>
          <w:color w:val="000000"/>
          <w:kern w:val="2"/>
          <w:highlight w:val="none"/>
          <w:lang w:eastAsia="zh-CN"/>
        </w:rPr>
        <w:t>指理财计划成立或申购</w:t>
      </w:r>
      <w:r>
        <w:rPr>
          <w:rFonts w:hint="eastAsia" w:ascii="宋体" w:hAnsi="宋体" w:cs="宋体"/>
          <w:b w:val="0"/>
          <w:bCs/>
          <w:color w:val="000000"/>
          <w:kern w:val="2"/>
          <w:highlight w:val="none"/>
          <w:lang w:val="en-US" w:eastAsia="zh-CN"/>
        </w:rPr>
        <w:t>/赎回</w:t>
      </w:r>
      <w:r>
        <w:rPr>
          <w:rFonts w:hint="eastAsia" w:ascii="宋体" w:hAnsi="宋体" w:cs="宋体"/>
          <w:b w:val="0"/>
          <w:bCs/>
          <w:color w:val="000000"/>
          <w:kern w:val="2"/>
          <w:highlight w:val="none"/>
          <w:lang w:eastAsia="zh-CN"/>
        </w:rPr>
        <w:t>开放期确认后，至下一个申购</w:t>
      </w:r>
      <w:r>
        <w:rPr>
          <w:rFonts w:hint="eastAsia" w:ascii="宋体" w:hAnsi="宋体" w:cs="宋体"/>
          <w:b w:val="0"/>
          <w:bCs/>
          <w:color w:val="000000"/>
          <w:kern w:val="2"/>
          <w:highlight w:val="none"/>
          <w:lang w:val="en-US" w:eastAsia="zh-CN"/>
        </w:rPr>
        <w:t>/赎回开放期确认前的时间。如申购和赎回开放期确认时间不一致，应明确以申购投资周期或赎回投资周期作为理财计划的投资周期。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开放日：</w:t>
      </w:r>
      <w:r>
        <w:rPr>
          <w:rFonts w:hint="eastAsia" w:ascii="宋体" w:hAnsi="宋体" w:cs="宋体"/>
          <w:bCs/>
          <w:color w:val="000000"/>
          <w:kern w:val="2"/>
          <w:highlight w:val="none"/>
        </w:rPr>
        <w:t>指为投资者办理申购、赎回交易的日期。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确认日：</w:t>
      </w:r>
      <w:r>
        <w:rPr>
          <w:rFonts w:hint="eastAsia" w:ascii="宋体" w:hAnsi="宋体" w:cs="宋体"/>
          <w:bCs/>
          <w:color w:val="000000"/>
          <w:kern w:val="2"/>
          <w:highlight w:val="none"/>
        </w:rPr>
        <w:t>指管理人确认投资者申购</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lang w:val="en-US" w:eastAsia="zh-CN"/>
        </w:rPr>
        <w:t>赎回</w:t>
      </w:r>
      <w:r>
        <w:rPr>
          <w:rFonts w:hint="eastAsia" w:ascii="宋体" w:hAnsi="宋体" w:cs="宋体"/>
          <w:bCs/>
          <w:color w:val="000000"/>
          <w:kern w:val="2"/>
          <w:highlight w:val="none"/>
        </w:rPr>
        <w:t>交易是否有效的日期。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申购：</w:t>
      </w:r>
      <w:r>
        <w:rPr>
          <w:rFonts w:hint="eastAsia" w:ascii="宋体" w:hAnsi="宋体" w:cs="宋体"/>
          <w:bCs/>
          <w:color w:val="000000"/>
          <w:kern w:val="2"/>
          <w:highlight w:val="none"/>
        </w:rPr>
        <w:t>指理财计划申购开放期内，投资者向管理人进行理财计划份额购买的行为。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赎回：</w:t>
      </w:r>
      <w:r>
        <w:rPr>
          <w:rFonts w:hint="eastAsia" w:ascii="宋体" w:hAnsi="宋体" w:cs="宋体"/>
          <w:bCs/>
          <w:color w:val="000000"/>
          <w:kern w:val="2"/>
          <w:highlight w:val="none"/>
        </w:rPr>
        <w:t>指理财计划</w:t>
      </w:r>
      <w:r>
        <w:rPr>
          <w:rFonts w:hint="eastAsia" w:ascii="宋体" w:hAnsi="宋体" w:cs="宋体"/>
          <w:bCs/>
          <w:color w:val="000000"/>
          <w:kern w:val="2"/>
          <w:highlight w:val="none"/>
          <w:lang w:eastAsia="zh-CN"/>
        </w:rPr>
        <w:t>赎回</w:t>
      </w:r>
      <w:r>
        <w:rPr>
          <w:rFonts w:hint="eastAsia" w:ascii="宋体" w:hAnsi="宋体" w:cs="宋体"/>
          <w:bCs/>
          <w:color w:val="000000"/>
          <w:kern w:val="2"/>
          <w:highlight w:val="none"/>
        </w:rPr>
        <w:t>开放期内，投资者向管理人进行理财计划份额卖出的行为。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20"/>
        <w:numPr>
          <w:ilvl w:val="0"/>
          <w:numId w:val="12"/>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相关事件用语</w:t>
      </w:r>
    </w:p>
    <w:p>
      <w:pPr>
        <w:pStyle w:val="20"/>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000000"/>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numPr>
          <w:ilvl w:val="0"/>
          <w:numId w:val="0"/>
        </w:numPr>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激进型</w:t>
            </w:r>
          </w:p>
        </w:tc>
      </w:tr>
    </w:tbl>
    <w:p>
      <w:pPr>
        <w:pStyle w:val="20"/>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20"/>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000000"/>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杭银理财幸福99季添益1904期理财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季添益1904期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TYG3M1904</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Z7002221000275</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 w:val="21"/>
                <w:szCs w:val="21"/>
                <w:highlight w:val="none"/>
              </w:rPr>
              <w:t>。</w:t>
            </w:r>
            <w:r>
              <w:rPr>
                <w:rFonts w:hint="eastAsia" w:ascii="宋体" w:hAnsi="宋体" w:cs="宋体"/>
                <w:bCs/>
                <w:color w:val="000000"/>
                <w:kern w:val="2"/>
                <w:sz w:val="21"/>
                <w:szCs w:val="21"/>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A份额（销售代码〖TYG3M1904〗）：普通个人投资者和机构客户。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B份额（销售代码〖TYG3M1904B〗）：高净值等特邀客户专属。</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C份额（销售代码〖TYG3M1904C〗）：特定客群专属。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12</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18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19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〖A份额〗起点〖1〗元整，超过认购/申购起点部分，应为〖1〗元的整数倍。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〖B份额〗起点〖20〗万元整，超过认购/申购起点部分，应为〖1〗元的整数倍。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〖C份额〗起点〖1〗元整，超过认购/申购起点部分，应为〖1〗元的整数倍。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〖2〗千万元</w:t>
            </w:r>
            <w:r>
              <w:rPr>
                <w:rFonts w:hint="eastAsia" w:ascii="宋体" w:hAnsi="宋体" w:cs="宋体"/>
                <w:color w:val="000000"/>
                <w:sz w:val="21"/>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理财计划〖</w:t>
            </w:r>
            <w:r>
              <w:rPr>
                <w:rFonts w:hint="eastAsia" w:ascii="宋体" w:hAnsi="宋体" w:eastAsia="宋体" w:cs="宋体"/>
                <w:color w:val="000000"/>
                <w:kern w:val="2"/>
                <w:sz w:val="21"/>
                <w:szCs w:val="21"/>
                <w:highlight w:val="none"/>
                <w:lang w:val="en-US" w:eastAsia="zh-CN" w:bidi="ar-SA"/>
              </w:rPr>
              <w:t>每季</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开放一次，</w:t>
            </w:r>
            <w:r>
              <w:rPr>
                <w:rFonts w:hint="eastAsia" w:ascii="宋体" w:hAnsi="宋体" w:cs="宋体"/>
                <w:color w:val="000000"/>
                <w:sz w:val="21"/>
                <w:szCs w:val="21"/>
                <w:highlight w:val="none"/>
              </w:rPr>
              <w:t>具体开放期将以管理人公告为准</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如遇开放确认日为非工作日，则顺延至</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FF0000"/>
                <w:sz w:val="21"/>
                <w:szCs w:val="21"/>
                <w:highlight w:val="none"/>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〗上午〖9:00〗至下午〖17:00〗。确认日如遇非〖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3.认购/开放期内提交的交易申请，在理财计划成立日/确认日前一日下午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4.上述交易安排如有调整，请以管理人公告为准。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5.如投资者在一个投资周期开放期内未提出赎回申请，则该投资周期终止后，投资者的理财资金继续进入下一个投资周期进行理财运作。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理财计划存续期内，若理财计划开放日净赎回申请份额超过上一日日终理财计划总份额〖10%〗时，管理人有权暂停或拒绝接受赎回申请，并最迟于下一工作日进行对外公告。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rPr>
            </w:pPr>
            <w:r>
              <w:rPr>
                <w:rFonts w:hint="eastAsia" w:ascii="宋体" w:hAnsi="宋体" w:cs="宋体"/>
                <w:color w:val="000000"/>
                <w:sz w:val="21"/>
                <w:szCs w:val="21"/>
                <w:highlight w:val="none"/>
                <w:lang w:val="en-US" w:eastAsia="zh-CN"/>
              </w:rPr>
              <w:t>1.单户持有份额</w:t>
            </w:r>
            <w:r>
              <w:rPr>
                <w:rFonts w:hint="eastAsia" w:ascii="宋体" w:hAnsi="宋体" w:cs="宋体"/>
                <w:color w:val="000000"/>
                <w:sz w:val="21"/>
                <w:szCs w:val="21"/>
                <w:highlight w:val="none"/>
              </w:rPr>
              <w:t>〖</w:t>
            </w:r>
            <w:r>
              <w:rPr>
                <w:rFonts w:hint="eastAsia"/>
                <w:color w:val="000000"/>
                <w:lang w:eastAsia="zh-CN"/>
              </w:rPr>
              <w:t>b</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a.可以超过理财计划总份额的50%，但理财计划不得向个人投资者公开销售。</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b.不得超过理财计划总份额的50%。</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kern w:val="2"/>
                <w:sz w:val="21"/>
                <w:szCs w:val="21"/>
                <w:highlight w:val="none"/>
                <w:lang w:val="en-US" w:eastAsia="zh-CN" w:bidi="ar-SA"/>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kern w:val="2"/>
                <w:sz w:val="21"/>
                <w:szCs w:val="21"/>
                <w:highlight w:val="none"/>
                <w:lang w:val="en-US" w:eastAsia="zh-CN" w:bidi="ar-SA"/>
              </w:rPr>
              <w:t>〖A份额〗单户持有上限为〖1〗亿元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〖C份额〗单户持有上限为〖1〗亿元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color w:val="000000"/>
                <w:sz w:val="21"/>
                <w:szCs w:val="21"/>
                <w:highlight w:val="none"/>
              </w:rPr>
              <w:t>申购份额=申购金额÷确认日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color w:val="000000"/>
                <w:sz w:val="21"/>
                <w:szCs w:val="21"/>
                <w:highlight w:val="none"/>
              </w:rPr>
              <w:t>回份额×确认日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理财计划总份额，单位净值〖保留小数点后四位〗</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四位后去尾</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eastAsia="宋体" w:cs="宋体"/>
                <w:color w:val="000000"/>
                <w:kern w:val="2"/>
                <w:sz w:val="21"/>
                <w:szCs w:val="21"/>
                <w:highlight w:val="none"/>
                <w:lang w:val="en-US" w:eastAsia="zh-CN" w:bidi="ar-SA"/>
              </w:rPr>
              <w:t>〖确认日当日〗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highlight w:val="none"/>
                <w:lang w:val="en-US" w:eastAsia="zh-CN" w:bidi="ar-SA"/>
              </w:rPr>
              <w:t>确认日后〖2〗个〖工作日〗内</w:t>
            </w:r>
            <w:r>
              <w:rPr>
                <w:rFonts w:hint="eastAsia" w:ascii="宋体" w:hAnsi="宋体" w:cs="宋体"/>
                <w:color w:val="000000"/>
                <w:sz w:val="21"/>
                <w:szCs w:val="21"/>
                <w:highlight w:val="none"/>
              </w:rPr>
              <w:t>（遇节假日顺延）支付。如遇资金在途或法定工作日调整，实际资金到账日以公告为准。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lang w:val="en-US" w:eastAsia="zh-CN" w:bidi="ar"/>
              </w:rPr>
              <w:t>〖3〗个〖工作日〗</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color w:val="000000"/>
                <w:sz w:val="21"/>
                <w:szCs w:val="21"/>
                <w:highlight w:val="none"/>
                <w:lang w:eastAsia="zh-CN"/>
              </w:rPr>
              <w:t>不</w:t>
            </w:r>
            <w:r>
              <w:rPr>
                <w:rFonts w:hint="eastAsia" w:ascii="宋体" w:hAnsi="宋体" w:cs="宋体"/>
                <w:color w:val="000000"/>
                <w:sz w:val="21"/>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本理财计划〖A份额〗业绩比较基准为〖中国人民银行公布的1年期定期存款利率〗（年化）。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本理财计划〖B份额〗业绩比较基准为〖中国人民银行公布的1年期定期存款利率〗（年化）。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本理财计划〖C份额〗业绩比较基准为〖中国人民银行公布的1年期定期存款利率〗（年化）。</w:t>
            </w:r>
          </w:p>
          <w:p>
            <w:pPr>
              <w:keepNext w:val="0"/>
              <w:keepLines w:val="0"/>
              <w:widowControl w:val="0"/>
              <w:suppressLineNumbers w:val="0"/>
              <w:spacing w:before="0" w:beforeAutospacing="0" w:after="0" w:afterAutospacing="0" w:line="360" w:lineRule="auto"/>
              <w:ind w:left="0" w:right="0"/>
              <w:jc w:val="both"/>
              <w:rPr>
                <w:rFonts w:hint="eastAsia" w:ascii="宋体" w:hAnsi="宋体" w:cs="宋体"/>
                <w:b/>
                <w:bCs/>
                <w:color w:val="FF0000"/>
                <w:sz w:val="21"/>
                <w:szCs w:val="21"/>
                <w:highlight w:val="none"/>
              </w:rPr>
            </w:pPr>
            <w:r>
              <w:rPr>
                <w:rFonts w:hint="eastAsia" w:ascii="宋体" w:hAnsi="宋体" w:cs="宋体"/>
                <w:b/>
                <w:bCs/>
                <w:color w:val="000000"/>
                <w:sz w:val="21"/>
                <w:szCs w:val="21"/>
                <w:highlight w:val="none"/>
              </w:rPr>
              <w:t>业绩基准测算依据：</w:t>
            </w:r>
            <w:r>
              <w:rPr>
                <w:rFonts w:hint="eastAsia" w:ascii="宋体" w:hAnsi="宋体" w:eastAsia="宋体" w:cs="宋体"/>
                <w:b/>
                <w:bCs/>
                <w:color w:val="000000"/>
                <w:kern w:val="2"/>
                <w:sz w:val="21"/>
                <w:szCs w:val="21"/>
                <w:lang w:val="en-US" w:eastAsia="zh-CN" w:bidi="ar"/>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r>
              <w:rPr>
                <w:rFonts w:hint="eastAsia" w:ascii="宋体" w:hAnsi="宋体" w:cs="宋体"/>
                <w:b/>
                <w:bCs/>
                <w:color w:val="000000"/>
                <w:sz w:val="21"/>
                <w:szCs w:val="21"/>
                <w:highlight w:val="none"/>
              </w:rPr>
              <w:t>。</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1"/>
                <w:szCs w:val="21"/>
                <w:highlight w:val="none"/>
              </w:rPr>
            </w:pPr>
            <w:r>
              <w:rPr>
                <w:rFonts w:hint="eastAsia" w:ascii="宋体" w:hAnsi="宋体" w:cs="宋体"/>
                <w:color w:val="000000"/>
                <w:sz w:val="21"/>
                <w:szCs w:val="21"/>
                <w:highlight w:val="none"/>
              </w:rPr>
              <w:t>管理人有权根据市场情况及</w:t>
            </w:r>
            <w:r>
              <w:rPr>
                <w:rFonts w:hint="eastAsia" w:ascii="宋体" w:hAnsi="宋体" w:cs="宋体"/>
                <w:color w:val="000000"/>
                <w:sz w:val="21"/>
                <w:szCs w:val="21"/>
                <w:highlight w:val="none"/>
                <w:lang w:eastAsia="zh-CN"/>
              </w:rPr>
              <w:t>理财计划</w:t>
            </w:r>
            <w:r>
              <w:rPr>
                <w:rFonts w:hint="eastAsia" w:ascii="宋体" w:hAnsi="宋体" w:cs="宋体"/>
                <w:color w:val="000000"/>
                <w:sz w:val="21"/>
                <w:szCs w:val="21"/>
                <w:highlight w:val="none"/>
              </w:rPr>
              <w:t>运作情况调整业绩基准，并至少于新业绩基准启用前</w:t>
            </w:r>
            <w:r>
              <w:rPr>
                <w:rFonts w:hint="eastAsia" w:ascii="宋体" w:hAnsi="宋体" w:cs="宋体"/>
                <w:color w:val="000000"/>
                <w:kern w:val="0"/>
                <w:sz w:val="21"/>
                <w:szCs w:val="21"/>
                <w:highlight w:val="none"/>
              </w:rPr>
              <w:t>〖</w:t>
            </w: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w:t>
            </w:r>
            <w:r>
              <w:rPr>
                <w:rFonts w:hint="eastAsia" w:ascii="宋体" w:hAnsi="宋体" w:cs="宋体"/>
                <w:color w:val="000000"/>
                <w:sz w:val="21"/>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
                <w:color w:val="000000"/>
                <w:sz w:val="21"/>
                <w:szCs w:val="21"/>
                <w:highlight w:val="none"/>
              </w:rPr>
              <w:t>本理财计划为净值型理财产品，其业绩表现将随市场波动具有不确定性。本公司提醒投资者关注，业绩比较基准</w:t>
            </w:r>
            <w:r>
              <w:rPr>
                <w:rFonts w:hint="eastAsia" w:ascii="宋体" w:hAnsi="宋体" w:cs="宋体"/>
                <w:b/>
                <w:color w:val="000000"/>
                <w:sz w:val="21"/>
                <w:szCs w:val="21"/>
                <w:highlight w:val="none"/>
                <w:lang w:eastAsia="zh-CN"/>
              </w:rPr>
              <w:t>不是预期收益率，</w:t>
            </w:r>
            <w:r>
              <w:rPr>
                <w:rFonts w:hint="eastAsia" w:ascii="宋体" w:hAnsi="宋体" w:cs="宋体"/>
                <w:b/>
                <w:color w:val="000000"/>
                <w:sz w:val="21"/>
                <w:szCs w:val="21"/>
                <w:highlight w:val="none"/>
              </w:rPr>
              <w:t>并不代表</w:t>
            </w:r>
            <w:r>
              <w:rPr>
                <w:rFonts w:hint="eastAsia" w:ascii="宋体" w:hAnsi="宋体" w:cs="宋体"/>
                <w:b/>
                <w:color w:val="000000"/>
                <w:sz w:val="21"/>
                <w:szCs w:val="21"/>
                <w:highlight w:val="none"/>
                <w:lang w:eastAsia="zh-CN"/>
              </w:rPr>
              <w:t>理财计划的未来表现和</w:t>
            </w:r>
            <w:r>
              <w:rPr>
                <w:rFonts w:hint="eastAsia" w:ascii="宋体" w:hAnsi="宋体" w:cs="宋体"/>
                <w:b/>
                <w:color w:val="000000"/>
                <w:sz w:val="21"/>
                <w:szCs w:val="21"/>
                <w:highlight w:val="none"/>
              </w:rPr>
              <w:t>实际收益率</w:t>
            </w:r>
            <w:r>
              <w:rPr>
                <w:rFonts w:hint="eastAsia" w:ascii="宋体" w:hAnsi="宋体" w:cs="宋体"/>
                <w:b/>
                <w:color w:val="000000"/>
                <w:sz w:val="21"/>
                <w:szCs w:val="21"/>
                <w:highlight w:val="none"/>
                <w:lang w:eastAsia="zh-CN"/>
              </w:rPr>
              <w:t>，不构成对理财计划收益的承诺</w:t>
            </w:r>
            <w:r>
              <w:rPr>
                <w:rFonts w:hint="eastAsia" w:ascii="宋体" w:hAnsi="宋体" w:cs="宋体"/>
                <w:b/>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〖B份额〗收取年化〖0.25%〗的销售服务费, 〖C份额〗收取年化〖0.20%〗的销售服务费。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〖C份额〗收取年化〖0.30%〗的固定管理费。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color w:val="000000"/>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color w:val="000000"/>
                <w:sz w:val="21"/>
                <w:szCs w:val="21"/>
                <w:highlight w:val="none"/>
              </w:rPr>
              <w:t>6.赎回费：</w:t>
            </w:r>
            <w:r>
              <w:rPr>
                <w:rFonts w:hint="eastAsia" w:ascii="宋体" w:hAnsi="宋体" w:cs="宋体"/>
                <w:color w:val="000000"/>
                <w:sz w:val="21"/>
                <w:szCs w:val="21"/>
                <w:highlight w:val="none"/>
              </w:rPr>
              <w:t>本理财计划免除赎回费。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A份额〗投资周期的折合年化收益率超过〖2.25%〗的部分，管理人提取〖50%〗作为浮动管理费；〖B份额〗投资周期的折合年化收益率超过〖2.3%〗的部分，管理人提取〖50%〗作为浮动管理费；〖C份额〗投资周期的折合年化收益率超过〖2.35%〗的部分，管理人提取〖50%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本理财计划主要投资于符合监管要求的各类资产：</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1. 固定收益类资产：包括但不限于各类债券、存款、货币市场金融工具、债券基金、质押式及买断式回购，其他符合监管要求的固定收益类资产及资产管理产品。</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 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本理财计划各投资资产占</w:t>
      </w:r>
      <w:r>
        <w:rPr>
          <w:rFonts w:hint="eastAsia" w:ascii="宋体" w:hAnsi="宋体" w:cs="宋体"/>
          <w:bCs/>
          <w:color w:val="000000"/>
          <w:sz w:val="24"/>
          <w:highlight w:val="none"/>
          <w:lang w:eastAsia="zh-CN"/>
        </w:rPr>
        <w:t>总</w:t>
      </w:r>
      <w:r>
        <w:rPr>
          <w:rFonts w:hint="eastAsia" w:ascii="宋体" w:hAnsi="宋体" w:cs="宋体"/>
          <w:bCs/>
          <w:color w:val="000000"/>
          <w:sz w:val="24"/>
          <w:highlight w:val="none"/>
        </w:rPr>
        <w:t>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p>
        </w:tc>
        <w:tc>
          <w:tcPr>
            <w:tcW w:w="4500" w:type="dxa"/>
            <w:vAlign w:val="center"/>
          </w:tcPr>
          <w:p>
            <w:pPr>
              <w:jc w:val="center"/>
              <w:textAlignment w:val="center"/>
            </w:pPr>
            <w:r>
              <w:rPr>
                <w:rFonts w:ascii="宋体" w:hAnsi="宋体" w:eastAsia="宋体" w:cs="宋体"/>
              </w:rPr>
              <w:t>投资资产</w:t>
            </w:r>
          </w:p>
        </w:tc>
        <w:tc>
          <w:tcPr>
            <w:tcW w:w="2000" w:type="dxa"/>
            <w:vAlign w:val="center"/>
          </w:tcPr>
          <w:p>
            <w:pPr>
              <w:jc w:val="center"/>
              <w:textAlignment w:val="center"/>
            </w:pPr>
            <w:r>
              <w:rPr>
                <w:rFonts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restart"/>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固定收益类资产</w:t>
            </w:r>
          </w:p>
        </w:tc>
        <w:tc>
          <w:tcPr>
            <w:tcW w:w="2000" w:type="dxa"/>
            <w:vAlign w:val="center"/>
          </w:tcPr>
          <w:p>
            <w:pPr>
              <w:jc w:val="center"/>
              <w:textAlignment w:val="center"/>
            </w:pPr>
            <w:r>
              <w:rPr>
                <w:rFonts w:ascii="宋体" w:hAnsi="宋体" w:eastAsia="宋体" w:cs="宋体"/>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continue"/>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权益类资产</w:t>
            </w:r>
          </w:p>
        </w:tc>
        <w:tc>
          <w:tcPr>
            <w:tcW w:w="2000" w:type="dxa"/>
            <w:vAlign w:val="center"/>
          </w:tcPr>
          <w:p>
            <w:pPr>
              <w:jc w:val="center"/>
              <w:textAlignment w:val="center"/>
            </w:pPr>
            <w:r>
              <w:rPr>
                <w:rFonts w:ascii="宋体" w:hAnsi="宋体" w:eastAsia="宋体" w:cs="宋体"/>
              </w:rPr>
              <w:t>0%-20%</w:t>
            </w:r>
          </w:p>
        </w:tc>
      </w:tr>
    </w:tbl>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本理财计划特殊资产类型为基于大类资产类型项下的进一步细化分类，其配置比例不得超过大类资产配置比例。</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在</w:t>
      </w:r>
      <w:r>
        <w:rPr>
          <w:rFonts w:hint="eastAsia" w:ascii="宋体" w:hAnsi="宋体" w:cs="宋体"/>
          <w:bCs/>
          <w:color w:val="000000"/>
          <w:kern w:val="2"/>
          <w:highlight w:val="none"/>
        </w:rPr>
        <w:t>理财计划存续期间如遇市场变化导致各类投资品投资比例暂时超出以上范围，为保护投资者利益，管理人将在流动性受限资产可出售、可转让或者恢复交易的15个交易日内调整至上述比例范围。</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20"/>
        <w:numPr>
          <w:ilvl w:val="0"/>
          <w:numId w:val="21"/>
        </w:numPr>
        <w:adjustRightInd/>
        <w:spacing w:line="360" w:lineRule="auto"/>
        <w:ind w:firstLine="458" w:firstLineChars="190"/>
        <w:rPr>
          <w:rFonts w:hint="eastAsia" w:ascii="宋体" w:hAnsi="宋体" w:cs="宋体"/>
          <w:bCs/>
          <w:color w:val="auto"/>
          <w:kern w:val="2"/>
          <w:highlight w:val="none"/>
          <w:lang w:val="en-US" w:eastAsia="zh-CN"/>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投资策略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hAnsi="宋体" w:eastAsia="宋体" w:cs="宋体"/>
          <w:b/>
          <w:bCs/>
          <w:color w:val="000000"/>
          <w:kern w:val="2"/>
          <w:sz w:val="24"/>
          <w:szCs w:val="24"/>
          <w:lang w:val="en-US" w:eastAsia="zh-CN" w:bidi="ar"/>
        </w:rPr>
        <w:t>本产品还可能根据市场行情，在监管政策允许的范围内，在适当的时机投资不高于理财产品总资产的</w:t>
      </w:r>
      <w:r>
        <w:rPr>
          <w:rFonts w:hint="eastAsia" w:ascii="宋体" w:hAnsi="Calibri" w:eastAsia="宋体" w:cs="宋体"/>
          <w:b/>
          <w:bCs/>
          <w:color w:val="000000"/>
          <w:kern w:val="2"/>
          <w:sz w:val="24"/>
          <w:szCs w:val="24"/>
          <w:lang w:val="en-US" w:eastAsia="zh-CN" w:bidi="ar"/>
        </w:rPr>
        <w:t>20%的资金于其他资产</w:t>
      </w:r>
      <w:r>
        <w:rPr>
          <w:rFonts w:hint="eastAsia" w:ascii="宋体" w:hAnsi="宋体" w:cs="宋体"/>
          <w:bCs/>
          <w:color w:val="000000"/>
          <w:sz w:val="24"/>
          <w:highlight w:val="none"/>
        </w:rPr>
        <w:t>。</w:t>
      </w:r>
    </w:p>
    <w:p>
      <w:pPr>
        <w:numPr>
          <w:ilvl w:val="0"/>
          <w:numId w:val="2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val="0"/>
          <w:bCs/>
          <w:sz w:val="24"/>
          <w:highlight w:val="none"/>
          <w:lang w:val="en-US" w:eastAsia="zh-CN"/>
        </w:rPr>
      </w:pPr>
      <w:r>
        <w:rPr>
          <w:rFonts w:hint="eastAsia" w:ascii="宋体" w:hAnsi="宋体" w:cs="宋体"/>
          <w:b w:val="0"/>
          <w:bCs/>
          <w:color w:val="000000"/>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管理人</w:t>
      </w:r>
      <w:r>
        <w:rPr>
          <w:rFonts w:hint="eastAsia" w:ascii="宋体" w:hAnsi="宋体" w:cs="宋体"/>
          <w:bCs/>
          <w:color w:val="000000"/>
          <w:sz w:val="24"/>
          <w:highlight w:val="none"/>
        </w:rPr>
        <w:t>发行的全部</w:t>
      </w:r>
      <w:r>
        <w:rPr>
          <w:rFonts w:hint="eastAsia" w:ascii="宋体" w:hAnsi="宋体"/>
          <w:color w:val="000000"/>
          <w:sz w:val="24"/>
          <w:highlight w:val="none"/>
        </w:rPr>
        <w:t>开放式公募</w:t>
      </w:r>
      <w:r>
        <w:rPr>
          <w:rFonts w:hint="eastAsia" w:ascii="宋体" w:hAnsi="宋体" w:cs="宋体"/>
          <w:bCs/>
          <w:color w:val="000000"/>
          <w:sz w:val="24"/>
          <w:highlight w:val="none"/>
        </w:rPr>
        <w:t>理财计划</w:t>
      </w:r>
      <w:r>
        <w:rPr>
          <w:rFonts w:hint="eastAsia" w:ascii="宋体" w:hAnsi="宋体"/>
          <w:color w:val="000000"/>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流动性限制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b</w:t>
      </w:r>
      <w:r>
        <w:rPr>
          <w:rFonts w:hint="eastAsia" w:ascii="宋体" w:hAnsi="宋体" w:cs="宋体"/>
          <w:bCs/>
          <w:color w:val="000000"/>
          <w:sz w:val="24"/>
          <w:highlight w:val="none"/>
        </w:rPr>
        <w:t>】</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应当持有不低于该理财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color w:val="000000"/>
          <w:sz w:val="24"/>
          <w:highlight w:val="none"/>
          <w:lang w:val="en-US" w:eastAsia="zh-CN"/>
        </w:rPr>
        <w:t>本理财计划不存在活跃交易市场，并且需要采用估值技术确定公允价值的资产比例不得超过理财产品净资产50%以上。</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color w:val="000000"/>
          <w:sz w:val="24"/>
          <w:highlight w:val="none"/>
          <w:lang w:val="en-US" w:eastAsia="zh-CN"/>
        </w:rPr>
        <w:t>在开放日前一工作日内，本理财计划7个工作日可变现资产的可变现价值应当不低于该理财计划资产净值的10%。</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9"/>
        <w:rPr>
          <w:rFonts w:hint="eastAsia" w:ascii="宋体" w:hAnsi="宋体" w:cs="宋体"/>
          <w:b/>
          <w:bCs w:val="0"/>
          <w:sz w:val="24"/>
          <w:highlight w:val="none"/>
        </w:rPr>
      </w:pPr>
      <w:r>
        <w:rPr>
          <w:rFonts w:hint="eastAsia" w:ascii="宋体" w:hAnsi="宋体" w:cs="宋体"/>
          <w:b/>
          <w:bCs w:val="0"/>
          <w:color w:val="00000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合作机构及主要职责</w:t>
      </w: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托管人</w:t>
      </w:r>
    </w:p>
    <w:tbl>
      <w:tblPr>
        <w:tblStyle w:val="11"/>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3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销售机构</w:t>
      </w:r>
    </w:p>
    <w:tbl>
      <w:tblPr>
        <w:tblStyle w:val="11"/>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东莞银行股份有限公司</w:t>
            </w:r>
          </w:p>
        </w:tc>
        <w:tc>
          <w:tcPr>
            <w:tcW w:w="1200" w:type="dxa"/>
            <w:vAlign w:val="center"/>
          </w:tcPr>
          <w:p>
            <w:pPr>
              <w:jc w:val="left"/>
            </w:pPr>
            <w:r>
              <w:t>住所</w:t>
            </w:r>
          </w:p>
        </w:tc>
        <w:tc>
          <w:tcPr>
            <w:tcW w:w="3800" w:type="dxa"/>
            <w:vAlign w:val="center"/>
          </w:tcPr>
          <w:p>
            <w:pPr>
              <w:jc w:val="center"/>
            </w:pPr>
            <w:r>
              <w:t>东莞市莞城区体育路21号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0769-22865171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东营银行股份有限公司</w:t>
            </w:r>
          </w:p>
        </w:tc>
        <w:tc>
          <w:tcPr>
            <w:tcW w:w="1200" w:type="dxa"/>
            <w:vAlign w:val="center"/>
          </w:tcPr>
          <w:p>
            <w:pPr>
              <w:jc w:val="left"/>
            </w:pPr>
            <w:r>
              <w:t>住所</w:t>
            </w:r>
          </w:p>
        </w:tc>
        <w:tc>
          <w:tcPr>
            <w:tcW w:w="3800" w:type="dxa"/>
            <w:vAlign w:val="center"/>
          </w:tcPr>
          <w:p>
            <w:pPr>
              <w:jc w:val="center"/>
            </w:pPr>
            <w: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中信百信银行股份有限公司</w:t>
            </w:r>
          </w:p>
        </w:tc>
        <w:tc>
          <w:tcPr>
            <w:tcW w:w="1200" w:type="dxa"/>
            <w:vAlign w:val="center"/>
          </w:tcPr>
          <w:p>
            <w:pPr>
              <w:jc w:val="left"/>
            </w:pPr>
            <w:r>
              <w:t>住所</w:t>
            </w:r>
          </w:p>
        </w:tc>
        <w:tc>
          <w:tcPr>
            <w:tcW w:w="3800" w:type="dxa"/>
            <w:vAlign w:val="center"/>
          </w:tcPr>
          <w:p>
            <w:pPr>
              <w:jc w:val="center"/>
            </w:pPr>
            <w:r>
              <w:t>北京市朝阳区安定路5号院3号楼8层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中国邮政储蓄银行股份有限公司</w:t>
            </w:r>
          </w:p>
        </w:tc>
        <w:tc>
          <w:tcPr>
            <w:tcW w:w="1200" w:type="dxa"/>
            <w:vAlign w:val="center"/>
          </w:tcPr>
          <w:p>
            <w:pPr>
              <w:jc w:val="left"/>
            </w:pPr>
            <w:r>
              <w:t>住所</w:t>
            </w:r>
          </w:p>
        </w:tc>
        <w:tc>
          <w:tcPr>
            <w:tcW w:w="3800" w:type="dxa"/>
            <w:vAlign w:val="center"/>
          </w:tcPr>
          <w:p>
            <w:pPr>
              <w:jc w:val="center"/>
            </w:pPr>
            <w:r>
              <w:t>北京市西城区金融大街3号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中邮邮惠万家银行有限责任公司</w:t>
            </w:r>
          </w:p>
        </w:tc>
        <w:tc>
          <w:tcPr>
            <w:tcW w:w="1200" w:type="dxa"/>
            <w:vAlign w:val="center"/>
          </w:tcPr>
          <w:p>
            <w:pPr>
              <w:jc w:val="left"/>
            </w:pPr>
            <w:r>
              <w:t>住所</w:t>
            </w:r>
          </w:p>
        </w:tc>
        <w:tc>
          <w:tcPr>
            <w:tcW w:w="3800" w:type="dxa"/>
            <w:vAlign w:val="center"/>
          </w:tcPr>
          <w:p>
            <w:pPr>
              <w:jc w:val="center"/>
            </w:pPr>
            <w:r>
              <w:t>上海市虹口区东大名路1080号25层、26层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佛山农村商业银行股份有限公司</w:t>
            </w:r>
          </w:p>
        </w:tc>
        <w:tc>
          <w:tcPr>
            <w:tcW w:w="1200" w:type="dxa"/>
            <w:vAlign w:val="center"/>
          </w:tcPr>
          <w:p>
            <w:pPr>
              <w:jc w:val="left"/>
            </w:pPr>
            <w:r>
              <w:t>住所</w:t>
            </w:r>
          </w:p>
        </w:tc>
        <w:tc>
          <w:tcPr>
            <w:tcW w:w="3800" w:type="dxa"/>
            <w:vAlign w:val="center"/>
          </w:tcPr>
          <w:p>
            <w:pPr>
              <w:jc w:val="center"/>
            </w:pPr>
            <w:r>
              <w:t>佛山市禅城区华远东路5号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0757-83032251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兴业银行股份有限公司</w:t>
            </w:r>
          </w:p>
        </w:tc>
        <w:tc>
          <w:tcPr>
            <w:tcW w:w="1200" w:type="dxa"/>
            <w:vAlign w:val="center"/>
          </w:tcPr>
          <w:p>
            <w:pPr>
              <w:jc w:val="left"/>
            </w:pPr>
            <w:r>
              <w:t>住所</w:t>
            </w:r>
          </w:p>
        </w:tc>
        <w:tc>
          <w:tcPr>
            <w:tcW w:w="3800" w:type="dxa"/>
            <w:vAlign w:val="center"/>
          </w:tcPr>
          <w:p>
            <w:pPr>
              <w:jc w:val="center"/>
            </w:pPr>
            <w:r>
              <w:t>福建省福州市台江区江滨中大道39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0591-87844196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四川新网银行股份有限公司</w:t>
            </w:r>
          </w:p>
        </w:tc>
        <w:tc>
          <w:tcPr>
            <w:tcW w:w="1200" w:type="dxa"/>
            <w:vAlign w:val="center"/>
          </w:tcPr>
          <w:p>
            <w:pPr>
              <w:jc w:val="left"/>
            </w:pPr>
            <w:r>
              <w:t>住所</w:t>
            </w:r>
          </w:p>
        </w:tc>
        <w:tc>
          <w:tcPr>
            <w:tcW w:w="3800" w:type="dxa"/>
            <w:vAlign w:val="center"/>
          </w:tcPr>
          <w:p>
            <w:pPr>
              <w:jc w:val="center"/>
            </w:pPr>
            <w:r>
              <w:t>成都高新区吉泰三路8号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95394</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宁夏银行股份有限公司</w:t>
            </w:r>
          </w:p>
        </w:tc>
        <w:tc>
          <w:tcPr>
            <w:tcW w:w="1200" w:type="dxa"/>
            <w:vAlign w:val="center"/>
          </w:tcPr>
          <w:p>
            <w:pPr>
              <w:jc w:val="left"/>
            </w:pPr>
            <w:r>
              <w:t>住所</w:t>
            </w:r>
          </w:p>
        </w:tc>
        <w:tc>
          <w:tcPr>
            <w:tcW w:w="3800" w:type="dxa"/>
            <w:vAlign w:val="center"/>
          </w:tcPr>
          <w:p>
            <w:pPr>
              <w:jc w:val="center"/>
            </w:pPr>
            <w:r>
              <w:t>银川市金凤区北京中路157号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宁波奉化农村商业银行股份有限公司</w:t>
            </w:r>
          </w:p>
        </w:tc>
        <w:tc>
          <w:tcPr>
            <w:tcW w:w="1200" w:type="dxa"/>
            <w:vAlign w:val="center"/>
          </w:tcPr>
          <w:p>
            <w:pPr>
              <w:jc w:val="left"/>
            </w:pPr>
            <w:r>
              <w:t>住所</w:t>
            </w:r>
          </w:p>
        </w:tc>
        <w:tc>
          <w:tcPr>
            <w:tcW w:w="3800" w:type="dxa"/>
            <w:vAlign w:val="center"/>
          </w:tcPr>
          <w:p>
            <w:pPr>
              <w:jc w:val="center"/>
            </w:pPr>
            <w:r>
              <w:t>宁波市奉化区锦屏街道中山路27号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宁波宁海农村商业银行股份有限公司</w:t>
            </w:r>
          </w:p>
        </w:tc>
        <w:tc>
          <w:tcPr>
            <w:tcW w:w="1200" w:type="dxa"/>
            <w:vAlign w:val="center"/>
          </w:tcPr>
          <w:p>
            <w:pPr>
              <w:jc w:val="left"/>
            </w:pPr>
            <w:r>
              <w:t>住所</w:t>
            </w:r>
          </w:p>
        </w:tc>
        <w:tc>
          <w:tcPr>
            <w:tcW w:w="3800" w:type="dxa"/>
            <w:vAlign w:val="center"/>
          </w:tcPr>
          <w:p>
            <w:pPr>
              <w:jc w:val="center"/>
            </w:pPr>
            <w:r>
              <w:t>宁海县跃龙街道学勉路1号（金融中心1903）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0574-83522699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宁波甬城农村商业银行股份有限公司</w:t>
            </w:r>
          </w:p>
        </w:tc>
        <w:tc>
          <w:tcPr>
            <w:tcW w:w="1200" w:type="dxa"/>
            <w:vAlign w:val="center"/>
          </w:tcPr>
          <w:p>
            <w:pPr>
              <w:jc w:val="left"/>
            </w:pPr>
            <w:r>
              <w:t>住所</w:t>
            </w:r>
          </w:p>
        </w:tc>
        <w:tc>
          <w:tcPr>
            <w:tcW w:w="3800" w:type="dxa"/>
            <w:vAlign w:val="center"/>
          </w:tcPr>
          <w:p>
            <w:pPr>
              <w:jc w:val="center"/>
            </w:pPr>
            <w:r>
              <w:t>浙江省宁波市江北区育才路15、17号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0574-87667888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宁波象山农村商业银行股份有限公司</w:t>
            </w:r>
          </w:p>
        </w:tc>
        <w:tc>
          <w:tcPr>
            <w:tcW w:w="1200" w:type="dxa"/>
            <w:vAlign w:val="center"/>
          </w:tcPr>
          <w:p>
            <w:pPr>
              <w:jc w:val="left"/>
            </w:pPr>
            <w:r>
              <w:t>住所</w:t>
            </w:r>
          </w:p>
        </w:tc>
        <w:tc>
          <w:tcPr>
            <w:tcW w:w="3800" w:type="dxa"/>
            <w:vAlign w:val="center"/>
          </w:tcPr>
          <w:p>
            <w:pPr>
              <w:jc w:val="center"/>
            </w:pPr>
            <w:r>
              <w:t>宁波市象山县丹东街道天安路985号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0574-65654662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富邦华一银行有限公司</w:t>
            </w:r>
          </w:p>
        </w:tc>
        <w:tc>
          <w:tcPr>
            <w:tcW w:w="1200" w:type="dxa"/>
            <w:vAlign w:val="center"/>
          </w:tcPr>
          <w:p>
            <w:pPr>
              <w:jc w:val="left"/>
            </w:pPr>
            <w:r>
              <w:t>住所</w:t>
            </w:r>
          </w:p>
        </w:tc>
        <w:tc>
          <w:tcPr>
            <w:tcW w:w="3800" w:type="dxa"/>
            <w:vAlign w:val="center"/>
          </w:tcPr>
          <w:p>
            <w:pPr>
              <w:jc w:val="center"/>
            </w:pPr>
            <w:r>
              <w:t>中国(上海)自由贸易试验区世纪大道1168号A座101室、18楼、19楼及20楼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021-962811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广东南粤银行股份有限公司</w:t>
            </w:r>
          </w:p>
        </w:tc>
        <w:tc>
          <w:tcPr>
            <w:tcW w:w="1200" w:type="dxa"/>
            <w:vAlign w:val="center"/>
          </w:tcPr>
          <w:p>
            <w:pPr>
              <w:jc w:val="left"/>
            </w:pPr>
            <w:r>
              <w:t>住所</w:t>
            </w:r>
          </w:p>
        </w:tc>
        <w:tc>
          <w:tcPr>
            <w:tcW w:w="3800" w:type="dxa"/>
            <w:vAlign w:val="center"/>
          </w:tcPr>
          <w:p>
            <w:pPr>
              <w:jc w:val="center"/>
            </w:pPr>
            <w:r>
              <w:t>湛江经济技术开发区乐山路27号财富汇金融中心1层01、02号商铺、2层01号商铺、3层01号商铺、39-45层办公室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0759-3309100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广州银行股份有限公司</w:t>
            </w:r>
          </w:p>
        </w:tc>
        <w:tc>
          <w:tcPr>
            <w:tcW w:w="1200" w:type="dxa"/>
            <w:vAlign w:val="center"/>
          </w:tcPr>
          <w:p>
            <w:pPr>
              <w:jc w:val="left"/>
            </w:pPr>
            <w:r>
              <w:t>住所</w:t>
            </w:r>
          </w:p>
        </w:tc>
        <w:tc>
          <w:tcPr>
            <w:tcW w:w="3800" w:type="dxa"/>
            <w:vAlign w:val="center"/>
          </w:tcPr>
          <w:p>
            <w:pPr>
              <w:jc w:val="center"/>
            </w:pPr>
            <w: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德州银行股份有限公司</w:t>
            </w:r>
          </w:p>
        </w:tc>
        <w:tc>
          <w:tcPr>
            <w:tcW w:w="1200" w:type="dxa"/>
            <w:vAlign w:val="center"/>
          </w:tcPr>
          <w:p>
            <w:pPr>
              <w:jc w:val="left"/>
            </w:pPr>
            <w:r>
              <w:t>住所</w:t>
            </w:r>
          </w:p>
        </w:tc>
        <w:tc>
          <w:tcPr>
            <w:tcW w:w="3800" w:type="dxa"/>
            <w:vAlign w:val="center"/>
          </w:tcPr>
          <w:p>
            <w:pPr>
              <w:jc w:val="center"/>
            </w:pPr>
            <w:r>
              <w:t>德州市三八东路1266号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0534-2291695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无锡锡商银行股份有限公司</w:t>
            </w:r>
          </w:p>
        </w:tc>
        <w:tc>
          <w:tcPr>
            <w:tcW w:w="1200" w:type="dxa"/>
            <w:vAlign w:val="center"/>
          </w:tcPr>
          <w:p>
            <w:pPr>
              <w:jc w:val="left"/>
            </w:pPr>
            <w:r>
              <w:t>住所</w:t>
            </w:r>
          </w:p>
        </w:tc>
        <w:tc>
          <w:tcPr>
            <w:tcW w:w="3800" w:type="dxa"/>
            <w:vAlign w:val="center"/>
          </w:tcPr>
          <w:p>
            <w:pPr>
              <w:jc w:val="center"/>
            </w:pPr>
            <w:r>
              <w:t>江苏省无锡市锡山区安镇街道东翔路578号红豆财富广场1-2层、5-11层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4008880555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日照银行股份有限公司</w:t>
            </w:r>
          </w:p>
        </w:tc>
        <w:tc>
          <w:tcPr>
            <w:tcW w:w="1200" w:type="dxa"/>
            <w:vAlign w:val="center"/>
          </w:tcPr>
          <w:p>
            <w:pPr>
              <w:jc w:val="left"/>
            </w:pPr>
            <w:r>
              <w:t>住所</w:t>
            </w:r>
          </w:p>
        </w:tc>
        <w:tc>
          <w:tcPr>
            <w:tcW w:w="3800" w:type="dxa"/>
            <w:vAlign w:val="center"/>
          </w:tcPr>
          <w:p>
            <w:pPr>
              <w:jc w:val="center"/>
            </w:pPr>
            <w:r>
              <w:t>日照市烟台路197号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0633-8781988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浙江东阳农村商业银行股份有限公司</w:t>
            </w:r>
          </w:p>
        </w:tc>
        <w:tc>
          <w:tcPr>
            <w:tcW w:w="1200" w:type="dxa"/>
            <w:vAlign w:val="center"/>
          </w:tcPr>
          <w:p>
            <w:pPr>
              <w:jc w:val="left"/>
            </w:pPr>
            <w:r>
              <w:t>住所</w:t>
            </w:r>
          </w:p>
        </w:tc>
        <w:tc>
          <w:tcPr>
            <w:tcW w:w="3800" w:type="dxa"/>
            <w:vAlign w:val="center"/>
          </w:tcPr>
          <w:p>
            <w:pPr>
              <w:jc w:val="center"/>
            </w:pPr>
            <w:r>
              <w:t>浙江省金华市东阳市双岘路18号东阳农商银行八楼财富中心</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0579-86897175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浙江丽水莲都农村商业银行股份有限公司</w:t>
            </w:r>
          </w:p>
        </w:tc>
        <w:tc>
          <w:tcPr>
            <w:tcW w:w="1200" w:type="dxa"/>
            <w:vAlign w:val="center"/>
          </w:tcPr>
          <w:p>
            <w:pPr>
              <w:jc w:val="left"/>
            </w:pPr>
            <w:r>
              <w:t>住所</w:t>
            </w:r>
          </w:p>
        </w:tc>
        <w:tc>
          <w:tcPr>
            <w:tcW w:w="3800" w:type="dxa"/>
            <w:vAlign w:val="center"/>
          </w:tcPr>
          <w:p>
            <w:pPr>
              <w:jc w:val="center"/>
            </w:pPr>
            <w:r>
              <w:t>浙江省丽水市莲都区解放街438号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0578-2027170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浙江乐清农村商业银行股份有限公司</w:t>
            </w:r>
          </w:p>
        </w:tc>
        <w:tc>
          <w:tcPr>
            <w:tcW w:w="1200" w:type="dxa"/>
            <w:vAlign w:val="center"/>
          </w:tcPr>
          <w:p>
            <w:pPr>
              <w:jc w:val="left"/>
            </w:pPr>
            <w:r>
              <w:t>住所</w:t>
            </w:r>
          </w:p>
        </w:tc>
        <w:tc>
          <w:tcPr>
            <w:tcW w:w="3800" w:type="dxa"/>
            <w:vAlign w:val="center"/>
          </w:tcPr>
          <w:p>
            <w:pPr>
              <w:jc w:val="center"/>
            </w:pPr>
            <w:r>
              <w:t>浙江省乐清市城南街道伯乐西路99号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0577-62159999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浙江台州椒江农村商业银行股份有限公司</w:t>
            </w:r>
          </w:p>
        </w:tc>
        <w:tc>
          <w:tcPr>
            <w:tcW w:w="1200" w:type="dxa"/>
            <w:vAlign w:val="center"/>
          </w:tcPr>
          <w:p>
            <w:pPr>
              <w:jc w:val="left"/>
            </w:pPr>
            <w:r>
              <w:t>住所</w:t>
            </w:r>
          </w:p>
        </w:tc>
        <w:tc>
          <w:tcPr>
            <w:tcW w:w="3800" w:type="dxa"/>
            <w:vAlign w:val="center"/>
          </w:tcPr>
          <w:p>
            <w:pPr>
              <w:jc w:val="center"/>
            </w:pPr>
            <w:r>
              <w:t>浙江省台州市椒江区工人东路322号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浙江台州路桥农村商业银行股份有限公司</w:t>
            </w:r>
          </w:p>
        </w:tc>
        <w:tc>
          <w:tcPr>
            <w:tcW w:w="1200" w:type="dxa"/>
            <w:vAlign w:val="center"/>
          </w:tcPr>
          <w:p>
            <w:pPr>
              <w:jc w:val="left"/>
            </w:pPr>
            <w:r>
              <w:t>住所</w:t>
            </w:r>
          </w:p>
        </w:tc>
        <w:tc>
          <w:tcPr>
            <w:tcW w:w="3800" w:type="dxa"/>
            <w:vAlign w:val="center"/>
          </w:tcPr>
          <w:p>
            <w:pPr>
              <w:jc w:val="center"/>
            </w:pPr>
            <w:r>
              <w:t>浙江省台州市路桥区路北街道中心大道5789号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浙江台州黄岩农村商业银行股份有限公司</w:t>
            </w:r>
          </w:p>
        </w:tc>
        <w:tc>
          <w:tcPr>
            <w:tcW w:w="1200" w:type="dxa"/>
            <w:vAlign w:val="center"/>
          </w:tcPr>
          <w:p>
            <w:pPr>
              <w:jc w:val="left"/>
            </w:pPr>
            <w:r>
              <w:t>住所</w:t>
            </w:r>
          </w:p>
        </w:tc>
        <w:tc>
          <w:tcPr>
            <w:tcW w:w="3800" w:type="dxa"/>
            <w:vAlign w:val="center"/>
          </w:tcPr>
          <w:p>
            <w:pPr>
              <w:jc w:val="center"/>
            </w:pPr>
            <w:r>
              <w:t>浙江台州黄岩洞天路88号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0576-89996596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浙江安吉农村商业银行股份有限公司</w:t>
            </w:r>
          </w:p>
        </w:tc>
        <w:tc>
          <w:tcPr>
            <w:tcW w:w="1200" w:type="dxa"/>
            <w:vAlign w:val="center"/>
          </w:tcPr>
          <w:p>
            <w:pPr>
              <w:jc w:val="left"/>
            </w:pPr>
            <w:r>
              <w:t>住所</w:t>
            </w:r>
          </w:p>
        </w:tc>
        <w:tc>
          <w:tcPr>
            <w:tcW w:w="3800" w:type="dxa"/>
            <w:vAlign w:val="center"/>
          </w:tcPr>
          <w:p>
            <w:pPr>
              <w:jc w:val="center"/>
            </w:pPr>
            <w:r>
              <w:t>浙江省安吉县昌硕街道昌硕东路1号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浙江嵊州农村商业银行股份有限公司</w:t>
            </w:r>
          </w:p>
        </w:tc>
        <w:tc>
          <w:tcPr>
            <w:tcW w:w="1200" w:type="dxa"/>
            <w:vAlign w:val="center"/>
          </w:tcPr>
          <w:p>
            <w:pPr>
              <w:jc w:val="left"/>
            </w:pPr>
            <w:r>
              <w:t>住所</w:t>
            </w:r>
          </w:p>
        </w:tc>
        <w:tc>
          <w:tcPr>
            <w:tcW w:w="3800" w:type="dxa"/>
            <w:vAlign w:val="center"/>
          </w:tcPr>
          <w:p>
            <w:pPr>
              <w:jc w:val="center"/>
            </w:pPr>
            <w:r>
              <w:t>浙江省嵊州市官河路398号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浙江常山农村商业银行股份有限公司</w:t>
            </w:r>
          </w:p>
        </w:tc>
        <w:tc>
          <w:tcPr>
            <w:tcW w:w="1200" w:type="dxa"/>
            <w:vAlign w:val="center"/>
          </w:tcPr>
          <w:p>
            <w:pPr>
              <w:jc w:val="left"/>
            </w:pPr>
            <w:r>
              <w:t>住所</w:t>
            </w:r>
          </w:p>
        </w:tc>
        <w:tc>
          <w:tcPr>
            <w:tcW w:w="3800" w:type="dxa"/>
            <w:vAlign w:val="center"/>
          </w:tcPr>
          <w:p>
            <w:pPr>
              <w:jc w:val="center"/>
            </w:pPr>
            <w:r>
              <w:t>浙江省衢州市常山县紫港街道文教东路258号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浙江开化农村商业银行股份有限公司</w:t>
            </w:r>
          </w:p>
        </w:tc>
        <w:tc>
          <w:tcPr>
            <w:tcW w:w="1200" w:type="dxa"/>
            <w:vAlign w:val="center"/>
          </w:tcPr>
          <w:p>
            <w:pPr>
              <w:jc w:val="left"/>
            </w:pPr>
            <w:r>
              <w:t>住所</w:t>
            </w:r>
          </w:p>
        </w:tc>
        <w:tc>
          <w:tcPr>
            <w:tcW w:w="3800" w:type="dxa"/>
            <w:vAlign w:val="center"/>
          </w:tcPr>
          <w:p>
            <w:pPr>
              <w:jc w:val="center"/>
            </w:pPr>
            <w:r>
              <w:t>浙江省衢州市开化县华埠镇永吉二路8号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0570-6025125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浙江文成农村商业银行股份有限公司</w:t>
            </w:r>
          </w:p>
        </w:tc>
        <w:tc>
          <w:tcPr>
            <w:tcW w:w="1200" w:type="dxa"/>
            <w:vAlign w:val="center"/>
          </w:tcPr>
          <w:p>
            <w:pPr>
              <w:jc w:val="left"/>
            </w:pPr>
            <w:r>
              <w:t>住所</w:t>
            </w:r>
          </w:p>
        </w:tc>
        <w:tc>
          <w:tcPr>
            <w:tcW w:w="3800" w:type="dxa"/>
            <w:vAlign w:val="center"/>
          </w:tcPr>
          <w:p>
            <w:pPr>
              <w:jc w:val="center"/>
            </w:pPr>
            <w:r>
              <w:t>浙江省温州市文成县大学镇伯温路6号文成农商银行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浙江新昌农村商业银行股份有限公司</w:t>
            </w:r>
          </w:p>
        </w:tc>
        <w:tc>
          <w:tcPr>
            <w:tcW w:w="1200" w:type="dxa"/>
            <w:vAlign w:val="center"/>
          </w:tcPr>
          <w:p>
            <w:pPr>
              <w:jc w:val="left"/>
            </w:pPr>
            <w:r>
              <w:t>住所</w:t>
            </w:r>
          </w:p>
        </w:tc>
        <w:tc>
          <w:tcPr>
            <w:tcW w:w="3800" w:type="dxa"/>
            <w:vAlign w:val="center"/>
          </w:tcPr>
          <w:p>
            <w:pPr>
              <w:jc w:val="center"/>
            </w:pPr>
            <w:r>
              <w:t>新昌县七星街道七星路18号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浙江武义农村商业银行股份有限公司</w:t>
            </w:r>
          </w:p>
        </w:tc>
        <w:tc>
          <w:tcPr>
            <w:tcW w:w="1200" w:type="dxa"/>
            <w:vAlign w:val="center"/>
          </w:tcPr>
          <w:p>
            <w:pPr>
              <w:jc w:val="left"/>
            </w:pPr>
            <w:r>
              <w:t>住所</w:t>
            </w:r>
          </w:p>
        </w:tc>
        <w:tc>
          <w:tcPr>
            <w:tcW w:w="3800" w:type="dxa"/>
            <w:vAlign w:val="center"/>
          </w:tcPr>
          <w:p>
            <w:pPr>
              <w:jc w:val="center"/>
            </w:pPr>
            <w:r>
              <w:t>浙江省金华市武义县武阳中路37号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0579-87663486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浙江永嘉农村商业银行股份有限公司</w:t>
            </w:r>
          </w:p>
        </w:tc>
        <w:tc>
          <w:tcPr>
            <w:tcW w:w="1200" w:type="dxa"/>
            <w:vAlign w:val="center"/>
          </w:tcPr>
          <w:p>
            <w:pPr>
              <w:jc w:val="left"/>
            </w:pPr>
            <w:r>
              <w:t>住所</w:t>
            </w:r>
          </w:p>
        </w:tc>
        <w:tc>
          <w:tcPr>
            <w:tcW w:w="3800" w:type="dxa"/>
            <w:vAlign w:val="center"/>
          </w:tcPr>
          <w:p>
            <w:pPr>
              <w:jc w:val="center"/>
            </w:pPr>
            <w:r>
              <w:t>浙江省永嘉县瓯北镇阳光大道3918号永嘉农商银行总行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浙江江山农村商业银行股份有限公司</w:t>
            </w:r>
          </w:p>
        </w:tc>
        <w:tc>
          <w:tcPr>
            <w:tcW w:w="1200" w:type="dxa"/>
            <w:vAlign w:val="center"/>
          </w:tcPr>
          <w:p>
            <w:pPr>
              <w:jc w:val="left"/>
            </w:pPr>
            <w:r>
              <w:t>住所</w:t>
            </w:r>
          </w:p>
        </w:tc>
        <w:tc>
          <w:tcPr>
            <w:tcW w:w="3800" w:type="dxa"/>
            <w:vAlign w:val="center"/>
          </w:tcPr>
          <w:p>
            <w:pPr>
              <w:jc w:val="center"/>
            </w:pPr>
            <w:r>
              <w:t>江山市江滨路188号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浙江泰顺农村商业银行股份有限公司</w:t>
            </w:r>
          </w:p>
        </w:tc>
        <w:tc>
          <w:tcPr>
            <w:tcW w:w="1200" w:type="dxa"/>
            <w:vAlign w:val="center"/>
          </w:tcPr>
          <w:p>
            <w:pPr>
              <w:jc w:val="left"/>
            </w:pPr>
            <w:r>
              <w:t>住所</w:t>
            </w:r>
          </w:p>
        </w:tc>
        <w:tc>
          <w:tcPr>
            <w:tcW w:w="3800" w:type="dxa"/>
            <w:vAlign w:val="center"/>
          </w:tcPr>
          <w:p>
            <w:pPr>
              <w:jc w:val="center"/>
            </w:pPr>
            <w:r>
              <w:t>浙江泰顺县罗阳镇文祥大道181号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浙江浦江农村商业银行股份有限公司</w:t>
            </w:r>
          </w:p>
        </w:tc>
        <w:tc>
          <w:tcPr>
            <w:tcW w:w="1200" w:type="dxa"/>
            <w:vAlign w:val="center"/>
          </w:tcPr>
          <w:p>
            <w:pPr>
              <w:jc w:val="left"/>
            </w:pPr>
            <w:r>
              <w:t>住所</w:t>
            </w:r>
          </w:p>
        </w:tc>
        <w:tc>
          <w:tcPr>
            <w:tcW w:w="3800" w:type="dxa"/>
            <w:vAlign w:val="center"/>
          </w:tcPr>
          <w:p>
            <w:pPr>
              <w:jc w:val="center"/>
            </w:pPr>
            <w:r>
              <w:t>浙江省浦江县人民东路90号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0579-88081234</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浙江绍兴恒信农村商业银行股份有限公司</w:t>
            </w:r>
          </w:p>
        </w:tc>
        <w:tc>
          <w:tcPr>
            <w:tcW w:w="1200" w:type="dxa"/>
            <w:vAlign w:val="center"/>
          </w:tcPr>
          <w:p>
            <w:pPr>
              <w:jc w:val="left"/>
            </w:pPr>
            <w:r>
              <w:t>住所</w:t>
            </w:r>
          </w:p>
        </w:tc>
        <w:tc>
          <w:tcPr>
            <w:tcW w:w="3800" w:type="dxa"/>
            <w:vAlign w:val="center"/>
          </w:tcPr>
          <w:p>
            <w:pPr>
              <w:jc w:val="center"/>
            </w:pPr>
            <w:r>
              <w:t>浙江省绍兴市越城区中兴中路159号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浙江绍兴瑞丰农村商业银行股份有限公司</w:t>
            </w:r>
          </w:p>
        </w:tc>
        <w:tc>
          <w:tcPr>
            <w:tcW w:w="1200" w:type="dxa"/>
            <w:vAlign w:val="center"/>
          </w:tcPr>
          <w:p>
            <w:pPr>
              <w:jc w:val="left"/>
            </w:pPr>
            <w:r>
              <w:t>住所</w:t>
            </w:r>
          </w:p>
        </w:tc>
        <w:tc>
          <w:tcPr>
            <w:tcW w:w="3800" w:type="dxa"/>
            <w:vAlign w:val="center"/>
          </w:tcPr>
          <w:p>
            <w:pPr>
              <w:jc w:val="center"/>
            </w:pPr>
            <w:r>
              <w:t>浙江省绍兴市柯桥区笛扬路1363号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浙江苍南农村商业银行股份有限公司</w:t>
            </w:r>
          </w:p>
        </w:tc>
        <w:tc>
          <w:tcPr>
            <w:tcW w:w="1200" w:type="dxa"/>
            <w:vAlign w:val="center"/>
          </w:tcPr>
          <w:p>
            <w:pPr>
              <w:jc w:val="left"/>
            </w:pPr>
            <w:r>
              <w:t>住所</w:t>
            </w:r>
          </w:p>
        </w:tc>
        <w:tc>
          <w:tcPr>
            <w:tcW w:w="3800" w:type="dxa"/>
            <w:vAlign w:val="center"/>
          </w:tcPr>
          <w:p>
            <w:pPr>
              <w:jc w:val="center"/>
            </w:pPr>
            <w:r>
              <w:t>浙江省温州市苍南县灵溪镇人民大道425号苍南农商银行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0577-68111111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浙江衢州柯城农村商业银行股份有限公司</w:t>
            </w:r>
          </w:p>
        </w:tc>
        <w:tc>
          <w:tcPr>
            <w:tcW w:w="1200" w:type="dxa"/>
            <w:vAlign w:val="center"/>
          </w:tcPr>
          <w:p>
            <w:pPr>
              <w:jc w:val="left"/>
            </w:pPr>
            <w:r>
              <w:t>住所</w:t>
            </w:r>
          </w:p>
        </w:tc>
        <w:tc>
          <w:tcPr>
            <w:tcW w:w="3800" w:type="dxa"/>
            <w:vAlign w:val="center"/>
          </w:tcPr>
          <w:p>
            <w:pPr>
              <w:jc w:val="center"/>
            </w:pPr>
            <w:r>
              <w:t>浙江省衢州市柯城区上街92号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浙江衢州衢江农村商业银行股份有限公司</w:t>
            </w:r>
          </w:p>
        </w:tc>
        <w:tc>
          <w:tcPr>
            <w:tcW w:w="1200" w:type="dxa"/>
            <w:vAlign w:val="center"/>
          </w:tcPr>
          <w:p>
            <w:pPr>
              <w:jc w:val="left"/>
            </w:pPr>
            <w:r>
              <w:t>住所</w:t>
            </w:r>
          </w:p>
        </w:tc>
        <w:tc>
          <w:tcPr>
            <w:tcW w:w="3800" w:type="dxa"/>
            <w:vAlign w:val="center"/>
          </w:tcPr>
          <w:p>
            <w:pPr>
              <w:jc w:val="center"/>
            </w:pPr>
            <w:r>
              <w:t>浙江省衢州市衢江区樟潭街道信安东路37号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0570-3026608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浙江长兴农村商业银行股份有限公司</w:t>
            </w:r>
          </w:p>
        </w:tc>
        <w:tc>
          <w:tcPr>
            <w:tcW w:w="1200" w:type="dxa"/>
            <w:vAlign w:val="center"/>
          </w:tcPr>
          <w:p>
            <w:pPr>
              <w:jc w:val="left"/>
            </w:pPr>
            <w:r>
              <w:t>住所</w:t>
            </w:r>
          </w:p>
        </w:tc>
        <w:tc>
          <w:tcPr>
            <w:tcW w:w="3800" w:type="dxa"/>
            <w:vAlign w:val="center"/>
          </w:tcPr>
          <w:p>
            <w:pPr>
              <w:jc w:val="center"/>
            </w:pPr>
            <w:r>
              <w:t>浙江省长兴县太湖街道明珠路1298号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浙江青田农村商业银行股份有限公司</w:t>
            </w:r>
          </w:p>
        </w:tc>
        <w:tc>
          <w:tcPr>
            <w:tcW w:w="1200" w:type="dxa"/>
            <w:vAlign w:val="center"/>
          </w:tcPr>
          <w:p>
            <w:pPr>
              <w:jc w:val="left"/>
            </w:pPr>
            <w:r>
              <w:t>住所</w:t>
            </w:r>
          </w:p>
        </w:tc>
        <w:tc>
          <w:tcPr>
            <w:tcW w:w="3800" w:type="dxa"/>
            <w:vAlign w:val="center"/>
          </w:tcPr>
          <w:p>
            <w:pPr>
              <w:jc w:val="center"/>
            </w:pPr>
            <w:r>
              <w:t>浙江省丽水市青田县鹤城街道鹤城东路180号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0578-6833720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浙江龙游农村商业银行股份有限公司</w:t>
            </w:r>
          </w:p>
        </w:tc>
        <w:tc>
          <w:tcPr>
            <w:tcW w:w="1200" w:type="dxa"/>
            <w:vAlign w:val="center"/>
          </w:tcPr>
          <w:p>
            <w:pPr>
              <w:jc w:val="left"/>
            </w:pPr>
            <w:r>
              <w:t>住所</w:t>
            </w:r>
          </w:p>
        </w:tc>
        <w:tc>
          <w:tcPr>
            <w:tcW w:w="3800" w:type="dxa"/>
            <w:vAlign w:val="center"/>
          </w:tcPr>
          <w:p>
            <w:pPr>
              <w:jc w:val="center"/>
            </w:pPr>
            <w:r>
              <w:t>浙江省衢州市龙游县龙洲街道荣昌大道683、685、687号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海南银行股份有限公司</w:t>
            </w:r>
          </w:p>
        </w:tc>
        <w:tc>
          <w:tcPr>
            <w:tcW w:w="1200" w:type="dxa"/>
            <w:vAlign w:val="center"/>
          </w:tcPr>
          <w:p>
            <w:pPr>
              <w:jc w:val="left"/>
            </w:pPr>
            <w:r>
              <w:t>住所</w:t>
            </w:r>
          </w:p>
        </w:tc>
        <w:tc>
          <w:tcPr>
            <w:tcW w:w="3800" w:type="dxa"/>
            <w:vAlign w:val="center"/>
          </w:tcPr>
          <w:p>
            <w:pPr>
              <w:jc w:val="center"/>
            </w:pPr>
            <w:r>
              <w:t>海南省海口市龙华区海秀东路31号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0898-66505978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深圳前海微众银行股份有限公司</w:t>
            </w:r>
          </w:p>
        </w:tc>
        <w:tc>
          <w:tcPr>
            <w:tcW w:w="1200" w:type="dxa"/>
            <w:vAlign w:val="center"/>
          </w:tcPr>
          <w:p>
            <w:pPr>
              <w:jc w:val="left"/>
            </w:pPr>
            <w:r>
              <w:t>住所</w:t>
            </w:r>
          </w:p>
        </w:tc>
        <w:tc>
          <w:tcPr>
            <w:tcW w:w="3800" w:type="dxa"/>
            <w:vAlign w:val="center"/>
          </w:tcPr>
          <w:p>
            <w:pPr>
              <w:jc w:val="center"/>
            </w:pPr>
            <w:r>
              <w:t>深圳市前海深港合作区前湾一路1号A栋201室（入驻深圳市前海商务秘书有限公司）经营场所:广东省深圳市南山区沙河西路1819号深圳湾科技生态园7栋A座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0755-89462525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澳门国际银行股份有限公司广州分行</w:t>
            </w:r>
          </w:p>
        </w:tc>
        <w:tc>
          <w:tcPr>
            <w:tcW w:w="1200" w:type="dxa"/>
            <w:vAlign w:val="center"/>
          </w:tcPr>
          <w:p>
            <w:pPr>
              <w:jc w:val="left"/>
            </w:pPr>
            <w:r>
              <w:t>住所</w:t>
            </w:r>
          </w:p>
        </w:tc>
        <w:tc>
          <w:tcPr>
            <w:tcW w:w="3800" w:type="dxa"/>
            <w:vAlign w:val="center"/>
          </w:tcPr>
          <w:p>
            <w:pPr>
              <w:jc w:val="center"/>
            </w:pPr>
            <w:r>
              <w:t>广州市天河区珠江新城华夏路8号合景国际金融广场1层104房、27层2701房自编02单元、34层3401房、35层3501房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020-28089999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盛京银行股份有限公司</w:t>
            </w:r>
          </w:p>
        </w:tc>
        <w:tc>
          <w:tcPr>
            <w:tcW w:w="1200" w:type="dxa"/>
            <w:vAlign w:val="center"/>
          </w:tcPr>
          <w:p>
            <w:pPr>
              <w:jc w:val="left"/>
            </w:pPr>
            <w:r>
              <w:t>住所</w:t>
            </w:r>
          </w:p>
        </w:tc>
        <w:tc>
          <w:tcPr>
            <w:tcW w:w="3800" w:type="dxa"/>
            <w:vAlign w:val="center"/>
          </w:tcPr>
          <w:p>
            <w:pPr>
              <w:jc w:val="center"/>
            </w:pPr>
            <w:r>
              <w:t>沈阳市沈河区北站路109号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绍兴银行股份有限公司</w:t>
            </w:r>
          </w:p>
        </w:tc>
        <w:tc>
          <w:tcPr>
            <w:tcW w:w="1200" w:type="dxa"/>
            <w:vAlign w:val="center"/>
          </w:tcPr>
          <w:p>
            <w:pPr>
              <w:jc w:val="left"/>
            </w:pPr>
            <w:r>
              <w:t>住所</w:t>
            </w:r>
          </w:p>
        </w:tc>
        <w:tc>
          <w:tcPr>
            <w:tcW w:w="3800" w:type="dxa"/>
            <w:vAlign w:val="center"/>
          </w:tcPr>
          <w:p>
            <w:pPr>
              <w:jc w:val="center"/>
            </w:pPr>
            <w:r>
              <w:t>浙江省绍兴市越城区塔山街道中兴南路1号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13606751337</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重庆富民银行股份有限公司</w:t>
            </w:r>
          </w:p>
        </w:tc>
        <w:tc>
          <w:tcPr>
            <w:tcW w:w="1200" w:type="dxa"/>
            <w:vAlign w:val="center"/>
          </w:tcPr>
          <w:p>
            <w:pPr>
              <w:jc w:val="left"/>
            </w:pPr>
            <w:r>
              <w:t>住所</w:t>
            </w:r>
          </w:p>
        </w:tc>
        <w:tc>
          <w:tcPr>
            <w:tcW w:w="3800" w:type="dxa"/>
            <w:vAlign w:val="center"/>
          </w:tcPr>
          <w:p>
            <w:pPr>
              <w:jc w:val="center"/>
            </w:pPr>
            <w:r>
              <w:t>重庆市渝北区财富东路2号涉外商务区一期B1栋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023-88298888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重庆银行股份有限公司</w:t>
            </w:r>
          </w:p>
        </w:tc>
        <w:tc>
          <w:tcPr>
            <w:tcW w:w="1200" w:type="dxa"/>
            <w:vAlign w:val="center"/>
          </w:tcPr>
          <w:p>
            <w:pPr>
              <w:jc w:val="left"/>
            </w:pPr>
            <w:r>
              <w:t>住所</w:t>
            </w:r>
          </w:p>
        </w:tc>
        <w:tc>
          <w:tcPr>
            <w:tcW w:w="3800" w:type="dxa"/>
            <w:vAlign w:val="center"/>
          </w:tcPr>
          <w:p>
            <w:pPr>
              <w:jc w:val="center"/>
            </w:pPr>
            <w:r>
              <w:t>重庆市江北区永平门街6号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金华银行股份有限公司</w:t>
            </w:r>
          </w:p>
        </w:tc>
        <w:tc>
          <w:tcPr>
            <w:tcW w:w="1200" w:type="dxa"/>
            <w:vAlign w:val="center"/>
          </w:tcPr>
          <w:p>
            <w:pPr>
              <w:jc w:val="left"/>
            </w:pPr>
            <w:r>
              <w:t>住所</w:t>
            </w:r>
          </w:p>
        </w:tc>
        <w:tc>
          <w:tcPr>
            <w:tcW w:w="3800" w:type="dxa"/>
            <w:vAlign w:val="center"/>
          </w:tcPr>
          <w:p>
            <w:pPr>
              <w:jc w:val="center"/>
            </w:pPr>
            <w:r>
              <w:t>浙江省金华市丹溪路1388号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20"/>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20"/>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20"/>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费用及税收</w:t>
      </w:r>
    </w:p>
    <w:p>
      <w:pPr>
        <w:numPr>
          <w:ilvl w:val="0"/>
          <w:numId w:val="3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w:t>
      </w: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H为每日应计提的</w:t>
      </w:r>
      <w:r>
        <w:rPr>
          <w:rFonts w:hint="eastAsia" w:ascii="宋体" w:hAnsi="宋体" w:cs="宋体"/>
          <w:bCs/>
          <w:color w:val="000000"/>
          <w:sz w:val="24"/>
          <w:szCs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以</w:t>
      </w:r>
      <w:r>
        <w:rPr>
          <w:rFonts w:hint="eastAsia" w:ascii="宋体" w:hAnsi="宋体" w:eastAsia="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eastAsia="宋体" w:cs="宋体"/>
          <w:bCs/>
          <w:color w:val="000000"/>
          <w:sz w:val="24"/>
          <w:szCs w:val="24"/>
          <w:highlight w:val="none"/>
          <w:lang w:val="en-US" w:eastAsia="zh-CN"/>
        </w:rPr>
        <w:t>份额</w:t>
      </w:r>
      <w:r>
        <w:rPr>
          <w:rFonts w:hint="eastAsia" w:ascii="宋体" w:hAnsi="宋体" w:eastAsia="宋体" w:cs="宋体"/>
          <w:bCs/>
          <w:color w:val="000000"/>
          <w:sz w:val="24"/>
          <w:szCs w:val="24"/>
          <w:highlight w:val="none"/>
        </w:rPr>
        <w:t>〗为例</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理财计划财产的年化固定管理费率为</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，计算方法如下：</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H＝E×</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H为每日应计提的</w:t>
      </w:r>
      <w:r>
        <w:rPr>
          <w:rFonts w:hint="eastAsia" w:ascii="宋体" w:hAnsi="宋体" w:eastAsia="宋体" w:cs="宋体"/>
          <w:bCs/>
          <w:color w:val="000000"/>
          <w:sz w:val="24"/>
          <w:szCs w:val="24"/>
          <w:highlight w:val="none"/>
          <w:lang w:eastAsia="zh-CN"/>
        </w:rPr>
        <w:t>固定</w:t>
      </w:r>
      <w:r>
        <w:rPr>
          <w:rFonts w:hint="eastAsia" w:ascii="宋体" w:hAnsi="宋体" w:eastAsia="宋体" w:cs="宋体"/>
          <w:bCs/>
          <w:color w:val="000000"/>
          <w:sz w:val="24"/>
          <w:szCs w:val="24"/>
          <w:highlight w:val="none"/>
        </w:rPr>
        <w:t>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szCs w:val="24"/>
          <w:highlight w:val="none"/>
        </w:rPr>
        <w:t>固定管理费原则上按日计提</w:t>
      </w:r>
      <w:r>
        <w:rPr>
          <w:rFonts w:hint="eastAsia" w:ascii="宋体" w:hAnsi="宋体" w:eastAsia="宋体" w:cs="宋体"/>
          <w:bCs/>
          <w:color w:val="000000"/>
          <w:sz w:val="24"/>
          <w:szCs w:val="24"/>
          <w:highlight w:val="none"/>
          <w:lang w:eastAsia="zh-CN"/>
        </w:rPr>
        <w:t>，管理人有权</w:t>
      </w:r>
      <w:r>
        <w:rPr>
          <w:rFonts w:hint="eastAsia" w:ascii="宋体" w:hAnsi="宋体" w:eastAsia="宋体" w:cs="宋体"/>
          <w:bCs/>
          <w:color w:val="000000"/>
          <w:sz w:val="24"/>
          <w:szCs w:val="24"/>
          <w:highlight w:val="none"/>
          <w:lang w:val="en-US" w:eastAsia="zh-CN"/>
        </w:rPr>
        <w:t>根据实际运作情况</w:t>
      </w:r>
      <w:r>
        <w:rPr>
          <w:rFonts w:hint="eastAsia" w:ascii="宋体" w:hAnsi="宋体" w:eastAsia="宋体" w:cs="宋体"/>
          <w:bCs/>
          <w:color w:val="000000"/>
          <w:sz w:val="24"/>
          <w:szCs w:val="24"/>
          <w:highlight w:val="none"/>
          <w:lang w:eastAsia="zh-CN"/>
        </w:rPr>
        <w:t>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申购费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赎回费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理财管理人根据理财计划投资情况计算浮动管理费，本理财计划</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投资周期的</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折合年化收益率超</w:t>
      </w:r>
      <w:r>
        <w:rPr>
          <w:rFonts w:hint="eastAsia" w:ascii="宋体" w:hAnsi="宋体" w:cs="宋体"/>
          <w:bCs/>
          <w:color w:val="000000"/>
          <w:sz w:val="24"/>
          <w:szCs w:val="24"/>
          <w:highlight w:val="none"/>
          <w:lang w:eastAsia="zh-CN"/>
        </w:rPr>
        <w:t>过</w:t>
      </w:r>
      <w:r>
        <w:rPr>
          <w:rFonts w:hint="eastAsia" w:ascii="宋体" w:hAnsi="宋体" w:eastAsia="宋体" w:cs="宋体"/>
          <w:bCs/>
          <w:color w:val="000000"/>
          <w:kern w:val="2"/>
          <w:sz w:val="24"/>
          <w:szCs w:val="24"/>
          <w:highlight w:val="none"/>
          <w:lang w:val="en-US" w:eastAsia="zh-CN" w:bidi="ar-SA"/>
        </w:rPr>
        <w:t>2.25</w:t>
      </w:r>
      <w:r>
        <w:rPr>
          <w:rFonts w:hint="eastAsia" w:ascii="宋体" w:hAnsi="宋体" w:cs="宋体"/>
          <w:bCs/>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的部分管理人提取</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50</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作为浮动管理费，每个投资周期结束后收取。本理财计划投资周期的折合年化收益率若小于或等于</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2.25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则不收取浮动管理费。</w:t>
      </w:r>
      <w:r>
        <w:rPr>
          <w:rFonts w:hint="eastAsia" w:ascii="宋体" w:hAnsi="宋体" w:cs="宋体"/>
          <w:bCs/>
          <w:color w:val="000000"/>
          <w:sz w:val="24"/>
          <w:szCs w:val="24"/>
          <w:highlight w:val="none"/>
          <w:lang w:eastAsia="zh-CN"/>
        </w:rPr>
        <w:t>浮动管理费原则上按估值日计提，</w:t>
      </w:r>
      <w:r>
        <w:rPr>
          <w:rFonts w:hint="eastAsia" w:ascii="宋体" w:hAnsi="宋体" w:cs="宋体"/>
          <w:bCs/>
          <w:color w:val="000000"/>
          <w:sz w:val="24"/>
          <w:szCs w:val="24"/>
          <w:highlight w:val="none"/>
          <w:lang w:val="en-US" w:eastAsia="zh-CN"/>
        </w:rPr>
        <w:t>赎回/理财计划</w:t>
      </w:r>
      <w:r>
        <w:rPr>
          <w:rFonts w:hint="eastAsia" w:ascii="宋体" w:hAnsi="宋体" w:cs="宋体"/>
          <w:bCs/>
          <w:color w:val="000000"/>
          <w:sz w:val="24"/>
          <w:szCs w:val="24"/>
          <w:highlight w:val="none"/>
          <w:lang w:eastAsia="zh-CN"/>
        </w:rPr>
        <w:t>到期收取。以</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为例，</w:t>
      </w:r>
      <w:r>
        <w:rPr>
          <w:rFonts w:hint="eastAsia" w:ascii="宋体" w:hAnsi="宋体" w:cs="宋体"/>
          <w:bCs/>
          <w:color w:val="000000"/>
          <w:sz w:val="24"/>
          <w:szCs w:val="24"/>
          <w:highlight w:val="none"/>
        </w:rPr>
        <w:t>具体计算方法如下：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H＝E×NAV0×(K-R)×〖</w:t>
      </w:r>
      <w:r>
        <w:rPr>
          <w:rFonts w:hint="eastAsia" w:ascii="宋体" w:hAnsi="宋体" w:eastAsia="宋体" w:cs="宋体"/>
          <w:bCs/>
          <w:color w:val="000000"/>
          <w:kern w:val="2"/>
          <w:sz w:val="24"/>
          <w:szCs w:val="24"/>
          <w:highlight w:val="none"/>
          <w:lang w:val="en-US" w:eastAsia="zh-CN" w:bidi="ar-SA"/>
        </w:rPr>
        <w:t>50</w:t>
      </w:r>
      <w:r>
        <w:rPr>
          <w:rFonts w:hint="eastAsia" w:ascii="宋体" w:hAnsi="宋体" w:cs="宋体"/>
          <w:bCs/>
          <w:color w:val="000000"/>
          <w:sz w:val="24"/>
          <w:szCs w:val="24"/>
          <w:highlight w:val="none"/>
        </w:rPr>
        <w:t>%〗×N÷365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其中，K=(NAV1-NAV0+T)÷NAV0×365÷N</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H为当前确认日应收取浮动管理费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w:t>
      </w:r>
      <w:r>
        <w:rPr>
          <w:rFonts w:hint="eastAsia" w:ascii="宋体" w:hAnsi="宋体" w:cs="宋体"/>
          <w:bCs/>
          <w:color w:val="000000"/>
          <w:sz w:val="24"/>
          <w:szCs w:val="24"/>
          <w:highlight w:val="none"/>
          <w:lang w:val="en-US" w:eastAsia="zh-CN"/>
        </w:rPr>
        <w:t>理财计划</w:t>
      </w:r>
      <w:r>
        <w:rPr>
          <w:rFonts w:hint="eastAsia" w:ascii="宋体" w:hAnsi="宋体" w:cs="宋体"/>
          <w:bCs/>
          <w:color w:val="000000"/>
          <w:sz w:val="24"/>
          <w:szCs w:val="24"/>
          <w:highlight w:val="none"/>
        </w:rPr>
        <w:t>上一个确认日的存续份额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K为收取浮动管理费前投资者赎回份额对应持有区间折合年化收益率</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R为本次投资周期的</w:t>
      </w:r>
      <w:r>
        <w:rPr>
          <w:rFonts w:hint="eastAsia" w:ascii="宋体" w:hAnsi="宋体" w:cs="宋体"/>
          <w:bCs/>
          <w:color w:val="000000"/>
          <w:sz w:val="24"/>
          <w:szCs w:val="24"/>
          <w:highlight w:val="none"/>
          <w:lang w:val="en-US" w:eastAsia="zh-CN"/>
        </w:rPr>
        <w:t>浮动管理费计提基数</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T为当前投资周期内每单位份额的实际分红金额的合计（如有）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4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收益计算</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4"/>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示例说明</w:t>
      </w:r>
    </w:p>
    <w:p>
      <w:pPr>
        <w:numPr>
          <w:ilvl w:val="0"/>
          <w:numId w:val="0"/>
        </w:numPr>
        <w:spacing w:line="360" w:lineRule="auto"/>
        <w:ind w:left="420" w:leftChars="0"/>
        <w:jc w:val="left"/>
        <w:outlineLvl w:val="9"/>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浮动管理费计提基数为5.00%，期间无分红。赎回时扣除托管费、固定管理费、销售服务费（如有）后，如理财计划净值为1.0615，此时，(1.0615/1.00-1)×365/362=6.20%&gt;5.00%，即投资收益超过〖5.00%〗，则投资管理人对超过〖5.00%〗部分收益收取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（100,000.00×1.0615-100,000.00×1.0000-100,000.00×1.0000×5.00%×362/365）×50%=595.55（元）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100,000.00×（1.0615-1.00）-595.55 =5,554.45（元），理财计划赎回时，投资者获得的实际收益相当于达到年化收益率水平为：5,554.45/100,000.00×365/362=5.60%。</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浮动管理费计提基数</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1.0426，此时，(1.0426/1.00-1)×365/362=4.30%&lt;5.00%，即投资收益未达到〖5.00%〗，则投资管理人不收取浮动管理费，投资者最终收益为：100,000.00×(1.0426-1.00）=4,260.00（元）</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000000"/>
          <w:kern w:val="2"/>
          <w:sz w:val="24"/>
          <w:szCs w:val="24"/>
          <w:lang w:val="en-US" w:eastAsia="zh-CN" w:bidi="ar"/>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浮动管理费计提基准</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交易规则</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本理财计划在每个开放期的开放日工作时间可进行申购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申请将在确认日进行确认，即开放期后的第〖1〗个〖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工作时间为每个〖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lang w:eastAsia="zh-CN"/>
        </w:rPr>
        <w:t>如新增申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赎回资金确认后，最快</w:t>
      </w:r>
      <w:r>
        <w:rPr>
          <w:rFonts w:hint="eastAsia" w:ascii="宋体" w:hAnsi="宋体" w:eastAsia="宋体" w:cs="宋体"/>
          <w:bCs/>
          <w:color w:val="000000"/>
          <w:kern w:val="2"/>
          <w:sz w:val="24"/>
          <w:szCs w:val="24"/>
          <w:highlight w:val="none"/>
          <w:lang w:val="en-US" w:eastAsia="zh-CN" w:bidi="ar-SA"/>
        </w:rPr>
        <w:t>〖确认日当日〗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确认日后〖2〗个〖工作日〗内</w:t>
      </w:r>
      <w:r>
        <w:rPr>
          <w:rFonts w:hint="eastAsia" w:ascii="宋体" w:hAnsi="宋体" w:cs="宋体"/>
          <w:bCs/>
          <w:color w:val="000000"/>
          <w:sz w:val="24"/>
          <w:highlight w:val="none"/>
        </w:rPr>
        <w:t>（遇节假日顺延）支付。如遇资金在途或法定工作日调整，实际资金到账日以公告为准。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color w:val="000000"/>
          <w:sz w:val="24"/>
          <w:highlight w:val="none"/>
        </w:rPr>
        <w:t>当出现巨额赎回时，管理人可以根据资产组合状况决定采取全额赎回或拒绝超出部分的赎回申请。</w:t>
      </w:r>
      <w:r>
        <w:rPr>
          <w:rFonts w:hint="eastAsia" w:ascii="宋体" w:hAnsi="宋体" w:cs="宋体"/>
          <w:bCs/>
          <w:color w:val="000000"/>
          <w:sz w:val="24"/>
          <w:highlight w:val="none"/>
          <w:lang w:val="en-US" w:eastAsia="zh-CN"/>
        </w:rPr>
        <w:t>如连续2日（含）以上开放日发生巨额赎回，对于已经接受的赎回申请，管理人可以延缓支付赎回款项，但延缓期限不得超过20个工作日。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在</w:t>
      </w:r>
      <w:r>
        <w:rPr>
          <w:rFonts w:hint="eastAsia" w:ascii="宋体" w:hAnsi="宋体" w:cs="宋体"/>
          <w:bCs/>
          <w:color w:val="000000"/>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资产规模过大，继续接受申购可能对理财计划业绩产生负面影响，从而损害现有份额持有人利益的情形时</w:t>
      </w:r>
      <w:r>
        <w:rPr>
          <w:rFonts w:hint="eastAsia" w:ascii="宋体" w:hAnsi="宋体" w:cs="宋体"/>
          <w:bCs/>
          <w:color w:val="000000"/>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当继续</w:t>
      </w:r>
      <w:r>
        <w:rPr>
          <w:rFonts w:hint="default" w:ascii="宋体" w:hAnsi="宋体" w:cs="宋体"/>
          <w:bCs/>
          <w:color w:val="000000"/>
          <w:sz w:val="24"/>
          <w:highlight w:val="none"/>
          <w:lang w:val="en-US" w:eastAsia="zh-CN"/>
        </w:rPr>
        <w:t>接受赎回申请将损害存量投资者利益的情形</w:t>
      </w:r>
      <w:r>
        <w:rPr>
          <w:rFonts w:hint="eastAsia" w:ascii="宋体" w:hAnsi="宋体" w:cs="宋体"/>
          <w:bCs/>
          <w:color w:val="000000"/>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w:t>
      </w:r>
      <w:r>
        <w:rPr>
          <w:rFonts w:hint="default" w:ascii="宋体" w:hAnsi="宋体" w:cs="宋体"/>
          <w:bCs/>
          <w:color w:val="000000"/>
          <w:sz w:val="24"/>
          <w:highlight w:val="none"/>
          <w:lang w:val="en-US" w:eastAsia="zh-CN"/>
        </w:rPr>
        <w:t>前一估值日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发生</w:t>
      </w:r>
      <w:r>
        <w:rPr>
          <w:rFonts w:hint="eastAsia" w:ascii="宋体" w:hAnsi="宋体" w:cs="宋体"/>
          <w:bCs/>
          <w:color w:val="000000"/>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因</w:t>
      </w:r>
      <w:r>
        <w:rPr>
          <w:rFonts w:hint="eastAsia" w:ascii="宋体" w:hAnsi="宋体" w:cs="宋体"/>
          <w:bCs/>
          <w:color w:val="000000"/>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连续</w:t>
      </w:r>
      <w:r>
        <w:rPr>
          <w:rFonts w:hint="default" w:ascii="宋体" w:hAnsi="宋体" w:cs="宋体"/>
          <w:bCs/>
          <w:color w:val="000000"/>
          <w:sz w:val="24"/>
          <w:highlight w:val="none"/>
          <w:lang w:val="en-US" w:eastAsia="zh-CN"/>
        </w:rPr>
        <w:t>2</w:t>
      </w:r>
      <w:r>
        <w:rPr>
          <w:rFonts w:hint="eastAsia" w:ascii="宋体" w:hAnsi="宋体" w:cs="宋体"/>
          <w:bCs/>
          <w:color w:val="000000"/>
          <w:sz w:val="24"/>
          <w:highlight w:val="none"/>
          <w:lang w:val="en-US" w:eastAsia="zh-CN"/>
        </w:rPr>
        <w:t>日</w:t>
      </w:r>
      <w:r>
        <w:rPr>
          <w:rFonts w:hint="default" w:ascii="宋体" w:hAnsi="宋体" w:cs="宋体"/>
          <w:bCs/>
          <w:color w:val="000000"/>
          <w:sz w:val="24"/>
          <w:highlight w:val="none"/>
          <w:lang w:val="en-US" w:eastAsia="zh-CN"/>
        </w:rPr>
        <w:t>（含）以上开放日发生巨额赎回的</w:t>
      </w:r>
      <w:r>
        <w:rPr>
          <w:rFonts w:hint="eastAsia" w:ascii="宋体" w:hAnsi="宋体" w:cs="宋体"/>
          <w:bCs/>
          <w:color w:val="000000"/>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当前</w:t>
      </w:r>
      <w:r>
        <w:rPr>
          <w:rFonts w:hint="default" w:ascii="宋体" w:hAnsi="宋体" w:cs="宋体"/>
          <w:bCs/>
          <w:color w:val="000000"/>
          <w:sz w:val="24"/>
          <w:highlight w:val="none"/>
          <w:lang w:val="en-US" w:eastAsia="zh-CN"/>
        </w:rPr>
        <w:t>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法律法规规定或监管机构认定的其他情形。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到期清算</w:t>
      </w:r>
    </w:p>
    <w:p>
      <w:pPr>
        <w:spacing w:line="360" w:lineRule="auto"/>
        <w:ind w:firstLine="480" w:firstLineChars="200"/>
        <w:jc w:val="left"/>
        <w:rPr>
          <w:rFonts w:hint="eastAsia" w:ascii="宋体" w:hAnsi="宋体" w:cs="宋体"/>
          <w:color w:val="000000"/>
          <w:kern w:val="0"/>
          <w:sz w:val="24"/>
          <w:szCs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bCs/>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spacing w:line="360" w:lineRule="auto"/>
        <w:ind w:firstLine="480" w:firstLineChars="200"/>
        <w:jc w:val="left"/>
        <w:rPr>
          <w:rFonts w:hint="eastAsia" w:ascii="宋体" w:hAnsi="宋体" w:eastAsia="宋体" w:cs="宋体"/>
          <w:color w:val="000000"/>
          <w:kern w:val="0"/>
          <w:sz w:val="24"/>
          <w:szCs w:val="24"/>
          <w:highlight w:val="none"/>
          <w:lang w:eastAsia="zh"/>
        </w:rPr>
      </w:pPr>
      <w:r>
        <w:rPr>
          <w:rFonts w:hint="eastAsia" w:ascii="宋体" w:hAnsi="宋体" w:cs="宋体"/>
          <w:color w:val="000000"/>
          <w:kern w:val="0"/>
          <w:sz w:val="24"/>
          <w:szCs w:val="24"/>
          <w:highlight w:val="none"/>
          <w:lang w:eastAsia="zh"/>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管理人认为应该提前终止的其他情形。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信息披露</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r>
        <w:rPr>
          <w:rFonts w:hint="eastAsia" w:ascii="宋体" w:hAnsi="宋体" w:cs="宋体"/>
          <w:bCs/>
          <w:color w:val="000000"/>
          <w:sz w:val="24"/>
          <w:highlight w:val="none"/>
          <w:lang w:eastAsia="zh-CN"/>
        </w:rPr>
        <w:t>公募开放式产品至少每周披露净值。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其他</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
          <w:bCs/>
          <w:color w:val="000000"/>
          <w:sz w:val="44"/>
          <w:szCs w:val="4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理财计划办理流程</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65"/>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专业投资者及激进型的普通投资者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66"/>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投资者风险承受能力评估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投资者对评估结果进行确认。</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六、投诉与建议</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杭银理财联络方式：</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4"/>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4"/>
          <w:rFonts w:hint="eastAsia" w:ascii="宋体" w:hAnsi="宋体" w:cs="宋体"/>
          <w:color w:val="000000"/>
          <w:kern w:val="0"/>
          <w:sz w:val="24"/>
          <w:highlight w:val="none"/>
          <w:u w:val="none"/>
          <w:lang w:val="en-US" w:eastAsia="zh-CN"/>
        </w:rPr>
        <w:t>www.hzbank.com.cn</w:t>
      </w:r>
      <w:r>
        <w:rPr>
          <w:rStyle w:val="14"/>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color w:val="000000"/>
          <w:sz w:val="44"/>
          <w:szCs w:val="44"/>
          <w:highlight w:val="none"/>
        </w:rPr>
        <w:t>杭银理财理财计划投资协议书</w:t>
      </w:r>
    </w:p>
    <w:p>
      <w:pPr>
        <w:jc w:val="center"/>
        <w:rPr>
          <w:rFonts w:hint="eastAsia"/>
          <w:b/>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9"/>
        <w:rPr>
          <w:rFonts w:hint="eastAsia" w:ascii="宋体" w:hAnsi="宋体"/>
          <w:b/>
          <w:bCs/>
          <w:sz w:val="24"/>
          <w:highlight w:val="none"/>
        </w:rPr>
      </w:pPr>
      <w:r>
        <w:rPr>
          <w:rFonts w:hint="eastAsia"/>
          <w:b/>
          <w:bCs/>
          <w:color w:val="000000"/>
          <w:sz w:val="24"/>
          <w:highlight w:val="none"/>
        </w:rPr>
        <w:t>名词释义</w:t>
      </w:r>
    </w:p>
    <w:p>
      <w:pPr>
        <w:spacing w:line="360" w:lineRule="auto"/>
        <w:ind w:firstLine="480" w:firstLineChars="200"/>
        <w:rPr>
          <w:rFonts w:hint="eastAsia"/>
          <w:bCs/>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投资者权利与义务</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管理人权利与义务</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contextualSpacing/>
        <w:outlineLvl w:val="9"/>
        <w:rPr>
          <w:rFonts w:ascii="宋体" w:hAnsi="宋体"/>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理财计划认（申）购、赎回及终止</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违约责任及免责条款</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协议生效和终止</w:t>
      </w:r>
    </w:p>
    <w:p>
      <w:pPr>
        <w:widowControl/>
        <w:numPr>
          <w:ilvl w:val="0"/>
          <w:numId w:val="77"/>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附则</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color w:val="000000"/>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color w:val="000000"/>
      </w:rPr>
    </w:lvl>
  </w:abstractNum>
  <w:abstractNum w:abstractNumId="2">
    <w:nsid w:val="85460E80"/>
    <w:multiLevelType w:val="singleLevel"/>
    <w:tmpl w:val="85460E80"/>
    <w:lvl w:ilvl="0" w:tentative="0">
      <w:start w:val="1"/>
      <w:numFmt w:val="decimal"/>
      <w:suff w:val="nothing"/>
      <w:lvlText w:val="（%1）"/>
      <w:lvlJc w:val="left"/>
      <w:rPr>
        <w:rFonts w:hint="default"/>
        <w:b w:val="0"/>
        <w:bCs w:val="0"/>
        <w:color w:val="00000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color w:val="000000"/>
      </w:rPr>
    </w:lvl>
  </w:abstractNum>
  <w:abstractNum w:abstractNumId="4">
    <w:nsid w:val="8906C252"/>
    <w:multiLevelType w:val="singleLevel"/>
    <w:tmpl w:val="8906C252"/>
    <w:lvl w:ilvl="0" w:tentative="0">
      <w:start w:val="1"/>
      <w:numFmt w:val="decimal"/>
      <w:suff w:val="nothing"/>
      <w:lvlText w:val="（%1）"/>
      <w:lvlJc w:val="left"/>
      <w:rPr>
        <w:rFonts w:hint="default"/>
        <w:b w:val="0"/>
        <w:bCs w:val="0"/>
        <w:color w:val="00000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color w:val="000000"/>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color w:val="000000"/>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color w:val="000000"/>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color w:val="000000"/>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color w:val="000000"/>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color w:val="000000"/>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color w:val="000000"/>
      </w:rPr>
    </w:lvl>
  </w:abstractNum>
  <w:abstractNum w:abstractNumId="14">
    <w:nsid w:val="AC40BB97"/>
    <w:multiLevelType w:val="singleLevel"/>
    <w:tmpl w:val="AC40BB97"/>
    <w:lvl w:ilvl="0" w:tentative="0">
      <w:start w:val="1"/>
      <w:numFmt w:val="chineseCounting"/>
      <w:suff w:val="nothing"/>
      <w:lvlText w:val="%1、"/>
      <w:lvlJc w:val="left"/>
      <w:rPr>
        <w:rFonts w:hint="eastAsia"/>
        <w:color w:val="000000"/>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color w:val="000000"/>
      </w:rPr>
    </w:lvl>
  </w:abstractNum>
  <w:abstractNum w:abstractNumId="16">
    <w:nsid w:val="B08226EF"/>
    <w:multiLevelType w:val="singleLevel"/>
    <w:tmpl w:val="B08226EF"/>
    <w:lvl w:ilvl="0" w:tentative="0">
      <w:start w:val="1"/>
      <w:numFmt w:val="chineseCounting"/>
      <w:suff w:val="space"/>
      <w:lvlText w:val="第%1条"/>
      <w:lvlJc w:val="left"/>
      <w:rPr>
        <w:rFonts w:hint="eastAsia"/>
        <w:color w:val="000000"/>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color w:val="000000"/>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color w:val="000000"/>
      </w:rPr>
    </w:lvl>
  </w:abstractNum>
  <w:abstractNum w:abstractNumId="19">
    <w:nsid w:val="BFFAB472"/>
    <w:multiLevelType w:val="multilevel"/>
    <w:tmpl w:val="BFFAB472"/>
    <w:lvl w:ilvl="0" w:tentative="0">
      <w:start w:val="1"/>
      <w:numFmt w:val="chineseCounting"/>
      <w:suff w:val="nothing"/>
      <w:lvlText w:val="（%1）"/>
      <w:lvlJc w:val="left"/>
      <w:pPr>
        <w:ind w:left="0" w:firstLine="420"/>
      </w:pPr>
      <w:rPr>
        <w:rFonts w:hint="eastAsia" w:ascii="宋体" w:hAnsi="宋体" w:eastAsia="宋体" w:cs="宋体"/>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21">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color w:val="000000"/>
      </w:rPr>
    </w:lvl>
  </w:abstractNum>
  <w:abstractNum w:abstractNumId="22">
    <w:nsid w:val="D86C2766"/>
    <w:multiLevelType w:val="singleLevel"/>
    <w:tmpl w:val="D86C2766"/>
    <w:lvl w:ilvl="0" w:tentative="0">
      <w:start w:val="5"/>
      <w:numFmt w:val="decimal"/>
      <w:suff w:val="nothing"/>
      <w:lvlText w:val="%1．"/>
      <w:lvlJc w:val="left"/>
      <w:pPr>
        <w:ind w:left="0" w:firstLine="403"/>
      </w:pPr>
      <w:rPr>
        <w:rFonts w:hint="default"/>
        <w:color w:val="000000"/>
      </w:rPr>
    </w:lvl>
  </w:abstractNum>
  <w:abstractNum w:abstractNumId="23">
    <w:nsid w:val="D87B2C43"/>
    <w:multiLevelType w:val="singleLevel"/>
    <w:tmpl w:val="D87B2C43"/>
    <w:lvl w:ilvl="0" w:tentative="0">
      <w:start w:val="1"/>
      <w:numFmt w:val="chineseCounting"/>
      <w:suff w:val="nothing"/>
      <w:lvlText w:val="（%1）"/>
      <w:lvlJc w:val="left"/>
      <w:pPr>
        <w:ind w:left="0" w:firstLine="420"/>
      </w:pPr>
      <w:rPr>
        <w:rFonts w:hint="eastAsia"/>
        <w:color w:val="000000"/>
      </w:rPr>
    </w:lvl>
  </w:abstractNum>
  <w:abstractNum w:abstractNumId="24">
    <w:nsid w:val="D8D75090"/>
    <w:multiLevelType w:val="singleLevel"/>
    <w:tmpl w:val="D8D75090"/>
    <w:lvl w:ilvl="0" w:tentative="0">
      <w:start w:val="1"/>
      <w:numFmt w:val="decimal"/>
      <w:suff w:val="nothing"/>
      <w:lvlText w:val="（%1）"/>
      <w:lvlJc w:val="left"/>
      <w:rPr>
        <w:rFonts w:hint="default"/>
        <w:b w:val="0"/>
        <w:bCs w:val="0"/>
        <w:color w:val="000000"/>
      </w:rPr>
    </w:lvl>
  </w:abstractNum>
  <w:abstractNum w:abstractNumId="25">
    <w:nsid w:val="DD2251DF"/>
    <w:multiLevelType w:val="singleLevel"/>
    <w:tmpl w:val="DD2251DF"/>
    <w:lvl w:ilvl="0" w:tentative="0">
      <w:start w:val="1"/>
      <w:numFmt w:val="decimal"/>
      <w:suff w:val="nothing"/>
      <w:lvlText w:val="（%1）"/>
      <w:lvlJc w:val="left"/>
      <w:rPr>
        <w:rFonts w:hint="default"/>
        <w:b w:val="0"/>
        <w:bCs w:val="0"/>
        <w:color w:val="000000"/>
      </w:rPr>
    </w:lvl>
  </w:abstractNum>
  <w:abstractNum w:abstractNumId="26">
    <w:nsid w:val="E20DF07A"/>
    <w:multiLevelType w:val="singleLevel"/>
    <w:tmpl w:val="E20DF07A"/>
    <w:lvl w:ilvl="0" w:tentative="0">
      <w:start w:val="1"/>
      <w:numFmt w:val="chineseCounting"/>
      <w:suff w:val="nothing"/>
      <w:lvlText w:val="（%1）"/>
      <w:lvlJc w:val="left"/>
      <w:pPr>
        <w:ind w:left="0" w:firstLine="420"/>
      </w:pPr>
      <w:rPr>
        <w:rFonts w:hint="eastAsia"/>
        <w:b/>
        <w:bCs/>
        <w:color w:val="000000"/>
      </w:rPr>
    </w:lvl>
  </w:abstractNum>
  <w:abstractNum w:abstractNumId="27">
    <w:nsid w:val="E70DF796"/>
    <w:multiLevelType w:val="singleLevel"/>
    <w:tmpl w:val="E70DF796"/>
    <w:lvl w:ilvl="0" w:tentative="0">
      <w:start w:val="1"/>
      <w:numFmt w:val="decimal"/>
      <w:suff w:val="nothing"/>
      <w:lvlText w:val="（%1）"/>
      <w:lvlJc w:val="left"/>
      <w:rPr>
        <w:color w:val="000000"/>
      </w:rPr>
    </w:lvl>
  </w:abstractNum>
  <w:abstractNum w:abstractNumId="28">
    <w:nsid w:val="EED9DB58"/>
    <w:multiLevelType w:val="multilevel"/>
    <w:tmpl w:val="EED9DB58"/>
    <w:lvl w:ilvl="0" w:tentative="0">
      <w:start w:val="1"/>
      <w:numFmt w:val="decimal"/>
      <w:suff w:val="nothing"/>
      <w:lvlText w:val="%1．"/>
      <w:lvlJc w:val="left"/>
      <w:pPr>
        <w:ind w:left="0" w:firstLine="40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EFF37F09"/>
    <w:multiLevelType w:val="singleLevel"/>
    <w:tmpl w:val="EFF37F09"/>
    <w:lvl w:ilvl="0" w:tentative="0">
      <w:start w:val="1"/>
      <w:numFmt w:val="decimal"/>
      <w:suff w:val="nothing"/>
      <w:lvlText w:val="（%1）"/>
      <w:lvlJc w:val="left"/>
      <w:rPr>
        <w:rFonts w:hint="default"/>
        <w:b w:val="0"/>
        <w:bCs w:val="0"/>
        <w:color w:val="00000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color w:val="000000"/>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color w:val="000000"/>
      </w:rPr>
    </w:lvl>
  </w:abstractNum>
  <w:abstractNum w:abstractNumId="33">
    <w:nsid w:val="F574F5B6"/>
    <w:multiLevelType w:val="singleLevel"/>
    <w:tmpl w:val="F574F5B6"/>
    <w:lvl w:ilvl="0" w:tentative="0">
      <w:start w:val="1"/>
      <w:numFmt w:val="decimal"/>
      <w:suff w:val="nothing"/>
      <w:lvlText w:val="（%1）"/>
      <w:lvlJc w:val="left"/>
      <w:rPr>
        <w:color w:val="000000"/>
      </w:rPr>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color w:val="000000"/>
      </w:rPr>
    </w:lvl>
  </w:abstractNum>
  <w:abstractNum w:abstractNumId="35">
    <w:nsid w:val="FBBA18C3"/>
    <w:multiLevelType w:val="singleLevel"/>
    <w:tmpl w:val="FBBA18C3"/>
    <w:lvl w:ilvl="0" w:tentative="0">
      <w:start w:val="1"/>
      <w:numFmt w:val="decimal"/>
      <w:lvlText w:val="%1."/>
      <w:lvlJc w:val="left"/>
      <w:pPr>
        <w:tabs>
          <w:tab w:val="left" w:pos="312"/>
        </w:tabs>
      </w:pPr>
      <w:rPr>
        <w:rFonts w:hint="default"/>
        <w:b w:val="0"/>
        <w:bCs w:val="0"/>
        <w:color w:val="000000"/>
        <w:highlight w:val="none"/>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color w:val="000000"/>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color w:val="000000"/>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color w:val="000000"/>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color w:val="000000"/>
      </w:rPr>
    </w:lvl>
  </w:abstractNum>
  <w:abstractNum w:abstractNumId="46">
    <w:nsid w:val="2CB63BE6"/>
    <w:multiLevelType w:val="singleLevel"/>
    <w:tmpl w:val="2CB63BE6"/>
    <w:lvl w:ilvl="0" w:tentative="0">
      <w:start w:val="1"/>
      <w:numFmt w:val="decimal"/>
      <w:suff w:val="nothing"/>
      <w:lvlText w:val="（%1）"/>
      <w:lvlJc w:val="left"/>
      <w:rPr>
        <w:rFonts w:hint="default"/>
        <w:b w:val="0"/>
        <w:bCs w:val="0"/>
        <w:color w:val="00000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color w:val="000000"/>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color w:val="000000"/>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color w:val="000000"/>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color w:val="000000"/>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color w:val="000000"/>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color w:val="000000"/>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color w:val="000000"/>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color w:val="000000"/>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color w:val="000000"/>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color w:val="000000"/>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color w:val="000000"/>
      </w:rPr>
    </w:lvl>
  </w:abstractNum>
  <w:abstractNum w:abstractNumId="59">
    <w:nsid w:val="5BA91325"/>
    <w:multiLevelType w:val="singleLevel"/>
    <w:tmpl w:val="5BA91325"/>
    <w:lvl w:ilvl="0" w:tentative="0">
      <w:start w:val="1"/>
      <w:numFmt w:val="decimal"/>
      <w:suff w:val="nothing"/>
      <w:lvlText w:val="（%1）"/>
      <w:lvlJc w:val="left"/>
      <w:rPr>
        <w:color w:val="000000"/>
      </w:rPr>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color w:val="000000"/>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color w:val="000000"/>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color w:val="000000"/>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color w:val="000000"/>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color w:val="000000"/>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color w:val="000000"/>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color w:val="000000"/>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color w:val="000000"/>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color w:val="000000"/>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color w:val="000000"/>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color w:val="000000"/>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color w:val="000000"/>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color w:val="000000"/>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b w:val="0"/>
        <w:bCs w:val="0"/>
        <w:color w:val="000000"/>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color w:val="000000"/>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color w:val="000000"/>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color w:val="000000"/>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color w:val="000000"/>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color w:val="000000"/>
      </w:rPr>
    </w:lvl>
  </w:abstractNum>
  <w:abstractNum w:abstractNumId="80">
    <w:nsid w:val="61F30F62"/>
    <w:multiLevelType w:val="singleLevel"/>
    <w:tmpl w:val="61F30F62"/>
    <w:lvl w:ilvl="0" w:tentative="0">
      <w:start w:val="1"/>
      <w:numFmt w:val="decimal"/>
      <w:suff w:val="nothing"/>
      <w:lvlText w:val="（%1）"/>
      <w:lvlJc w:val="left"/>
      <w:rPr>
        <w:rFonts w:hint="default"/>
        <w:b w:val="0"/>
        <w:bCs w:val="0"/>
        <w:color w:val="000000"/>
      </w:rPr>
    </w:lvl>
  </w:abstractNum>
  <w:abstractNum w:abstractNumId="81">
    <w:nsid w:val="69C07A9C"/>
    <w:multiLevelType w:val="singleLevel"/>
    <w:tmpl w:val="69C07A9C"/>
    <w:lvl w:ilvl="0" w:tentative="0">
      <w:start w:val="1"/>
      <w:numFmt w:val="lowerLetter"/>
      <w:suff w:val="space"/>
      <w:lvlText w:val="%1."/>
      <w:lvlJc w:val="left"/>
      <w:rPr>
        <w:color w:val="00000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color w:val="000000"/>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color w:val="000000"/>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color w:val="000000"/>
      </w:rPr>
    </w:lvl>
  </w:abstractNum>
  <w:num w:numId="1">
    <w:abstractNumId w:val="14"/>
  </w:num>
  <w:num w:numId="2">
    <w:abstractNumId w:val="1"/>
  </w:num>
  <w:num w:numId="3">
    <w:abstractNumId w:val="51"/>
  </w:num>
  <w:num w:numId="4">
    <w:abstractNumId w:val="43"/>
  </w:num>
  <w:num w:numId="5">
    <w:abstractNumId w:val="19"/>
  </w:num>
  <w:num w:numId="6">
    <w:abstractNumId w:val="83"/>
  </w:num>
  <w:num w:numId="7">
    <w:abstractNumId w:val="38"/>
  </w:num>
  <w:num w:numId="8">
    <w:abstractNumId w:val="84"/>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1"/>
  </w:num>
  <w:num w:numId="16">
    <w:abstractNumId w:val="11"/>
  </w:num>
  <w:num w:numId="17">
    <w:abstractNumId w:val="17"/>
  </w:num>
  <w:num w:numId="18">
    <w:abstractNumId w:val="8"/>
  </w:num>
  <w:num w:numId="19">
    <w:abstractNumId w:val="9"/>
  </w:num>
  <w:num w:numId="20">
    <w:abstractNumId w:val="7"/>
  </w:num>
  <w:num w:numId="21">
    <w:abstractNumId w:val="35"/>
  </w:num>
  <w:num w:numId="22">
    <w:abstractNumId w:val="52"/>
  </w:num>
  <w:num w:numId="23">
    <w:abstractNumId w:val="33"/>
  </w:num>
  <w:num w:numId="24">
    <w:abstractNumId w:val="54"/>
  </w:num>
  <w:num w:numId="25">
    <w:abstractNumId w:val="59"/>
  </w:num>
  <w:num w:numId="26">
    <w:abstractNumId w:val="81"/>
  </w:num>
  <w:num w:numId="27">
    <w:abstractNumId w:val="45"/>
  </w:num>
  <w:num w:numId="28">
    <w:abstractNumId w:val="20"/>
  </w:num>
  <w:num w:numId="29">
    <w:abstractNumId w:val="44"/>
  </w:num>
  <w:num w:numId="30">
    <w:abstractNumId w:val="23"/>
  </w:num>
  <w:num w:numId="31">
    <w:abstractNumId w:val="6"/>
  </w:num>
  <w:num w:numId="32">
    <w:abstractNumId w:val="56"/>
  </w:num>
  <w:num w:numId="33">
    <w:abstractNumId w:val="5"/>
  </w:num>
  <w:num w:numId="34">
    <w:abstractNumId w:val="37"/>
  </w:num>
  <w:num w:numId="35">
    <w:abstractNumId w:val="42"/>
  </w:num>
  <w:num w:numId="36">
    <w:abstractNumId w:val="82"/>
  </w:num>
  <w:num w:numId="37">
    <w:abstractNumId w:val="36"/>
  </w:num>
  <w:num w:numId="38">
    <w:abstractNumId w:val="22"/>
  </w:num>
  <w:num w:numId="39">
    <w:abstractNumId w:val="47"/>
  </w:num>
  <w:num w:numId="40">
    <w:abstractNumId w:val="0"/>
  </w:num>
  <w:num w:numId="41">
    <w:abstractNumId w:val="25"/>
  </w:num>
  <w:num w:numId="42">
    <w:abstractNumId w:val="50"/>
  </w:num>
  <w:num w:numId="43">
    <w:abstractNumId w:val="3"/>
  </w:num>
  <w:num w:numId="44">
    <w:abstractNumId w:val="26"/>
  </w:num>
  <w:num w:numId="45">
    <w:abstractNumId w:val="28"/>
  </w:num>
  <w:num w:numId="46">
    <w:abstractNumId w:val="55"/>
  </w:num>
  <w:num w:numId="47">
    <w:abstractNumId w:val="40"/>
  </w:num>
  <w:num w:numId="48">
    <w:abstractNumId w:val="18"/>
  </w:num>
  <w:num w:numId="49">
    <w:abstractNumId w:val="32"/>
  </w:num>
  <w:num w:numId="50">
    <w:abstractNumId w:val="27"/>
  </w:num>
  <w:num w:numId="51">
    <w:abstractNumId w:val="29"/>
  </w:num>
  <w:num w:numId="52">
    <w:abstractNumId w:val="80"/>
  </w:num>
  <w:num w:numId="53">
    <w:abstractNumId w:val="46"/>
  </w:num>
  <w:num w:numId="54">
    <w:abstractNumId w:val="2"/>
  </w:num>
  <w:num w:numId="55">
    <w:abstractNumId w:val="58"/>
  </w:num>
  <w:num w:numId="56">
    <w:abstractNumId w:val="12"/>
  </w:num>
  <w:num w:numId="57">
    <w:abstractNumId w:val="10"/>
  </w:num>
  <w:num w:numId="58">
    <w:abstractNumId w:val="13"/>
  </w:num>
  <w:num w:numId="59">
    <w:abstractNumId w:val="41"/>
  </w:num>
  <w:num w:numId="60">
    <w:abstractNumId w:val="24"/>
  </w:num>
  <w:num w:numId="61">
    <w:abstractNumId w:val="4"/>
  </w:num>
  <w:num w:numId="62">
    <w:abstractNumId w:val="49"/>
  </w:num>
  <w:num w:numId="63">
    <w:abstractNumId w:val="67"/>
  </w:num>
  <w:num w:numId="64">
    <w:abstractNumId w:val="66"/>
  </w:num>
  <w:num w:numId="65">
    <w:abstractNumId w:val="68"/>
  </w:num>
  <w:num w:numId="66">
    <w:abstractNumId w:val="69"/>
  </w:num>
  <w:num w:numId="67">
    <w:abstractNumId w:val="70"/>
  </w:num>
  <w:num w:numId="68">
    <w:abstractNumId w:val="71"/>
  </w:num>
  <w:num w:numId="69">
    <w:abstractNumId w:val="72"/>
  </w:num>
  <w:num w:numId="70">
    <w:abstractNumId w:val="73"/>
  </w:num>
  <w:num w:numId="71">
    <w:abstractNumId w:val="48"/>
  </w:num>
  <w:num w:numId="72">
    <w:abstractNumId w:val="16"/>
  </w:num>
  <w:num w:numId="73">
    <w:abstractNumId w:val="60"/>
  </w:num>
  <w:num w:numId="74">
    <w:abstractNumId w:val="61"/>
  </w:num>
  <w:num w:numId="75">
    <w:abstractNumId w:val="62"/>
  </w:num>
  <w:num w:numId="76">
    <w:abstractNumId w:val="63"/>
  </w:num>
  <w:num w:numId="77">
    <w:abstractNumId w:val="64"/>
  </w:num>
  <w:num w:numId="78">
    <w:abstractNumId w:val="65"/>
  </w:num>
  <w:num w:numId="79">
    <w:abstractNumId w:val="74"/>
  </w:num>
  <w:num w:numId="80">
    <w:abstractNumId w:val="75"/>
  </w:num>
  <w:num w:numId="81">
    <w:abstractNumId w:val="15"/>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F6D2F4F"/>
    <w:rsid w:val="0FFB8BAD"/>
    <w:rsid w:val="10E7747B"/>
    <w:rsid w:val="10F25E29"/>
    <w:rsid w:val="11FA0C01"/>
    <w:rsid w:val="128B25FE"/>
    <w:rsid w:val="12DA17D8"/>
    <w:rsid w:val="14E13331"/>
    <w:rsid w:val="15862C7E"/>
    <w:rsid w:val="164976A9"/>
    <w:rsid w:val="178D1D7E"/>
    <w:rsid w:val="17EA7887"/>
    <w:rsid w:val="18321B09"/>
    <w:rsid w:val="18616AA2"/>
    <w:rsid w:val="191F0F43"/>
    <w:rsid w:val="19E235E1"/>
    <w:rsid w:val="1A7E4CCF"/>
    <w:rsid w:val="1BCD72C9"/>
    <w:rsid w:val="1BDEE92B"/>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C550EC"/>
    <w:rsid w:val="27DB5649"/>
    <w:rsid w:val="284E53B8"/>
    <w:rsid w:val="28F73A05"/>
    <w:rsid w:val="29E223F6"/>
    <w:rsid w:val="2A7A79DE"/>
    <w:rsid w:val="2B5C1F0C"/>
    <w:rsid w:val="2BD054E2"/>
    <w:rsid w:val="2D3FA85E"/>
    <w:rsid w:val="2E16D822"/>
    <w:rsid w:val="2EAD6691"/>
    <w:rsid w:val="2F0D25D9"/>
    <w:rsid w:val="2FA97CB8"/>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7F449A0"/>
    <w:rsid w:val="3B1C12F3"/>
    <w:rsid w:val="3BB7EF34"/>
    <w:rsid w:val="3BD53B5C"/>
    <w:rsid w:val="3CC57F13"/>
    <w:rsid w:val="3D4C282D"/>
    <w:rsid w:val="3D970F4E"/>
    <w:rsid w:val="3DE106C6"/>
    <w:rsid w:val="3E540971"/>
    <w:rsid w:val="3E786275"/>
    <w:rsid w:val="3E931F0D"/>
    <w:rsid w:val="3F7E2660"/>
    <w:rsid w:val="3FA31FDD"/>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BF988C8"/>
    <w:rsid w:val="4CC51C60"/>
    <w:rsid w:val="4D3204EA"/>
    <w:rsid w:val="4D697EB1"/>
    <w:rsid w:val="4DFF95C2"/>
    <w:rsid w:val="4E08799D"/>
    <w:rsid w:val="4E2B414A"/>
    <w:rsid w:val="4F5679CC"/>
    <w:rsid w:val="501840BA"/>
    <w:rsid w:val="52B042C0"/>
    <w:rsid w:val="53827B5D"/>
    <w:rsid w:val="53E86B53"/>
    <w:rsid w:val="54D66C67"/>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606677EA"/>
    <w:rsid w:val="60F34C3C"/>
    <w:rsid w:val="617668BD"/>
    <w:rsid w:val="61D01645"/>
    <w:rsid w:val="63723353"/>
    <w:rsid w:val="64164D78"/>
    <w:rsid w:val="64993141"/>
    <w:rsid w:val="659F27EB"/>
    <w:rsid w:val="659F600E"/>
    <w:rsid w:val="66D37A2C"/>
    <w:rsid w:val="67CE6661"/>
    <w:rsid w:val="680A5A06"/>
    <w:rsid w:val="68B9403E"/>
    <w:rsid w:val="68D511B9"/>
    <w:rsid w:val="68FA6041"/>
    <w:rsid w:val="69827CEE"/>
    <w:rsid w:val="699E5049"/>
    <w:rsid w:val="6BDE71F2"/>
    <w:rsid w:val="6C9577EB"/>
    <w:rsid w:val="6CBA3A99"/>
    <w:rsid w:val="6D3A1203"/>
    <w:rsid w:val="6D7F6733"/>
    <w:rsid w:val="6E9C369D"/>
    <w:rsid w:val="6EF41B11"/>
    <w:rsid w:val="6FB17196"/>
    <w:rsid w:val="702573F3"/>
    <w:rsid w:val="706E8E93"/>
    <w:rsid w:val="70B57531"/>
    <w:rsid w:val="70FA499F"/>
    <w:rsid w:val="713B571A"/>
    <w:rsid w:val="730C182D"/>
    <w:rsid w:val="737FFDFA"/>
    <w:rsid w:val="73FC9A3F"/>
    <w:rsid w:val="751974A1"/>
    <w:rsid w:val="758B30E4"/>
    <w:rsid w:val="75F42331"/>
    <w:rsid w:val="761F7C3C"/>
    <w:rsid w:val="76683D2A"/>
    <w:rsid w:val="76C62D9E"/>
    <w:rsid w:val="779F8057"/>
    <w:rsid w:val="78244617"/>
    <w:rsid w:val="7A923507"/>
    <w:rsid w:val="7ACB640D"/>
    <w:rsid w:val="7BFF1A29"/>
    <w:rsid w:val="7C044D89"/>
    <w:rsid w:val="7C63442B"/>
    <w:rsid w:val="7C7C3745"/>
    <w:rsid w:val="7D3AA22F"/>
    <w:rsid w:val="7D546952"/>
    <w:rsid w:val="7D56646C"/>
    <w:rsid w:val="7DE35ECA"/>
    <w:rsid w:val="7DEFCC9B"/>
    <w:rsid w:val="7E1A0C5A"/>
    <w:rsid w:val="7E3212D3"/>
    <w:rsid w:val="7F365A97"/>
    <w:rsid w:val="7F5F887D"/>
    <w:rsid w:val="7FCC7D05"/>
    <w:rsid w:val="7FEF42B8"/>
    <w:rsid w:val="7FFF0B3B"/>
    <w:rsid w:val="9AFF068C"/>
    <w:rsid w:val="9FD01BC3"/>
    <w:rsid w:val="AF77296E"/>
    <w:rsid w:val="B3FE25BF"/>
    <w:rsid w:val="B73EB5C4"/>
    <w:rsid w:val="BE6E0F8F"/>
    <w:rsid w:val="C38B20D8"/>
    <w:rsid w:val="C679D4D5"/>
    <w:rsid w:val="CA7F3105"/>
    <w:rsid w:val="D3FFF2E3"/>
    <w:rsid w:val="D4B948F0"/>
    <w:rsid w:val="D4F43AA8"/>
    <w:rsid w:val="D7BE90C3"/>
    <w:rsid w:val="D8BF47B9"/>
    <w:rsid w:val="DB7AB19E"/>
    <w:rsid w:val="DDFE51CF"/>
    <w:rsid w:val="E97E32AA"/>
    <w:rsid w:val="F3C7F184"/>
    <w:rsid w:val="F3F331A4"/>
    <w:rsid w:val="F3FE7E0E"/>
    <w:rsid w:val="F3FF81F7"/>
    <w:rsid w:val="F4EDC7A5"/>
    <w:rsid w:val="F7FE62B6"/>
    <w:rsid w:val="FA543BA3"/>
    <w:rsid w:val="FB3B5DB3"/>
    <w:rsid w:val="FBFDB4E3"/>
    <w:rsid w:val="FBFF3395"/>
    <w:rsid w:val="FD7F9463"/>
    <w:rsid w:val="FDFC361F"/>
    <w:rsid w:val="FDFD5128"/>
    <w:rsid w:val="FE8FD80F"/>
    <w:rsid w:val="FEAED78B"/>
    <w:rsid w:val="FF4BD653"/>
    <w:rsid w:val="FF6C6882"/>
    <w:rsid w:val="FFFEC61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5"/>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6"/>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character" w:customStyle="1" w:styleId="16">
    <w:name w:val="批注文字 字符"/>
    <w:link w:val="5"/>
    <w:uiPriority w:val="0"/>
    <w:rPr>
      <w:rFonts w:ascii="Calibri" w:hAnsi="Calibri" w:cs="黑体"/>
      <w:kern w:val="2"/>
      <w:sz w:val="21"/>
      <w:szCs w:val="24"/>
    </w:rPr>
  </w:style>
  <w:style w:type="character" w:customStyle="1" w:styleId="17">
    <w:name w:val="批注框文本 字符"/>
    <w:link w:val="6"/>
    <w:uiPriority w:val="0"/>
    <w:rPr>
      <w:rFonts w:ascii="Calibri" w:hAnsi="Calibri" w:cs="黑体"/>
      <w:kern w:val="2"/>
      <w:sz w:val="18"/>
      <w:szCs w:val="18"/>
    </w:rPr>
  </w:style>
  <w:style w:type="character" w:customStyle="1" w:styleId="18">
    <w:name w:val="批注主题 字符"/>
    <w:link w:val="10"/>
    <w:uiPriority w:val="0"/>
    <w:rPr>
      <w:rFonts w:ascii="Calibri" w:hAnsi="Calibri" w:cs="黑体"/>
      <w:b/>
      <w:bCs/>
      <w:kern w:val="2"/>
      <w:sz w:val="21"/>
      <w:szCs w:val="24"/>
    </w:rPr>
  </w:style>
  <w:style w:type="paragraph" w:customStyle="1" w:styleId="19">
    <w:name w:val="List Paragraph"/>
    <w:basedOn w:val="1"/>
    <w:unhideWhenUsed/>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qFormat/>
    <w:uiPriority w:val="0"/>
    <w:rPr>
      <w:rFonts w:ascii="Calibri" w:hAnsi="Calibri" w:cs="黑体"/>
      <w:kern w:val="2"/>
      <w:sz w:val="18"/>
      <w:szCs w:val="18"/>
    </w:rPr>
  </w:style>
  <w:style w:type="paragraph" w:customStyle="1" w:styleId="24">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25">
    <w:name w:val="标题 2 Char"/>
    <w:link w:val="3"/>
    <w:qFormat/>
    <w:uiPriority w:val="0"/>
    <w:rPr>
      <w:rFonts w:ascii="Arial" w:hAnsi="Arial" w:eastAsia="宋体"/>
      <w:b/>
      <w:sz w:val="24"/>
    </w:rPr>
  </w:style>
  <w:style w:type="character" w:customStyle="1" w:styleId="26">
    <w:name w:val="标题 3 Char"/>
    <w:link w:val="4"/>
    <w:qFormat/>
    <w:uiPriority w:val="0"/>
    <w:rPr>
      <w:rFonts w:hAnsi="Calibri" w:eastAsia="宋体"/>
      <w:b/>
      <w:sz w:val="24"/>
    </w:rPr>
  </w:style>
  <w:style w:type="character" w:customStyle="1" w:styleId="27">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40119</Words>
  <Characters>42939</Characters>
  <Lines>1</Lines>
  <Paragraphs>1</Paragraphs>
  <TotalTime>0</TotalTime>
  <ScaleCrop>false</ScaleCrop>
  <LinksUpToDate>false</LinksUpToDate>
  <CharactersWithSpaces>43283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2014-11-04T12:08:00Z</dcterms:created>
  <dc:creator>Administrator</dc:creator>
  <cp:lastModifiedBy>hccb</cp:lastModifiedBy>
  <dcterms:modified xsi:type="dcterms:W3CDTF">2026-07-28T03:09:13Z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7DFF8D4908FEDD79F96B4F6ACA32B2F2_43</vt:lpwstr>
  </property>
  <property fmtid="{D5CDD505-2E9C-101B-9397-08002B2CF9AE}" pid="3" name="KSOProductBuildVer">
    <vt:lpwstr>2052-11.8.2.8411</vt:lpwstr>
  </property>
</Properties>
</file>