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苏银理财恒源1年定开12期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计划存续期限为</w:t>
      </w:r>
      <w:r>
        <w:rPr>
          <w:rFonts w:hint="eastAsia" w:ascii="楷体" w:hAnsi="楷体" w:eastAsia="楷体" w:cs="Calibri"/>
          <w:b/>
          <w:color w:val="auto"/>
          <w:sz w:val="21"/>
          <w:szCs w:val="21"/>
          <w:highlight w:val="none"/>
          <w:u w:val="single"/>
          <w:lang w:val="en-US" w:eastAsia="zh-CN"/>
        </w:rPr>
        <w:t>无固定期限</w:t>
      </w:r>
      <w:r>
        <w:rPr>
          <w:rFonts w:hint="eastAsia" w:ascii="楷体" w:hAnsi="楷体" w:eastAsia="楷体"/>
          <w:color w:val="auto"/>
          <w:sz w:val="21"/>
          <w:szCs w:val="21"/>
          <w:highlight w:val="none"/>
          <w:lang w:val="en-US" w:eastAsia="zh-CN"/>
        </w:rPr>
        <w:t>，</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投资者的风险承受能力等级不低于本产品风险评级。若</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rPr>
        <w:t>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highlight w:val="none"/>
        </w:rPr>
        <w:t>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rPr>
        <w:t>投资者亲笔抄录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本人/本机构已经阅读风险揭示，愿意承担投资风险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苏银理财恒源1年定开12期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（2026年8月版）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等。请仔细阅读《“苏银理财恒源1年定开12期”理财产品风险揭示书》的“风险揭示”部分。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苏银理财恒源1年定开12期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Z7003121000047</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A份额:苏银理财恒源1年定开12期A/J00253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B份额:苏银理财恒源1年定开12期B/J00254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C份额:苏银理财恒源1年定开12期C/J25338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D份额:苏银理财恒源1年定开12期D/J02464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F份额:苏银理财恒源1年定开12期F/J02465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G份额:苏银理财恒源1年定开12期G/J02466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J份额:苏银理财恒源1年定开12期J/J02467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M份额:苏银理财恒源1年定开12期M/J03403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P份额:苏银理财恒源1年定开12期P/J04950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GS份额:苏银理财恒源1年定开12期GS/J25340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S份额:苏银理财恒源1年定开12期S（专享）/J25341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U份额:苏银理财恒源1年定开12期U/J25342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L份额:苏银理财恒源1年定开12期L/J25343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Z份额:苏银理财恒源1年定开12期Z/J25344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Z1份额:苏银理财恒源1年定开12期Z1/J25345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Z2份额:苏银理财恒源1年定开12期Z2/J25346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ZA份额:苏银理财恒源1年定开12期ZA鑫福款（自动赎回）/J02469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ZF份额:苏银理财恒源1年定开12期ZF（自动赎回）/J02470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ZF2份额:苏银理财恒源1年定开12期ZF2（自动赎回）/J25347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ZF3份额:苏银理财恒源1年定开12期ZF3（自动赎回）/J25348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ZF4份额:苏银理财恒源1年定开12期ZF4（自动赎回）/J25349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ZF5份额:苏银理财恒源1年定开12期ZF5（自动赎回）/J25350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ZJ份额:苏银理财恒源1年定开12期ZJ（自动赎回）/J25351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ZL份额:苏银理财恒源1年定开12期ZL（自动赎回）/J25352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天府·优选份额:苏银理财恒源1年定开12期（天府·优选）/J25353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ZN份额:苏银理财恒源1年定开12期ZN（自动赎回）/J04951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ZQ份额:苏银理财恒源1年定开12期ZQ（自动赎回）/J04952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ZC份额:苏银理财恒源1年定开12期ZC鑫福优享（自动赎回）/J25354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ZK份额:苏银理财恒源1年定开12期ZK鑫福尊享（自动赎回）/J25355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参考。理财产品存续期间，若市场环境等因素发生变化，在符合监管政策要求的前提下管理人可对产品风险评级进行调整，并及时将调整情况向投资者披露。</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M份额:100元/100元的整数倍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L份额:1,000,000元/10,000元的整数倍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Z1份额:10,000元/1元的整数倍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Z2份额:500,000元/10,000元的整数倍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ZF2份额:1000元/1000元的整数倍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ZF3份额:100元/100元的整数倍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ZF4份额:1000元/1000元的整数倍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ZF5份额:100元/100元的整数倍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天府·优选份额:100元/100元的整数倍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2021年5月19日至2021年5月25日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2021年5月26日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2031年5月27日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最新投资周期（2026年8月12日-2027年9月2日）开放申购与赎回时间为：2026年8月3日至2026年8月11日</w:t>
            </w:r>
            <w:r>
              <w:rPr>
                <w:rFonts w:hint="eastAsia" w:ascii="楷体" w:hAnsi="楷体" w:eastAsia="楷体" w:cs="宋体"/>
                <w:b w:val="0"/>
                <w:bCs w:val="0"/>
                <w:spacing w:val="-2"/>
                <w:sz w:val="18"/>
                <w:szCs w:val="18"/>
                <w:highlight w:val="none"/>
                <w:lang w:val="en-US" w:eastAsia="zh-CN"/>
              </w:rPr>
              <w:t>（</w:t>
            </w:r>
            <w:r>
              <w:rPr>
                <w:rFonts w:hint="eastAsia" w:ascii="楷体" w:hAnsi="楷体" w:eastAsia="楷体" w:cs="宋体"/>
                <w:b w:val="0"/>
                <w:bCs w:val="0"/>
                <w:spacing w:val="-2"/>
                <w:sz w:val="18"/>
                <w:szCs w:val="18"/>
                <w:highlight w:val="none"/>
              </w:rPr>
              <w:t>以各销售机构设置的时间为准</w:t>
            </w:r>
            <w:r>
              <w:rPr>
                <w:rFonts w:hint="eastAsia" w:ascii="楷体" w:hAnsi="楷体" w:eastAsia="楷体" w:cs="宋体"/>
                <w:b w:val="0"/>
                <w:bCs w:val="0"/>
                <w:spacing w:val="-2"/>
                <w:sz w:val="18"/>
                <w:szCs w:val="18"/>
                <w:highlight w:val="none"/>
                <w:lang w:val="en-US" w:eastAsia="zh-CN"/>
              </w:rPr>
              <w:t>）</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(其中ZA份额/ZF份额/ZF2份额/ZF3份额/ZF4份额/ZF5份额/ZJ份额/ZL份额/ZN份额/ZQ份额/ZC份额/ZK份额/天府·优选份额由系统主动发起赎回申请，投资者无须发起赎回申请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numPr>
                <w:ilvl w:val="0"/>
                <w:numId w:val="0"/>
              </w:numPr>
              <w:wordWrap/>
              <w:topLinePunct w:val="0"/>
              <w:bidi w:val="0"/>
              <w:snapToGrid/>
              <w:spacing w:line="0" w:lineRule="atLeast"/>
              <w:ind w:right="0" w:rightChars="0"/>
              <w:textAlignment w:val="auto"/>
              <w:rPr>
                <w:rFonts w:hint="eastAsia" w:ascii="楷体" w:hAnsi="楷体" w:eastAsia="楷体" w:cs="宋体"/>
                <w:b/>
                <w:bCs w:val="0"/>
                <w:spacing w:val="-2"/>
                <w:sz w:val="18"/>
                <w:szCs w:val="18"/>
                <w:highlight w:val="none"/>
                <w:u w:val="single"/>
              </w:rPr>
            </w:pPr>
            <w:r>
              <w:rPr>
                <w:rFonts w:hint="eastAsia" w:ascii="楷体" w:hAnsi="楷体" w:eastAsia="楷体" w:cs="宋体"/>
                <w:b/>
                <w:bCs w:val="0"/>
                <w:spacing w:val="-2"/>
                <w:sz w:val="18"/>
                <w:szCs w:val="18"/>
                <w:highlight w:val="none"/>
                <w:u w:val="single"/>
              </w:rPr>
              <w:t>本产品单个开放日投资者净赎回额（赎回申请份额总数扣除申购申请份额总数）超过上一日日终份额10%时，即认为发生了巨额赎回。管理人可以根据本产品当时的资产组合状况决定采取全额赎回、部分赎回、延期办理巨额赎回等措施。</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当管理人认为兑付投资者的赎回申请可能会对产品的资产净值造成较大波动时，当日办理的赎回份额不得低于前一日日终理财产品总份额的10%，对其余赎回申请管理人有权暂停接受或延期办理。对该产品单个投资者的赎回申请，按照其申请占当日申请赎回总份额的比例，确定该投资者当日办理的赎回份额。（示例：某投资者当日申请赎回份额5万份，当日全部赎回申请10000万份，假设前一日日终总份额50000万份，发生巨额赎回，管理人当日办理的赎回份额5000万份，则该投资者当日确认办理的份额为5/10000*5000=2.5万份。）</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3.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4.延缓支付赎回款项：连续2个以上开放日发生巨额赎回的，管理人除有权选择全额赎回或部分赎回等措施外，对于已经接受的赎回申请，管理人可以延缓支付赎回款项，但延缓期限不得超过20个工作日。</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当采取非全额赎回措施时，管理人将在采取相关措施后3个工作日内进行信息披露。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各类份额最新投资周期（2026年8月12日-2027年9月2日）业绩比较基准如下：</w:t>
            </w:r>
          </w:p>
          <w:p>
            <w:pPr>
              <w:pStyle w:val="23"/>
              <w:keepNext w:val="0"/>
              <w:keepLines w:val="0"/>
              <w:pageBreakBefore w:val="0"/>
              <w:widowControl w:val="0"/>
              <w:numPr>
                <w:ilvl w:val="0"/>
                <w:numId w:val="0"/>
              </w:numPr>
              <w:kinsoku/>
              <w:wordWrap/>
              <w:overflowPunct w:val="0"/>
              <w:topLinePunct w:val="0"/>
              <w:autoSpaceDE w:val="0"/>
              <w:autoSpaceDN w:val="0"/>
              <w:bidi w:val="0"/>
              <w:adjustRightInd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ascii="楷体" w:hAnsi="楷体" w:eastAsia="楷体"/>
                <w:sz w:val="18"/>
              </w:rPr>
              <w:t>A份额2.40%-3.00%</w:t>
            </w:r>
            <w:r>
              <w:rPr>
                <w:rFonts w:hint="eastAsia" w:ascii="楷体" w:hAnsi="楷体" w:eastAsia="楷体"/>
                <w:sz w:val="18"/>
                <w:lang w:eastAsia="zh-CN"/>
              </w:rPr>
              <w:t>；</w:t>
            </w:r>
            <w:r>
              <w:rPr>
                <w:rFonts w:ascii="楷体" w:hAnsi="楷体" w:eastAsia="楷体"/>
                <w:sz w:val="18"/>
              </w:rPr>
              <w:t>B份额2.43%-3.03%</w:t>
            </w:r>
            <w:r>
              <w:rPr>
                <w:rFonts w:hint="eastAsia" w:ascii="楷体" w:hAnsi="楷体" w:eastAsia="楷体"/>
                <w:sz w:val="18"/>
                <w:lang w:eastAsia="zh-CN"/>
              </w:rPr>
              <w:t>；</w:t>
            </w:r>
            <w:r>
              <w:rPr>
                <w:rFonts w:ascii="楷体" w:hAnsi="楷体" w:eastAsia="楷体"/>
                <w:sz w:val="18"/>
              </w:rPr>
              <w:t>C份额2.45%-3.05%</w:t>
            </w:r>
            <w:r>
              <w:rPr>
                <w:rFonts w:hint="eastAsia" w:ascii="楷体" w:hAnsi="楷体" w:eastAsia="楷体"/>
                <w:sz w:val="18"/>
                <w:lang w:eastAsia="zh-CN"/>
              </w:rPr>
              <w:t>；</w:t>
            </w:r>
            <w:r>
              <w:rPr>
                <w:rFonts w:ascii="楷体" w:hAnsi="楷体" w:eastAsia="楷体"/>
                <w:sz w:val="18"/>
              </w:rPr>
              <w:t>D份额2.55%-3.15%</w:t>
            </w:r>
            <w:r>
              <w:rPr>
                <w:rFonts w:hint="eastAsia" w:ascii="楷体" w:hAnsi="楷体" w:eastAsia="楷体"/>
                <w:sz w:val="18"/>
                <w:lang w:eastAsia="zh-CN"/>
              </w:rPr>
              <w:t>；</w:t>
            </w:r>
            <w:r>
              <w:rPr>
                <w:rFonts w:ascii="楷体" w:hAnsi="楷体" w:eastAsia="楷体"/>
                <w:sz w:val="18"/>
              </w:rPr>
              <w:t>F份额2.40%-3.00%</w:t>
            </w:r>
            <w:r>
              <w:rPr>
                <w:rFonts w:hint="eastAsia" w:ascii="楷体" w:hAnsi="楷体" w:eastAsia="楷体"/>
                <w:sz w:val="18"/>
                <w:lang w:eastAsia="zh-CN"/>
              </w:rPr>
              <w:t>；</w:t>
            </w:r>
            <w:r>
              <w:rPr>
                <w:rFonts w:ascii="楷体" w:hAnsi="楷体" w:eastAsia="楷体"/>
                <w:sz w:val="18"/>
              </w:rPr>
              <w:t>G份额2.43%-3.03%</w:t>
            </w:r>
            <w:r>
              <w:rPr>
                <w:rFonts w:hint="eastAsia" w:ascii="楷体" w:hAnsi="楷体" w:eastAsia="楷体"/>
                <w:sz w:val="18"/>
                <w:lang w:eastAsia="zh-CN"/>
              </w:rPr>
              <w:t>；</w:t>
            </w:r>
            <w:r>
              <w:rPr>
                <w:rFonts w:ascii="楷体" w:hAnsi="楷体" w:eastAsia="楷体"/>
                <w:sz w:val="18"/>
              </w:rPr>
              <w:t>J份额2.50%-3.10%</w:t>
            </w:r>
            <w:r>
              <w:rPr>
                <w:rFonts w:hint="eastAsia" w:ascii="楷体" w:hAnsi="楷体" w:eastAsia="楷体"/>
                <w:sz w:val="18"/>
                <w:lang w:eastAsia="zh-CN"/>
              </w:rPr>
              <w:t>；</w:t>
            </w:r>
            <w:r>
              <w:rPr>
                <w:rFonts w:ascii="楷体" w:hAnsi="楷体" w:eastAsia="楷体"/>
                <w:sz w:val="18"/>
              </w:rPr>
              <w:t>M份额2.55%-3.15%</w:t>
            </w:r>
            <w:r>
              <w:rPr>
                <w:rFonts w:hint="eastAsia" w:ascii="楷体" w:hAnsi="楷体" w:eastAsia="楷体"/>
                <w:sz w:val="18"/>
                <w:lang w:eastAsia="zh-CN"/>
              </w:rPr>
              <w:t>；</w:t>
            </w:r>
            <w:r>
              <w:rPr>
                <w:rFonts w:ascii="楷体" w:hAnsi="楷体" w:eastAsia="楷体"/>
                <w:sz w:val="18"/>
              </w:rPr>
              <w:t>P份额2.65%-3.25%</w:t>
            </w:r>
            <w:r>
              <w:rPr>
                <w:rFonts w:hint="eastAsia" w:ascii="楷体" w:hAnsi="楷体" w:eastAsia="楷体"/>
                <w:sz w:val="18"/>
                <w:lang w:eastAsia="zh-CN"/>
              </w:rPr>
              <w:t>；</w:t>
            </w:r>
            <w:r>
              <w:rPr>
                <w:rFonts w:ascii="楷体" w:hAnsi="楷体" w:eastAsia="楷体"/>
                <w:sz w:val="18"/>
              </w:rPr>
              <w:t>GS份额2.55%-3.15%</w:t>
            </w:r>
            <w:r>
              <w:rPr>
                <w:rFonts w:hint="eastAsia" w:ascii="楷体" w:hAnsi="楷体" w:eastAsia="楷体"/>
                <w:sz w:val="18"/>
                <w:lang w:eastAsia="zh-CN"/>
              </w:rPr>
              <w:t>；</w:t>
            </w:r>
            <w:r>
              <w:rPr>
                <w:rFonts w:ascii="楷体" w:hAnsi="楷体" w:eastAsia="楷体"/>
                <w:sz w:val="18"/>
              </w:rPr>
              <w:t>S份额2.50%-3.10%</w:t>
            </w:r>
            <w:r>
              <w:rPr>
                <w:rFonts w:hint="eastAsia" w:ascii="楷体" w:hAnsi="楷体" w:eastAsia="楷体"/>
                <w:sz w:val="18"/>
                <w:lang w:eastAsia="zh-CN"/>
              </w:rPr>
              <w:t>；</w:t>
            </w:r>
            <w:r>
              <w:rPr>
                <w:rFonts w:ascii="楷体" w:hAnsi="楷体" w:eastAsia="楷体"/>
                <w:sz w:val="18"/>
              </w:rPr>
              <w:t>U份额2.40%-3.00%</w:t>
            </w:r>
            <w:r>
              <w:rPr>
                <w:rFonts w:hint="eastAsia" w:ascii="楷体" w:hAnsi="楷体" w:eastAsia="楷体"/>
                <w:sz w:val="18"/>
                <w:lang w:eastAsia="zh-CN"/>
              </w:rPr>
              <w:t>；</w:t>
            </w:r>
            <w:r>
              <w:rPr>
                <w:rFonts w:ascii="楷体" w:hAnsi="楷体" w:eastAsia="楷体"/>
                <w:sz w:val="18"/>
              </w:rPr>
              <w:t>L份额2.50%-3.10%</w:t>
            </w:r>
            <w:r>
              <w:rPr>
                <w:rFonts w:hint="eastAsia" w:ascii="楷体" w:hAnsi="楷体" w:eastAsia="楷体"/>
                <w:sz w:val="18"/>
                <w:lang w:eastAsia="zh-CN"/>
              </w:rPr>
              <w:t>；</w:t>
            </w:r>
            <w:r>
              <w:rPr>
                <w:rFonts w:ascii="楷体" w:hAnsi="楷体" w:eastAsia="楷体"/>
                <w:sz w:val="18"/>
              </w:rPr>
              <w:t>Z份额2.40%-3.00%</w:t>
            </w:r>
            <w:r>
              <w:rPr>
                <w:rFonts w:hint="eastAsia" w:ascii="楷体" w:hAnsi="楷体" w:eastAsia="楷体"/>
                <w:sz w:val="18"/>
                <w:lang w:eastAsia="zh-CN"/>
              </w:rPr>
              <w:t>；</w:t>
            </w:r>
            <w:r>
              <w:rPr>
                <w:rFonts w:ascii="楷体" w:hAnsi="楷体" w:eastAsia="楷体"/>
                <w:sz w:val="18"/>
              </w:rPr>
              <w:t>Z1份额2.50%-3.10%</w:t>
            </w:r>
            <w:r>
              <w:rPr>
                <w:rFonts w:hint="eastAsia" w:ascii="楷体" w:hAnsi="楷体" w:eastAsia="楷体"/>
                <w:sz w:val="18"/>
                <w:lang w:eastAsia="zh-CN"/>
              </w:rPr>
              <w:t>；</w:t>
            </w:r>
            <w:r>
              <w:rPr>
                <w:rFonts w:ascii="楷体" w:hAnsi="楷体" w:eastAsia="楷体"/>
                <w:sz w:val="18"/>
              </w:rPr>
              <w:t>Z2份额2.55%-3.15%</w:t>
            </w:r>
            <w:r>
              <w:rPr>
                <w:rFonts w:hint="eastAsia" w:ascii="楷体" w:hAnsi="楷体" w:eastAsia="楷体"/>
                <w:sz w:val="18"/>
                <w:lang w:eastAsia="zh-CN"/>
              </w:rPr>
              <w:t>；</w:t>
            </w:r>
            <w:r>
              <w:rPr>
                <w:rFonts w:ascii="楷体" w:hAnsi="楷体" w:eastAsia="楷体"/>
                <w:sz w:val="18"/>
              </w:rPr>
              <w:t>ZA份额2.40%-3.00%</w:t>
            </w:r>
            <w:r>
              <w:rPr>
                <w:rFonts w:hint="eastAsia" w:ascii="楷体" w:hAnsi="楷体" w:eastAsia="楷体"/>
                <w:sz w:val="18"/>
                <w:lang w:eastAsia="zh-CN"/>
              </w:rPr>
              <w:t>；</w:t>
            </w:r>
            <w:r>
              <w:rPr>
                <w:rFonts w:ascii="楷体" w:hAnsi="楷体" w:eastAsia="楷体"/>
                <w:sz w:val="18"/>
              </w:rPr>
              <w:t>ZF份额2.40%-3.00%</w:t>
            </w:r>
            <w:r>
              <w:rPr>
                <w:rFonts w:hint="eastAsia" w:ascii="楷体" w:hAnsi="楷体" w:eastAsia="楷体"/>
                <w:sz w:val="18"/>
                <w:lang w:eastAsia="zh-CN"/>
              </w:rPr>
              <w:t>；</w:t>
            </w:r>
            <w:r>
              <w:rPr>
                <w:rFonts w:ascii="楷体" w:hAnsi="楷体" w:eastAsia="楷体"/>
                <w:sz w:val="18"/>
              </w:rPr>
              <w:t>ZF2份额2.55%-3.15%</w:t>
            </w:r>
            <w:r>
              <w:rPr>
                <w:rFonts w:hint="eastAsia" w:ascii="楷体" w:hAnsi="楷体" w:eastAsia="楷体"/>
                <w:sz w:val="18"/>
                <w:lang w:eastAsia="zh-CN"/>
              </w:rPr>
              <w:t>；</w:t>
            </w:r>
            <w:r>
              <w:rPr>
                <w:rFonts w:ascii="楷体" w:hAnsi="楷体" w:eastAsia="楷体"/>
                <w:sz w:val="18"/>
              </w:rPr>
              <w:t>ZF3份额2.45%-3.05%</w:t>
            </w:r>
            <w:r>
              <w:rPr>
                <w:rFonts w:hint="eastAsia" w:ascii="楷体" w:hAnsi="楷体" w:eastAsia="楷体"/>
                <w:sz w:val="18"/>
                <w:lang w:eastAsia="zh-CN"/>
              </w:rPr>
              <w:t>；</w:t>
            </w:r>
            <w:r>
              <w:rPr>
                <w:rFonts w:ascii="楷体" w:hAnsi="楷体" w:eastAsia="楷体"/>
                <w:sz w:val="18"/>
              </w:rPr>
              <w:t>ZF4份额2.60%-3.20%</w:t>
            </w:r>
            <w:r>
              <w:rPr>
                <w:rFonts w:hint="eastAsia" w:ascii="楷体" w:hAnsi="楷体" w:eastAsia="楷体"/>
                <w:sz w:val="18"/>
                <w:lang w:eastAsia="zh-CN"/>
              </w:rPr>
              <w:t>；</w:t>
            </w:r>
            <w:r>
              <w:rPr>
                <w:rFonts w:ascii="楷体" w:hAnsi="楷体" w:eastAsia="楷体"/>
                <w:sz w:val="18"/>
              </w:rPr>
              <w:t>ZF5份额2.50%-3.10%</w:t>
            </w:r>
            <w:r>
              <w:rPr>
                <w:rFonts w:hint="eastAsia" w:ascii="楷体" w:hAnsi="楷体" w:eastAsia="楷体"/>
                <w:sz w:val="18"/>
                <w:lang w:eastAsia="zh-CN"/>
              </w:rPr>
              <w:t>；</w:t>
            </w:r>
            <w:r>
              <w:rPr>
                <w:rFonts w:ascii="楷体" w:hAnsi="楷体" w:eastAsia="楷体"/>
                <w:sz w:val="18"/>
              </w:rPr>
              <w:t>ZJ份额2.70%-3.30%</w:t>
            </w:r>
            <w:r>
              <w:rPr>
                <w:rFonts w:hint="eastAsia" w:ascii="楷体" w:hAnsi="楷体" w:eastAsia="楷体"/>
                <w:sz w:val="18"/>
                <w:lang w:eastAsia="zh-CN"/>
              </w:rPr>
              <w:t>；</w:t>
            </w:r>
            <w:r>
              <w:rPr>
                <w:rFonts w:ascii="楷体" w:hAnsi="楷体" w:eastAsia="楷体"/>
                <w:sz w:val="18"/>
              </w:rPr>
              <w:t>ZL份额2.55%-3.15%</w:t>
            </w:r>
            <w:r>
              <w:rPr>
                <w:rFonts w:hint="eastAsia" w:ascii="楷体" w:hAnsi="楷体" w:eastAsia="楷体"/>
                <w:sz w:val="18"/>
                <w:lang w:eastAsia="zh-CN"/>
              </w:rPr>
              <w:t>；</w:t>
            </w:r>
            <w:r>
              <w:rPr>
                <w:rFonts w:hint="eastAsia" w:ascii="楷体" w:hAnsi="楷体" w:eastAsia="楷体"/>
                <w:sz w:val="18"/>
              </w:rPr>
              <w:t>天府·优选份额</w:t>
            </w:r>
            <w:r>
              <w:rPr>
                <w:rFonts w:ascii="楷体" w:hAnsi="楷体" w:eastAsia="楷体"/>
                <w:sz w:val="18"/>
              </w:rPr>
              <w:t>2.55%-3.15%</w:t>
            </w:r>
            <w:r>
              <w:rPr>
                <w:rFonts w:hint="eastAsia" w:ascii="楷体" w:hAnsi="楷体" w:eastAsia="楷体"/>
                <w:sz w:val="18"/>
                <w:lang w:eastAsia="zh-CN"/>
              </w:rPr>
              <w:t>；</w:t>
            </w:r>
            <w:r>
              <w:rPr>
                <w:rFonts w:ascii="楷体" w:hAnsi="楷体" w:eastAsia="楷体"/>
                <w:sz w:val="18"/>
              </w:rPr>
              <w:t>ZN份额2.55%-3.15%</w:t>
            </w:r>
            <w:r>
              <w:rPr>
                <w:rFonts w:hint="eastAsia" w:ascii="楷体" w:hAnsi="楷体" w:eastAsia="楷体"/>
                <w:sz w:val="18"/>
                <w:lang w:eastAsia="zh-CN"/>
              </w:rPr>
              <w:t>；</w:t>
            </w:r>
            <w:r>
              <w:rPr>
                <w:rFonts w:ascii="楷体" w:hAnsi="楷体" w:eastAsia="楷体"/>
                <w:sz w:val="18"/>
              </w:rPr>
              <w:t>ZQ份额2.40%-3.00%</w:t>
            </w:r>
            <w:r>
              <w:rPr>
                <w:rFonts w:hint="eastAsia" w:ascii="楷体" w:hAnsi="楷体" w:eastAsia="楷体"/>
                <w:sz w:val="18"/>
                <w:lang w:eastAsia="zh-CN"/>
              </w:rPr>
              <w:t>；</w:t>
            </w:r>
            <w:r>
              <w:rPr>
                <w:rFonts w:ascii="楷体" w:hAnsi="楷体" w:eastAsia="楷体"/>
                <w:sz w:val="18"/>
              </w:rPr>
              <w:t>ZC份额2.45%-3.05%</w:t>
            </w:r>
            <w:r>
              <w:rPr>
                <w:rFonts w:hint="eastAsia" w:ascii="楷体" w:hAnsi="楷体" w:eastAsia="楷体"/>
                <w:sz w:val="18"/>
                <w:lang w:eastAsia="zh-CN"/>
              </w:rPr>
              <w:t>；</w:t>
            </w:r>
            <w:r>
              <w:rPr>
                <w:rFonts w:ascii="楷体" w:hAnsi="楷体" w:eastAsia="楷体"/>
                <w:sz w:val="18"/>
              </w:rPr>
              <w:t>ZK份额2.55%-3.15%</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0.55%，B份额 0.55%，C份额 0.55%，D份额 0.55%，F份额 0.65%，G份额 0.55%，J份额 0.55%，M份额 0.55%，P份额 0.45%，GS份额 0.55%，S份额 0.65%，U份额 0.60%，L份额 0.52%，Z份额 0.70%，Z1份额 0.60%，Z2份额 0.55%，ZA份额 0.65%，ZF份额 0.65%，ZF2份额 0.60%，ZF3份额 0.65%，ZF4份额 0.55%，ZF5份额 0.65%，ZJ份额 0.45%，ZL份额 0.50%，</w:t>
            </w:r>
            <w:r>
              <w:rPr>
                <w:rFonts w:hint="eastAsia" w:ascii="楷体" w:hAnsi="楷体" w:eastAsia="楷体"/>
                <w:sz w:val="18"/>
              </w:rPr>
              <w:t>天府·优选份额</w:t>
            </w:r>
            <w:r>
              <w:rPr>
                <w:rFonts w:hint="eastAsia" w:ascii="楷体" w:hAnsi="楷体" w:eastAsia="楷体" w:cs="宋体"/>
                <w:color w:val="auto"/>
                <w:spacing w:val="-2"/>
                <w:sz w:val="18"/>
                <w:szCs w:val="18"/>
                <w:highlight w:val="none"/>
                <w:lang w:val="en-US" w:eastAsia="zh-CN"/>
              </w:rPr>
              <w:t xml:space="preserve"> 0.65%，ZN份额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0.70%，G份额 0.77%，J份额 0.70%，M份额 0.65%，P份额 0.65%，GS份额 0.65%，S份额 0.60%，U份额 0.75%，L份额 0.73%，Z份额 0.65%，Z1份额 0.65%，Z2份额 0.65%，ZA份额 0.70%，ZF份额 0.70%，ZF2份额 0.60%，ZF3份额 0.65%，ZF4份额 0.60%，ZF5份额 0.60%，ZJ份额 0.60%，ZL份额 0.70%，</w:t>
            </w:r>
            <w:r>
              <w:rPr>
                <w:rFonts w:hint="eastAsia" w:ascii="楷体" w:hAnsi="楷体" w:eastAsia="楷体"/>
                <w:sz w:val="18"/>
              </w:rPr>
              <w:t>天府·优选份额</w:t>
            </w:r>
            <w:r>
              <w:rPr>
                <w:rFonts w:hint="eastAsia" w:ascii="楷体" w:hAnsi="楷体" w:eastAsia="楷体" w:cs="宋体"/>
                <w:color w:val="auto"/>
                <w:spacing w:val="-2"/>
                <w:sz w:val="18"/>
                <w:szCs w:val="18"/>
                <w:highlight w:val="none"/>
                <w:lang w:val="en-US" w:eastAsia="zh-CN"/>
              </w:rPr>
              <w:t xml:space="preserve"> 0.55%，ZN份额 0.65%，ZQ份额 0.70%，ZC份额 0.70%，ZK份额 0.70%。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江阴农村商业银行股份有限公司/江苏如皋农村商业银行股份有限公司/江苏高淳农村商业银行股份有限公司/江苏扬州农村商业银行股份有限公司/江苏句容农村商业银行股份有限公司/江苏南通农村商业银行股份有限公司/江苏阜宁农村商业银行股份有限公司/江苏丹阳农村商业银行股份有限公司/江苏高邮农村商业银行股份有限公司/江苏宜兴农村商业银行股份有限公司/江苏扬中农村商业银行股份有限公司/江苏靖江农村商业银行股份有限公司/江苏海安农村商业银行股份有限公司/江苏涟水农村商业银行股份有限公司/江苏仪征农村商业银行股份有限公司/江苏溧水农村商业银行股份有限公司/江苏盱眙农村商业银行股份有限公司/江苏紫金农村商业银行股份有限公司/江苏泰兴农村商业银行股份有限公司/江苏东台农村商业银行股份有限公司/江苏银行股份有限公司/江苏邳州农村商业银行股份有限公司/九江银行股份有限公司/江苏沭阳农村商业银行股份有限公司/江苏淮安农村商业银行股份有限公司/江苏如东农村商业银行股份有限公司/江苏洪泽农村商业银行股份有限公司/江苏新沂农村商业银行股份有限公司/宁波东海银行股份有限公司/齐鲁银行股份有限公司/上海农村商业银行股份有限公司/上海银行股份有限公司/苏银理财有限责任公司/威海银行股份有限公司/兴业银行股份有限公司钱大/徐州农村商业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苏州农村商业银行股份有限公司/江苏如皋农村商业银行股份有限公司/江苏高淳农村商业银行股份有限公司/江苏常熟农村商业银行股份有限公司/江苏扬州农村商业银行股份有限公司/江苏句容农村商业银行股份有限公司/江苏南通农村商业银行股份有限公司/江苏阜宁农村商业银行股份有限公司/江苏丹阳农村商业银行股份有限公司/江苏高邮农村商业银行股份有限公司/江苏宜兴农村商业银行股份有限公司/江苏扬中农村商业银行股份有限公司/江苏靖江农村商业银行股份有限公司/江苏海安农村商业银行股份有限公司/江苏涟水农村商业银行股份有限公司/江苏仪征农村商业银行股份有限公司/江苏溧水农村商业银行股份有限公司/江苏盱眙农村商业银行股份有限公司/江苏紫金农村商业银行股份有限公司/江苏泰兴农村商业银行股份有限公司/江苏东台农村商业银行股份有限公司/江苏银行股份有限公司/江苏邳州农村商业银行股份有限公司/江苏沭阳农村商业银行股份有限公司/江苏淮安农村商业银行股份有限公司/江苏如东农村商业银行股份有限公司/江苏洪泽农村商业银行股份有限公司/江苏新沂农村商业银行股份有限公司/宁波东海银行股份有限公司/齐鲁银行股份有限公司/苏银理财有限责任公司/威海银行股份有限公司/兴业银行股份有限公司钱大/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广州银行股份有限公司/广州农村商业银行股份有限公司/甘肃银行股份有限公司/杭州联合农村商业银行股份有限公司/华侨银行有限公司/九江银行股份有限公司/交通银行股份有限公司/宁波余姚农村商业银行股份有限公司/宁波慈溪农村商业银行股份有限公司/宁波通商银行股份有限公司/宁波镇海农村商业银行股份有限公司/日照银行股份有限公司/深圳农村商业银行股份有限公司/山西银行股份有限公司/苏州银行股份有限公司/天津滨海农村商业银行股份有限公司/台州银行股份有限公司/泰安银行股份有限公司/潍坊银行股份有限公司/兴业银行股份有限公司/浙江杭州余杭农村商业银行股份有限公司/浙江桐庐农村商业银行股份有限公司/浙江长兴农村商业银行股份有限公司/浙江乐清农村商业银行股份有限公司/浙商银行股份有限公司/浙江德清农村商业银行股份有限公司/浙江临海农村商业银行股份有限公司/中邮邮惠万家银行有限责任公司/浙江青田农村商业银行股份有限公司/浙江绍兴瑞丰农村商业银行股份有限公司/浙江泰顺农村商业银行股份有限公司/浙江永康农村商业银行股份有限公司/浙江永嘉农村商业银行股份有限公司/浙江嘉善农村商业银行股份有限公司/浙江海宁农村商业银行股份有限公司/浙江上虞农村商业银行股份有限公司/浙江温州龙湾农村商业银行股份有限公司/浙江岱山农村商业银行股份有限公司/浙江舟山定海海洋农村商业银行股份有限公司/浙江江山农村商业银行股份有限公司/浙江武义农村商业银行股份有限公司/浙江淳安农村商业银行股份有限公司/浙江开化农村商业银行股份有限公司/浙江萧山农村商业银行股份有限公司/浙江义乌农村商业银行股份有限公司/浙江温州瓯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农村商业银行股份有限公司/徽商银行股份有限公司/杭州联合农村商业银行股份有限公司/宁波通商银行股份有限公司/山西银行股份有限公司/深圳农村商业银行股份有限公司/兴业银行股份有限公司/浙江绍兴瑞丰农村商业银行股份有限公司/浙江杭州余杭农村商业银行股份有限公司/浙商银行股份有限公司/浙江德清农村商业银行股份有限公司/浙江嘉善农村商业银行股份有限公司/浙江海宁农村商业银行股份有限公司/浙江温州瓯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J份额:江苏银行股份有限公司/江苏如皋农村商业银行股份有限公司/上海银行股份有限公司/威海银行股份有限公司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M份额:杭州联合农村商业银行股份有限公司/宁波通商银行股份有限公司/兴业银行股份有限公司/浙江萧山农村商业银行股份有限公司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P份额:甘肃银行股份有限公司/徽商银行股份有限公司/泰安银行股份有限公司/郑州银行股份有限公司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GS份额:甘肃银行股份有限公司/秦皇岛银行股份有限公司/日照银行股份有限公司/兰州银行股份有限公司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S份额:晋商银行股份有限公司/山西银行股份有限公司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L份额:深圳农村商业银行股份有限公司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Z份额:江苏东台农村商业银行股份有限公司/上海农村商业银行股份有限公司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Z1份额:上海农村商业银行股份有限公司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Z2份额:上海农村商业银行股份有限公司    </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A份额:江苏江都农村商业银行股份有限公司/江苏灌南农村商业银行股份有限公司/江苏苏州农村商业银行股份有限公司/江苏建湖农村商业银行股份有限公司/江苏如皋农村商业银行股份有限公司/江苏高淳农村商业银行股份有限公司/江苏常熟农村商业银行股份有限公司/江苏启东农村商业银行股份有限公司/江苏扬州农村商业银行股份有限公司/江苏姜堰农村商业银行股份有限公司/江苏金湖农村商业银行股份有限公司/江苏句容农村商业银行股份有限公司/江苏响水农村商业银行股份有限公司/江苏丰县农村商业银行股份有限公司/江苏南通农村商业银行股份有限公司/江苏阜宁农村商业银行股份有限公司/江苏丹阳农村商业银行股份有限公司/江苏高邮农村商业银行股份有限公司/江苏宜兴农村商业银行股份有限公司/江苏扬中农村商业银行股份有限公司/江苏泗洪农村商业银行股份有限公司/江苏靖江农村商业银行股份有限公司/江苏镇江农村商业银行股份有限公司/江苏涟水农村商业银行股份有限公司/江苏海安农村商业银行股份有限公司/江苏仪征农村商业银行股份有限公司/江苏民丰农村商业银行股份有限公司/江苏溧水农村商业银行股份有限公司/江苏睢宁农村商业银行股份有限公司/江苏东海农村商业银行股份有限公司/江苏盐城农村商业银行股份有限公司/江苏盱眙农村商业银行股份有限公司/江苏紫金农村商业银行股份有限公司/江苏泰兴农村商业银行股份有限公司/江苏东台农村商业银行股份有限公司/江苏大丰农村商业银行股份有限公司/江苏灌云农村商业银行股份有限公司/江苏邳州农村商业银行股份有限公司/江苏泗阳农村商业银行股份有限公司/江苏沭阳农村商业银行股份有限公司/江苏淮安农村商业银行股份有限公司/江苏如东农村商业银行股份有限公司/江苏洪泽农村商业银行股份有限公司/江苏海门农村商业银行股份有限公司/江苏新沂农村商业银行股份有限公司/连云港东方农村商业银行股份有限公司/宁波东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汉口银行股份有限公司/河北银行股份有限公司/嘉兴银行股份有限公司/江苏江南农村商业银行股份有限公司/江苏张家港农村商业银行股份有限公司/莱商银行股份有限公司/宁波余姚农村商业银行股份有限公司/宁波慈溪农村商业银行股份有限公司/宁波甬城农村商业银行股份有限公司/宁波镇海农村商业银行股份有限公司/厦门银行股份有限公司/苏州银行股份有限公司/兴业银行股份有限公司/浙江杭州余杭农村商业银行股份有限公司/浙江嵊州农村商业银行股份有限公司/浙江德清农村商业银行股份有限公司/浙江临海农村商业银行股份有限公司/浙江东阳农村商业银行股份有限公司/浙江衢州柯城农村商业银行股份有限公司/浙江青田农村商业银行股份有限公司/浙江泰顺农村商业银行股份有限公司/浙江永康农村商业银行股份有限公司/浙江新昌农村商业银行股份有限公司/浙江嘉善农村商业银行股份有限公司/浙江临安农村商业银行股份有限公司/浙江上虞农村商业银行股份有限公司/浙江温州龙湾农村商业银行股份有限公司/浙江岱山农村商业银行股份有限公司/浙江衢州衢江农村商业银行股份有限公司/浙江江山农村商业银行股份有限公司/浙江武义农村商业银行股份有限公司/浙江开化农村商业银行股份有限公司/浙江萧山农村商业银行股份有限公司/浙江浦江农村商业银行股份有限公司/浙江龙泉农村商业银行股份有限公司/浙江义乌农村商业银行股份有限公司/浙江兰溪农村商业银行股份有限公司/浙江温岭农村商业银行股份有限公司/浙江南浔农村商业银行股份有限公司/浙江民泰商业银行股份有限公司/浙江温州瓯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ZF2份额:石嘴山银行股份有限公司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3份额:江门农村商业银行股份有限公司/浙江青田农村商业银行股份有限公司/浙江浦江农村商业银行股份有限公司/浙江嵊州农村商业银行股份有限公司/浙江龙泉农村商业银行股份有限公司/浙江衢州柯城农村商业银行股份有限公司/浙江衢州衢江农村商业银行股份有限公司/浙江南浔农村商业银行股份有限公司/浙江兰溪农村商业银行股份有限公司/浙江泰顺农村商业银行股份有限公司/浙江武义农村商业银行股份有限公司/中山农村商业银行股份有限公司/浙江开化农村商业银行股份有限公司/浙江新昌农村商业银行股份有限公司/浙江东阳农村商业银行股份有限公司/浙江临海农村商业银行股份有限公司/浙江松阳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ZF4份额:石嘴山银行股份有限公司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ZF5份额：嘉兴银行股份有限公司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J份额:湖州吴兴农村商业银行股份有限公司/宁波通商银行股份有限公司/苏银理财有限责任公司/泰安银行股份有限公司/浙江嵊州农村商业银行股份有限公司/浙江温州鹿城农村商业银行股份有限公司/浙江金华成泰农村商业银行股份有限公司/浙江长兴农村商业银行股份有限公司/浙江乐清农村商业银行股份有限公司/浙江舟山普陀农村商业银行股份有限公司/浙江德清农村商业银行股份有限公司/浙江东阳农村商业银行股份有限公司/浙江临海农村商业银行股份有限公司/浙江衢州柯城农村商业银行股份有限公司/浙江瑞安农村商业银行股份有限公司/浙江青田农村商业银行股份有限公司/浙江绍兴瑞丰农村商业银行股份有限公司/浙江绍兴恒信农村商业银行股份有限公司/浙江文成农村商业银行股份有限公司/浙江仙居农村商业银行股份有限公司/浙江泰顺农村商业银行股份有限公司/浙江永康农村商业银行股份有限公司/浙江永嘉农村商业银行股份有限公司/浙江新昌农村商业银行股份有限公司/浙江桐乡农村商业银行股份有限公司/浙江嘉善农村商业银行股份有限公司/浙江海宁农村商业银行股份有限公司/浙江上虞农村商业银行股份有限公司/浙江禾城农村商业银行股份有限公司/浙江温州龙湾农村商业银行股份有限公司/浙江岱山农村商业银行股份有限公司/浙江舟山定海海洋农村商业银行股份有限公司/浙江衢州衢江农村商业银行股份有限公司/浙江江山农村商业银行股份有限公司/浙江武义农村商业银行股份有限公司/浙江海盐农村商业银行股份有限公司/浙江开化农村商业银行股份有限公司/浙江遂昌农村商业银行股份有限公司/浙江台州黄岩农村商业银行股份有限公司/浙江龙游农村商业银行股份有限公司/浙江缙云农村商业银行股份有限公司/浙江浦江农村商业银行股份有限公司/浙江龙泉农村商业银行股份有限公司/浙江义乌农村商业银行股份有限公司/浙江兰溪农村商业银行股份有限公司/浙江温岭农村商业银行股份有限公司/浙江天台农村商业银行股份有限公司/浙江南浔农村商业银行股份有限公司/浙江台州路桥农村商业银行股份有限公司/浙江平湖农村商业银行股份有限公司/浙江安吉农村商业银行股份有限公司/浙江温州瓯海农村商业银行股份有限公司/浙江诸暨农村商业银行股份有限公司/浙江苍南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天府·优选份额:成都农村商业银行股份有限公司/苏银理财有限责任公司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江都农村商业银行股份有限公司/江苏灌南农村商业银行股份有限公司/江苏建湖农村商业银行股份有限公司/江苏如皋农村商业银行股份有限公司/江苏高淳农村商业银行股份有限公司/江苏常熟农村商业银行股份有限公司/江苏扬州农村商业银行股份有限公司/江苏姜堰农村商业银行股份有限公司/江苏兴化农村商业银行股份有限公司/江苏响水农村商业银行股份有限公司/江苏阜宁农村商业银行股份有限公司/江苏丹阳农村商业银行股份有限公司/江苏高邮农村商业银行股份有限公司/江苏宜兴农村商业银行股份有限公司/江苏海安农村商业银行股份有限公司/江苏仪征农村商业银行股份有限公司/江苏民丰农村商业银行股份有限公司/江苏溧水农村商业银行股份有限公司/江苏东海农村商业银行股份有限公司/江苏盐城农村商业银行股份有限公司/江苏紫金农村商业银行股份有限公司/江苏泰兴农村商业银行股份有限公司/江苏东台农村商业银行股份有限公司/江苏大丰农村商业银行股份有限公司/江苏泗阳农村商业银行股份有限公司/江苏沛县农村商业银行股份有限公司/江苏滨海农村商业银行股份有限公司/江苏如东农村商业银行股份有限公司/江苏新沂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江都农村商业银行股份有限公司/江苏灌南农村商业银行股份有限公司/江苏建湖农村商业银行股份有限公司/江苏如皋农村商业银行股份有限公司/江苏高淳农村商业银行股份有限公司/江苏常熟农村商业银行股份有限公司/江苏扬州农村商业银行股份有限公司/江苏姜堰农村商业银行股份有限公司/江苏兴化农村商业银行股份有限公司/江苏响水农村商业银行股份有限公司/江苏南通农村商业银行股份有限公司/江苏阜宁农村商业银行股份有限公司/江苏丹阳农村商业银行股份有限公司/江苏高邮农村商业银行股份有限公司/江苏宜兴农村商业银行股份有限公司/江苏海安农村商业银行股份有限公司/江苏仪征农村商业银行股份有限公司/江苏民丰农村商业银行股份有限公司/江苏溧水农村商业银行股份有限公司/江苏盐城农村商业银行股份有限公司/江苏紫金农村商业银行股份有限公司/江苏泰兴农村商业银行股份有限公司/江苏东台农村商业银行股份有限公司/江苏大丰农村商业银行股份有限公司/江苏泗阳农村商业银行股份有限公司/江苏沛县农村商业银行股份有限公司/江苏滨海农村商业银行股份有限公司/江苏如东农村商业银行股份有限公司/江苏新沂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11"/>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非标准化债权类资产：融资人为绍兴市镜湖开发集团有限公司。融资人经营正常，是依法设立的国有公司，主要股东为绍兴市人民政府国有资产监督管理委员会，实际控制人为绍兴市人民政府国有资产监督管理委员会。（2）非标准化债权类资产：融资人为泰兴市城市投资发展集团有限公司。融资人经营正常，是依法设立的国有公司，主要股东为江苏平仲科技发展集团有限公司，实际控制人为泰兴市人民政府国有资产监督管理办公室。（3）非标准化债权类资产：融资人为湖州经开投资发展集团有限公司。融资人经营正常，是依法设立的国有公司，主要股东为湖州南太湖国有控股集团有限公司，实际控制人为湖州市人民政府国有资产监督管理委员会。（4）非标准化债权类资产：融资人为湖州吴兴城市投资发展集团有限公司。融资人经营正常，是依法设立的国有公司，主要股东为湖州吴兴国控投资运营发展集团有限公司，实际控制人为湖州市吴兴区财政局。（5）非标准化债权类资产：融资人为江苏皋开投资发展集团有限公司。融资人经营正常，是依法设立的国有公司，主要股东为如皋市人民政府，实际控制人为如皋市人民政府。（6）非标准化债权类资产：融资人为燕舞集团有限公司。融资人经营正常，是依法设立的国有公司，主要股东为盐城市人民政府、盐城市城市资产投资集团有限公司、江苏悦达集团有限公司，实际控制人为盐城市人民政府。（7）非标准化债权类资产：融资人为兰溪市城市投资集团有限公司。融资人经营正常，是依法设立的国有公司，主要股东为兰溪市城市发展集团有限公司，实际控制人为兰溪市人民政府国有资产监督管理办公室。（8）非标准化债权类资产：融资人为绍兴市越城区城市发展建设集团有限公司。融资人经营正常，是依法设立的国有公司，主要股东为绍兴市越城区财政局，实际控制人为绍兴市越城区财政局。（9）非标准化债权类资产：融资人为桐庐县城市建设投资集团有限公司。融资人经营正常，是依法设立的国有公司，主要股东为桐庐投资建设发展集团有限公司，实际控制人为桐庐县人民政府国有资产监督管理委员会。（10）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11）非标准化债权类资产：融资人为扬州新盛投资集团有限公司。融资人经营正常，是依法设立的国有公司，主要股东为扬州市城建国有资产控股(集团)有限责任公司、扬州易盛德产业投资集团有限公司、扬州市扬子江文旅投资发展集团有限责任公司，实际控制人为扬州市人民政府国有资产监督管理委员会。（12）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13）非标准化债权类资产：融资人为海安市城建开发投资集团有限公司。融资人经营正常，是依法设立的国有公司，主要股东为海安市政府国有资产监督管理办公室，实际控制人为海安市政府国有资产监督管理办公室。（14）非标准化债权类资产：融资人为徐州金龙湖控股集团有限公司。融资人经营正常，是依法设立的国有公司，主要股东为徐州市产业发展控股集团有限公司，实际控制人为徐州市人民政府国有资产监督管理委员会。（15）非标准化债权类资产：融资人为杭州富阳城市建设投资集团有限公司。融资人经营正常，是依法设立的国有公司，主要股东为杭州市富阳区人民政府国有资产监督管理办公室，实际控制人为杭州市富阳区人民政府国有资产监督管理办公室。（16）非标准化债权类资产：融资人为盐城市盐都区国有资产控股集团有限公司。融资人经营正常，是依法设立的国有公司，主要股东为盐城市盐都区政府国有资产监督管理办公室，实际控制人为盐城市盐都区政府国有资产监督管理办公室。（17）非标准化债权类资产：融资人为台州循环经济发展有限公司。融资人经营正常，是依法设立的国有公司，主要股东为台州市商贸核心区开发建设投资集团有限公司、台州市路桥公共资产投资管理集团有限公司、台州市城市建设投资发展集团有限公司，台州市开投城市开发有限公司，实际控制人为台州市人民政府。（18）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19）非标准化债权类资产：融资人为扬州江淮建设发展有限公司。融资人经营正常，是依法设立的国有公司，主要股东为扬州市国联控股集团有限公司，实际控制人为扬州市人民政府。（20）非标准化债权类资产：融资人为高邮市交通产业投资集团有限公司。融资人经营正常，是依法设立的国有公司，主要股东为高邮市国有资产投资管理控股(集团)有限公司，实际控制人为高邮市财政局(高邮市政府国有资产监督管理办公室)。（21）同业借款：融资人为中国中信金融资产管理股份有限公司。融资人经营正常，是依法成立的国有公司，主要股东为中国中信集团有限公司、财政局、中国融信私募基金有限公司，实际控制人为财政部。（22）同业借款：融资人为中国东方资产管理股份有限公司。融资人经营正常，是依法成立的国有公司，主要股东为中央汇金投资有限责任公司、全国社会保障基金理事会、中国电信集团有限公司，实际控制人为国务院。（23）同业借款：融资人为中国信达资产管理股份有限公司。融资人经营正常，是依法成立的国有公司，主要股东为中央汇金投资有限责任公司，实际控制人为国务院。（24）同业借款：融资人为中国长城资产管理股份有限公司。融资人经营正常，是依法成立的国有公司，主要股东为中央汇金投资有限责任公司、全国社会保障基金理事会、中国财产再保险有限责任公司、中国大地财产保险股份有限公司、中国人寿保险（集团）公司，实际控制人为国务院。（25）收益凭证：融资人为中信证券股份有限公司。融资人经营正常，是依法设立的持牌金融机构，主要股东为中国中信金融控股有限公司、香港中央结算（代理人）有限公司、广州越秀资本控股集团有限公司，实际控制人为中国中信集团有限公司（26）收益凭证：融资人为中国国际金融股份有限公司。融资人经营正常，是依法设立的持牌金融机构，主要股东为中央汇金投资有限责任公司、香港中央结算（代理人）有限公司、香港中央结算有限公司，实际控制人为中央汇金投资有限责任公司。（27）收益凭证：融资人为中信建投证券股份有限公司。融资人经营正常，是依法设立的持牌金融机构，主要股东为北京金融控股集团有限公司、中央汇金投资有限责任公司、香港中央结算（代理人）有限公司，实际控制人为中央汇金投资有限责任公司。（28）收益凭证：融资人为中国银河证券股份有限公司。融资人经营正常，是依法设立的持牌金融机构，主要股东为中国银河金融控股有限责任公司、香港中央结算（代理人）有限公司、香港中央结算有限公司，实际控制人为中央汇金投资有限责任公司。（29）收益凭证：融资人为华泰证券股份有限公司。融资人经营正常，是依法设立的持牌金融机构，主要股东为江苏省国信集团有限公司、香港中央结算（代理人）有限公司、江苏交通控股有限公司，无实际控制人。（30）收益凭证：融资人为国泰海通证券股份有限公司。融资人经营正常，是依法设立的持牌金融机构，主要股东为香港中央结算（代理人）有限公司、上海国有资产经营有限公司、上海国际集团有限公司，实际控制人为上海市国有资产监督管理委员会。（31）收益凭证：融资人为申万宏源证券有限公司。融资人经营正常，是依法设立的持牌金融机构，主要股东为申万宏源集团股份有限公司，实际控制人为中央汇金投资有限责任公司。（32）收益凭证：融资人为东方证券股份有限公司。融资人经营正常，是依法设立的持牌金融机构，主要股东为申能（集团）有限公司、香港中央结算（代理人）有限公司、上海海烟投资管理有限公司，实际控制人为上海市国有资产监督管理委员会。（33）收益凭证：融资人为浙商证券股份有限公司。融资人经营正常，是依法设立的持牌金融机构，主要股东为浙江上三高速公路有限公司、台州市金融投资集团有限公司，实际控制人为浙江省交通投资集团有限公司。（34）收益凭证：融资人为国投证券股份有限公司。融资人经营正常，是依法设立的持牌金融机构，主要股东为国投资本股份有限公司、上海毅胜投资有限公司，实际控制人为国家开发投资集团有限公司。（35）收益凭证：融资人为平安证券股份有限公司。融资人经营正常，是依法设立的持牌金融机构，主要股东为平安信托有限责任公司、中国平安保险（集团）股份有限公司、深圳市英华柏涛投资有限公司，实际控制人为中国平安保险（集团）股份有限公司。（36）收益凭证：融资人为中泰证券股份有限公司。融资人经营正常，是依法设立的持牌金融机构，主要股东为枣庄矿业（集团）有限责任公司、莱芜钢铁集团有限公司、山东高速投资控股有限公司，实际控制人为山东省人民政府国有资产监督管理委员会。（37）收益凭证：融资人为兴业证券股份有限公司。融资人经营正常，是依法设立的持牌金融机构，主要股东为福建省财政厅、福建省投资开发集团有限责任公司、上海申新（集团）有限公司，实际控制人为福建省财政厅。（38）收益凭证：融资人为财通证券股份有限公司。融资人经营正常，是依法设立的持牌金融机构，主要股东为浙江省创新投资集团有限公司、浙江省财开集团有限公司、台州市金融投资集团有限公司，实际控制人为浙江省财政厅。（39）收益凭证：融资人为金融街证券股份有限公司。融资人经营正常，是依法设立的持牌金融机构，主要股东为北京华融综合投资有限公司、天风证券股份有限公司、包头华资实业股份有限公司，实际控制人为北京金融街投资（集团）有限公</w:t>
      </w:r>
      <w:r>
        <w:rPr>
          <w:rFonts w:hint="eastAsia" w:ascii="楷体" w:hAnsi="楷体" w:eastAsia="楷体" w:cs="楷体"/>
          <w:color w:val="auto"/>
          <w:kern w:val="2"/>
          <w:sz w:val="21"/>
          <w:szCs w:val="21"/>
          <w:highlight w:val="none"/>
          <w:lang w:val="en-US" w:eastAsia="zh-CN" w:bidi="ar-SA"/>
        </w:rPr>
        <w:t>司。（40）收益凭证：融资人为东海证券股份有限公司。融资人经营正常，是依法设立的持牌金融机构，主要股东为常州投资集团有限公司、山东金控资本管理有限公司，实际控制人为常州投资集团有限公司。（41）收益凭证：融资人为国联民生证券股份有限公司。融资人经营正常，是依法设立的持牌金融机构，主要股东为无锡市国联发展（集团）有限公司、香港中央结算（代理人）有限公司、国联信托股份有限公司，实际控制人为无锡市人民政府国有资产监督管理委员会。（42）收益凭证：融资人为光大证券股份有限公司。融资人经营正常，是依法设立的持牌金融机构，主要股东为中国光大集团股份有限公司、中国光大控股有限公司、香港中央结算（代理人）有限公司，实际控制人为中央汇金投资有限责任公司。（43）收益凭证：融资人为长城证券股份有限公司。融资人经营正常，是依法设立的持牌金融机构，主要股东为华能资本服务有限公司、深圳新江南投资有限公司、深圳能源集团股份有限公司，实际控制人为中央汇金投资有限责任公司。（44）收益凭证：融资人为中国中金财富证券有限公司。融资人经营正常，是依法设立的持牌金融机构，主要股东为中国国际金融股份有限公司，实际控制人为中央汇金投资有限责任公司。（45）收益凭证：融资人为山西证券股份有限公司。融资人经营正常，是依法设立的持牌金融机构，主要股东为山西金融投资控股集团有限公司、太原钢铁（集团）有限公司、山西国际电力集团有限公司，实际控制人为山西省财政厅。（46）收益凭证：融资人为国都证券股份有限公司。融资人经营正常，是依法设立的持牌金融机构，主要股东为浙商证券股份有限公司、中诚信托有限责任公司、北京国际信托有限公司，实际控制人为浙江省交通投资集团有限公司。（47）收益凭证：融资人为东莞证券股份有限公司。融资人经营正常，是依法设立的持牌金融机构，主要股东为东莞市投资控股集团有限公司、东莞发展控股股份有限公司、广东锦龙发展股份有限公司，实际控制人为东莞市人民政府国有资产监督管理委员会。（48）收益凭证：融资人为华鑫证券有限责任公司。融资人经营正常，是依法设立的持牌金融机构，主要股东为上海华鑫股份有限公司，实际控制人为上海市国有资产监督管理委员会。（49）收益凭证：融资人为第一创业证券股份有限公司。融资人经营正常，是依法设立的持牌金融机构，主要股东为北京国有资本运营管理有限公司、北京首农食品集团有限公司，实际控制人为北京市人民政府国有资产监督管理委员会。（50）收益凭证：融资人为西南证券股份有限公司。融资人经营正常，是依法设立的持牌金融机构，主要股东为重庆渝富资本运营集团有限公司、重庆市城市建设投资（集团）有限公司和重庆市江北嘴中央商务区投资集团有限公司，实际控制人为重庆市国有资产监督管理委员会。（51）收益凭证：融资人为广发证券股份有限公司。融资人经营正常，是依法设立的持牌金融机构，主要股东为香港中央结算（代理人）有限公司、吉林敖东药业集团股份有限公司、辽宁成大股份有限公司，无实际控制人。（52）收益凭证：融资人为方正证券股份有限公司。融资人经营正常，是依法设立的持牌金融机构，主要股东为新方正控股发展有限责任公司、全国社会保障基金理事会、中国信达资产管理股份有限公司，实际控制人为中国平安保险（集团）股份有限公司。（53）收益凭证：融资人为招商证券股份有限公司。融资人经营正常，是依法设立的持牌金融机构，主要股东为招商局金融控股有限公司、深圳市集盛投资发展有限公司、香港中央结算（代理人）有限公司，实际控制人为招商局集团有限公司。</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（1）-（24）各资产到期日不超过理财产品投资周期终止日，定期付息、到期一次性还本；（25）-（53）各资产到期日不超过理财产品投资周期终止日，到期一次性还本付息。</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3"/>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3"/>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5"/>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5"/>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1"/>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1"/>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bookmarkStart w:id="0" w:name="_GoBack"/>
      <w:bookmarkEnd w:id="0"/>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5"/>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BFA9E"/>
    <w:multiLevelType w:val="singleLevel"/>
    <w:tmpl w:val="82CBFA9E"/>
    <w:lvl w:ilvl="0" w:tentative="0">
      <w:start w:val="1"/>
      <w:numFmt w:val="decimal"/>
      <w:suff w:val="nothing"/>
      <w:lvlText w:val="（%1）"/>
      <w:lvlJc w:val="left"/>
    </w:lvl>
  </w:abstractNum>
  <w:abstractNum w:abstractNumId="1">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D42F757"/>
    <w:multiLevelType w:val="singleLevel"/>
    <w:tmpl w:val="2D42F757"/>
    <w:lvl w:ilvl="0" w:tentative="0">
      <w:start w:val="2"/>
      <w:numFmt w:val="chineseCounting"/>
      <w:suff w:val="nothing"/>
      <w:lvlText w:val="（%1）"/>
      <w:lvlJc w:val="left"/>
      <w:rPr>
        <w:rFonts w:hint="eastAsia"/>
      </w:rPr>
    </w:lvl>
  </w:abstractNum>
  <w:abstractNum w:abstractNumId="11">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3">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7">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2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11"/>
  </w:num>
  <w:num w:numId="7">
    <w:abstractNumId w:val="20"/>
  </w:num>
  <w:num w:numId="8">
    <w:abstractNumId w:val="21"/>
  </w:num>
  <w:num w:numId="9">
    <w:abstractNumId w:val="24"/>
  </w:num>
  <w:num w:numId="10">
    <w:abstractNumId w:val="23"/>
  </w:num>
  <w:num w:numId="11">
    <w:abstractNumId w:val="0"/>
  </w:num>
  <w:num w:numId="12">
    <w:abstractNumId w:val="16"/>
  </w:num>
  <w:num w:numId="13">
    <w:abstractNumId w:val="15"/>
  </w:num>
  <w:num w:numId="14">
    <w:abstractNumId w:val="9"/>
  </w:num>
  <w:num w:numId="15">
    <w:abstractNumId w:val="3"/>
  </w:num>
  <w:num w:numId="16">
    <w:abstractNumId w:val="5"/>
  </w:num>
  <w:num w:numId="17">
    <w:abstractNumId w:val="1"/>
  </w:num>
  <w:num w:numId="18">
    <w:abstractNumId w:val="19"/>
  </w:num>
  <w:num w:numId="19">
    <w:abstractNumId w:val="17"/>
  </w:num>
  <w:num w:numId="20">
    <w:abstractNumId w:val="6"/>
  </w:num>
  <w:num w:numId="21">
    <w:abstractNumId w:val="18"/>
  </w:num>
  <w:num w:numId="22">
    <w:abstractNumId w:val="2"/>
  </w:num>
  <w:num w:numId="23">
    <w:abstractNumId w:val="4"/>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E2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2026-07-30T03:36:26Z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