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苏银理财恒源1年定开13期</w:t>
      </w:r>
      <w:r>
        <w:rPr>
          <w:rFonts w:hint="eastAsia" w:ascii="楷体" w:hAnsi="楷体" w:eastAsia="楷体"/>
          <w:b/>
          <w:color w:val="auto"/>
          <w:sz w:val="28"/>
          <w:szCs w:val="28"/>
          <w:highlight w:val="none"/>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计划存续期限为</w:t>
      </w:r>
      <w:r>
        <w:rPr>
          <w:rFonts w:hint="eastAsia" w:ascii="楷体" w:hAnsi="楷体" w:eastAsia="楷体" w:cs="Calibri"/>
          <w:b/>
          <w:color w:val="auto"/>
          <w:sz w:val="21"/>
          <w:szCs w:val="21"/>
          <w:highlight w:val="none"/>
          <w:u w:val="single"/>
          <w:lang w:val="en-US" w:eastAsia="zh-CN"/>
        </w:rPr>
        <w:t>无固定期限</w:t>
      </w:r>
      <w:r>
        <w:rPr>
          <w:rFonts w:hint="eastAsia" w:ascii="楷体" w:hAnsi="楷体" w:eastAsia="楷体"/>
          <w:color w:val="auto"/>
          <w:sz w:val="21"/>
          <w:szCs w:val="21"/>
          <w:highlight w:val="none"/>
          <w:lang w:val="en-US" w:eastAsia="zh-CN"/>
        </w:rPr>
        <w:t>，</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投资者的风险承受能力等级不低于本产品风险评级。若</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rPr>
        <w:t>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highlight w:val="none"/>
        </w:rPr>
        <w:t>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rPr>
        <w:t>投资者亲笔抄录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本人/本机构已经阅读风险揭示，愿意承担投资风险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苏银理财恒源1年定开13期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（2026年8月版）</w:t>
      </w:r>
    </w:p>
    <w:p>
      <w:pPr>
        <w:jc w:val="center"/>
        <w:rPr>
          <w:rFonts w:hint="eastAsia" w:ascii="楷体" w:hAnsi="楷体" w:eastAsia="楷体"/>
          <w:b/>
          <w:sz w:val="24"/>
          <w:szCs w:val="24"/>
          <w:highlight w:val="none"/>
        </w:rPr>
      </w:pPr>
      <w:r>
        <w:rPr>
          <w:rFonts w:hint="eastAsia" w:ascii="楷体" w:hAnsi="楷体" w:eastAsia="楷体" w:cs="宋体"/>
          <w:b/>
          <w:kern w:val="0"/>
          <w:sz w:val="24"/>
          <w:szCs w:val="24"/>
          <w:highlight w:val="none"/>
        </w:rPr>
        <w:t>理财非存款、产品有风险、投资须谨慎</w:t>
      </w:r>
    </w:p>
    <w:p>
      <w:pPr>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重要须知</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本理财产品不保证本金及收益，您的本金可能因市场变动</w:t>
      </w:r>
      <w:r>
        <w:rPr>
          <w:rFonts w:hint="eastAsia" w:ascii="楷体" w:hAnsi="楷体" w:eastAsia="楷体"/>
          <w:b/>
          <w:sz w:val="21"/>
          <w:szCs w:val="21"/>
          <w:highlight w:val="none"/>
          <w:u w:val="single"/>
          <w:lang w:val="en-US" w:eastAsia="zh-CN"/>
        </w:rPr>
        <w:t>或者交易违约等事项</w:t>
      </w:r>
      <w:r>
        <w:rPr>
          <w:rFonts w:hint="eastAsia" w:ascii="楷体" w:hAnsi="楷体" w:eastAsia="楷体"/>
          <w:b/>
          <w:sz w:val="21"/>
          <w:szCs w:val="21"/>
          <w:highlight w:val="none"/>
          <w:u w:val="single"/>
        </w:rPr>
        <w:t>而蒙受相应损失，投资者应充分认识投资风险，谨慎投资</w:t>
      </w:r>
      <w:r>
        <w:rPr>
          <w:rFonts w:hint="eastAsia" w:ascii="楷体" w:hAnsi="楷体" w:eastAsia="楷体"/>
          <w:b/>
          <w:sz w:val="21"/>
          <w:szCs w:val="21"/>
          <w:highlight w:val="none"/>
          <w:u w:val="single"/>
          <w:lang w:eastAsia="zh-CN"/>
        </w:rPr>
        <w:t>。</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本理财产品任何业绩比较基准</w:t>
      </w:r>
      <w:r>
        <w:rPr>
          <w:rFonts w:hint="eastAsia" w:ascii="楷体" w:hAnsi="楷体" w:eastAsia="楷体"/>
          <w:b/>
          <w:sz w:val="21"/>
          <w:szCs w:val="21"/>
          <w:highlight w:val="none"/>
          <w:u w:val="single"/>
          <w:lang w:val="en-US" w:eastAsia="zh-CN"/>
        </w:rPr>
        <w:t>及</w:t>
      </w:r>
      <w:r>
        <w:rPr>
          <w:rFonts w:hint="eastAsia" w:ascii="楷体" w:hAnsi="楷体" w:eastAsia="楷体"/>
          <w:b/>
          <w:sz w:val="21"/>
          <w:szCs w:val="21"/>
          <w:highlight w:val="none"/>
          <w:u w:val="single"/>
        </w:rPr>
        <w:t>类似表述均属不具有法律约束力的用语</w:t>
      </w:r>
      <w:r>
        <w:rPr>
          <w:rFonts w:hint="eastAsia" w:ascii="楷体" w:hAnsi="楷体" w:eastAsia="楷体"/>
          <w:b/>
          <w:sz w:val="21"/>
          <w:szCs w:val="21"/>
          <w:highlight w:val="none"/>
          <w:u w:val="single"/>
          <w:lang w:eastAsia="zh-CN"/>
        </w:rPr>
        <w:t>。</w:t>
      </w:r>
      <w:r>
        <w:rPr>
          <w:rFonts w:hint="eastAsia" w:ascii="楷体" w:hAnsi="楷体" w:eastAsia="楷体"/>
          <w:b/>
          <w:sz w:val="21"/>
          <w:szCs w:val="21"/>
          <w:highlight w:val="none"/>
          <w:u w:val="single"/>
        </w:rPr>
        <w:t>业绩比较基准</w:t>
      </w:r>
      <w:r>
        <w:rPr>
          <w:rFonts w:hint="eastAsia" w:ascii="楷体" w:hAnsi="楷体" w:eastAsia="楷体"/>
          <w:b/>
          <w:sz w:val="21"/>
          <w:szCs w:val="21"/>
          <w:highlight w:val="none"/>
          <w:u w:val="single"/>
          <w:lang w:val="en-US" w:eastAsia="zh-CN"/>
        </w:rPr>
        <w:t>为</w:t>
      </w:r>
      <w:r>
        <w:rPr>
          <w:rFonts w:hint="eastAsia" w:ascii="楷体" w:hAnsi="楷体" w:eastAsia="楷体"/>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等。请仔细阅读《“苏银理财恒源1年定开13期”理财产品风险揭示书》的“风险揭示”部分。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bookmarkStart w:id="0" w:name="_GoBack"/>
      <w:bookmarkEnd w:id="0"/>
      <w:r>
        <w:rPr>
          <w:rFonts w:hint="eastAsia" w:ascii="楷体" w:hAnsi="楷体" w:eastAsia="楷体"/>
          <w:b/>
          <w:sz w:val="21"/>
          <w:szCs w:val="21"/>
          <w:highlight w:val="none"/>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苏银理财恒源1年定开13期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lang w:val="en-US" w:eastAsia="zh-CN"/>
              </w:rPr>
              <w:t>Z7003121000045</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投资者可依据该编码在中国理财网</w:t>
            </w:r>
            <w:r>
              <w:rPr>
                <w:rFonts w:ascii="楷体" w:hAnsi="楷体" w:eastAsia="楷体" w:cs="宋体"/>
                <w:spacing w:val="-2"/>
                <w:sz w:val="18"/>
                <w:szCs w:val="18"/>
                <w:highlight w:val="none"/>
              </w:rPr>
              <w:fldChar w:fldCharType="begin"/>
            </w:r>
            <w:r>
              <w:rPr>
                <w:rFonts w:ascii="楷体" w:hAnsi="楷体" w:eastAsia="楷体" w:cs="宋体"/>
                <w:spacing w:val="-2"/>
                <w:sz w:val="18"/>
                <w:szCs w:val="18"/>
                <w:highlight w:val="none"/>
              </w:rPr>
              <w:instrText xml:space="preserve"> HYPERLINK "http://www.chinawealth.com.cn/" </w:instrText>
            </w:r>
            <w:r>
              <w:rPr>
                <w:rFonts w:ascii="楷体" w:hAnsi="楷体" w:eastAsia="楷体" w:cs="宋体"/>
                <w:spacing w:val="-2"/>
                <w:sz w:val="18"/>
                <w:szCs w:val="18"/>
                <w:highlight w:val="none"/>
              </w:rPr>
              <w:fldChar w:fldCharType="separate"/>
            </w:r>
            <w:r>
              <w:rPr>
                <w:rFonts w:ascii="楷体" w:hAnsi="楷体" w:eastAsia="楷体" w:cs="宋体"/>
                <w:spacing w:val="-2"/>
                <w:sz w:val="18"/>
                <w:szCs w:val="18"/>
                <w:highlight w:val="none"/>
              </w:rPr>
              <w:t>www.chinawealth.com.cn</w:t>
            </w:r>
            <w:r>
              <w:rPr>
                <w:rFonts w:ascii="楷体" w:hAnsi="楷体" w:eastAsia="楷体" w:cs="宋体"/>
                <w:spacing w:val="-2"/>
                <w:sz w:val="18"/>
                <w:szCs w:val="18"/>
                <w:highlight w:val="none"/>
              </w:rPr>
              <w:fldChar w:fldCharType="end"/>
            </w:r>
            <w:r>
              <w:rPr>
                <w:rFonts w:hint="eastAsia" w:ascii="楷体" w:hAnsi="楷体" w:eastAsia="楷体" w:cs="宋体"/>
                <w:spacing w:val="-2"/>
                <w:sz w:val="18"/>
                <w:szCs w:val="18"/>
                <w:highlight w:val="none"/>
              </w:rPr>
              <w:t>查询产品信息</w:t>
            </w:r>
            <w:r>
              <w:rPr>
                <w:rFonts w:hint="eastAsia" w:ascii="楷体" w:hAnsi="楷体" w:eastAsia="楷体" w:cs="宋体"/>
                <w:spacing w:val="-2"/>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A份额:苏银理财恒源1年定开13期A/J00260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B份额:苏银理财恒源1年定开13期B/J00261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C份额:苏银理财恒源1年定开13期C/J05471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D份额:苏银理财恒源1年定开13期D/J02487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F份额:苏银理财恒源1年定开13期F/J02488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G份额:苏银理财恒源1年定开13期G/J02489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J份额:苏银理财恒源1年定开13期J/J02490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P份额:苏银理财恒源1年定开13期P/J05014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X份额:苏银理财恒源1年定开13期X/J05472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N份额:苏银理财恒源1年定开13期N/J05473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GS份额:苏银理财恒源1年定开13期GS/J25361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S份额:苏银理财恒源1年定开13期S（专享）/J25362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U份额:苏银理财恒源1年定开13期U/J25363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L份额:苏银理财恒源1年定开13期L/J25364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Z份额:苏银理财恒源1年定开13期Z/J25365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Z1份额:苏银理财恒源1年定开13期Z1/J25366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Z2份额:苏银理财恒源1年定开13期Z2/J25367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ZA份额:苏银理财恒源1年定开13期ZA鑫福款（自动赎回）/J02491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ZF份额:苏银理财恒源1年定开13期ZF（自动赎回）/J02492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ZF2份额:苏银理财恒源1年定开13期ZF2（自动赎回）/J25368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ZF3份额:苏银理财恒源1年定开13期ZF3（自动赎回）/J25369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ZF4份额:苏银理财恒源1年定开13期ZF4（自动赎回）/J25370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ZF5份额:苏银理财恒源1年定开13期ZF5（自动赎回）/J25371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ZJ份额:苏银理财恒源1年定开13期ZJ（自动赎回）/J25372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ZL份额:苏银理财恒源1年定开13期ZL（自动赎回）/J25373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天府·优选份额:苏银理财恒源1年定开13期（天府·优选）/J25374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ZN份额:苏银理财恒源1年定开13期ZN（自动赎回）/J05015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ZQ份额:苏银理财恒源1年定开13期ZQ（自动赎回）/J05016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ZC份额:苏银理财恒源1年定开13期ZC鑫福优享（自动赎回）/J25375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ZK份额:苏银理财恒源1年定开13期ZK鑫福尊享（自动赎回）/J25376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highlight w:val="none"/>
                <w:u w:val="single"/>
                <w:lang w:val="en-US" w:eastAsia="zh-CN" w:bidi="ar-SA"/>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参考。理财产品存续期间，若市场环境等因素发生变化，在符合监管政策要求的前提下管理人可对产品风险评级进行调整，并及时将调整情况向投资者披露。</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1元</w:t>
            </w:r>
            <w:r>
              <w:rPr>
                <w:rFonts w:hint="eastAsia" w:ascii="楷体" w:hAnsi="楷体" w:eastAsia="楷体" w:cs="宋体"/>
                <w:spacing w:val="-2"/>
                <w:sz w:val="18"/>
                <w:szCs w:val="18"/>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本产品计划发行规模为100000万元，管理人有权根据实际需要调整计划发行规模。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B份额:200,000元/10,000元的整数倍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D份额:个人投资者：500,000元/10,000元的整数倍,机构投资者：30,000,000元/10,000元的整数倍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P份额:100元/100元的整数倍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X份额:10,000元/1元的整数倍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N份额:200,000元/1元的整数倍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GS份额:100元/100元的整数倍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S份额:100元/100元的整数倍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U份额:100元/100元的整数倍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L份额:1,000,000元/10,000元的整数倍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Z1份额:10,000元/1元的整数倍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Z2份额:500,000元/10,000元的整数倍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ZF2份额:1000元/1000元的整数倍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ZF3份额:100元/100元的整数倍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ZF4份额:1000元/1000元的整数倍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ZF5份额:100元/100元的整数倍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ZJ份额:100元/100元的整数倍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ZL份额:个人投资者：500,000元/10,000元的整数倍,机构投资者：30,000,000元/10,000元的整数倍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天府·优选份额:100元/100元的整数倍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ZN份额:100元/100元的整数倍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ZQ份额:100元/100元的整数倍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ZK份额:个人投资者：500,000元/10,000元的整数倍,机构投资者：30,000,000元/10,000元的整数倍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eastAsia="zh-CN"/>
              </w:rPr>
            </w:pP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2021年5月26日至2021年6月1日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2021年6月2日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highlight w:val="none"/>
                <w:lang w:val="en-US" w:eastAsia="zh-CN"/>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lang w:val="en-US" w:eastAsia="zh-CN"/>
              </w:rPr>
              <w:t>2031年6月3日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如遇节假日，顺延至下一工作日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在符合产品说明书约定的条件下，管理人有权</w:t>
            </w:r>
            <w:r>
              <w:rPr>
                <w:rFonts w:hint="eastAsia" w:ascii="楷体" w:hAnsi="楷体" w:eastAsia="楷体" w:cs="宋体"/>
                <w:color w:val="auto"/>
                <w:spacing w:val="-2"/>
                <w:sz w:val="18"/>
                <w:szCs w:val="18"/>
                <w:highlight w:val="none"/>
                <w:lang w:val="en-US" w:eastAsia="zh-CN"/>
              </w:rPr>
              <w:t>调整产品到期日</w:t>
            </w:r>
            <w:r>
              <w:rPr>
                <w:rFonts w:hint="eastAsia" w:ascii="楷体" w:hAnsi="楷体" w:eastAsia="楷体" w:cs="宋体"/>
                <w:color w:val="auto"/>
                <w:spacing w:val="-2"/>
                <w:sz w:val="18"/>
                <w:szCs w:val="18"/>
                <w:highlight w:val="none"/>
              </w:rPr>
              <w:t>，产品到期日受制于提前终止</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lang w:val="en-US" w:eastAsia="zh-CN"/>
              </w:rPr>
              <w:t>延期终止</w:t>
            </w:r>
            <w:r>
              <w:rPr>
                <w:rFonts w:hint="eastAsia" w:ascii="楷体" w:hAnsi="楷体" w:eastAsia="楷体" w:cs="宋体"/>
                <w:color w:val="auto"/>
                <w:spacing w:val="-2"/>
                <w:sz w:val="18"/>
                <w:szCs w:val="18"/>
                <w:highlight w:val="none"/>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最新投资周期（2026年8月19日-2027年9月9日）开放申购与赎回时间为：2026年8月10日至2026年8月18日</w:t>
            </w:r>
            <w:r>
              <w:rPr>
                <w:rFonts w:hint="eastAsia" w:ascii="楷体" w:hAnsi="楷体" w:eastAsia="楷体" w:cs="宋体"/>
                <w:b w:val="0"/>
                <w:bCs w:val="0"/>
                <w:spacing w:val="-2"/>
                <w:sz w:val="18"/>
                <w:szCs w:val="18"/>
                <w:highlight w:val="none"/>
                <w:lang w:val="en-US" w:eastAsia="zh-CN"/>
              </w:rPr>
              <w:t>（</w:t>
            </w:r>
            <w:r>
              <w:rPr>
                <w:rFonts w:hint="eastAsia" w:ascii="楷体" w:hAnsi="楷体" w:eastAsia="楷体" w:cs="宋体"/>
                <w:b w:val="0"/>
                <w:bCs w:val="0"/>
                <w:spacing w:val="-2"/>
                <w:sz w:val="18"/>
                <w:szCs w:val="18"/>
                <w:highlight w:val="none"/>
              </w:rPr>
              <w:t>以各销售机构设置的时间为准</w:t>
            </w:r>
            <w:r>
              <w:rPr>
                <w:rFonts w:hint="eastAsia" w:ascii="楷体" w:hAnsi="楷体" w:eastAsia="楷体" w:cs="宋体"/>
                <w:b w:val="0"/>
                <w:bCs w:val="0"/>
                <w:spacing w:val="-2"/>
                <w:sz w:val="18"/>
                <w:szCs w:val="18"/>
                <w:highlight w:val="none"/>
                <w:lang w:val="en-US" w:eastAsia="zh-CN"/>
              </w:rPr>
              <w:t>）</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(其中ZA份额/ZF份额/ZF2份额/ZF3份额/ZF4份额/ZF5份额/ZJ份额/ZL份额/ZN份额/ZQ份额/ZC份额/ZK份额/天府·优选份额由系统主动发起赎回申请，投资者无须发起赎回申请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highlight w:val="none"/>
                <w:u w:val="single"/>
              </w:rPr>
              <w:t>除开放计划外的其他时间，管理人不接受投资者申购、赎回申请</w:t>
            </w:r>
            <w:r>
              <w:rPr>
                <w:rFonts w:hint="eastAsia" w:ascii="楷体" w:hAnsi="楷体" w:eastAsia="楷体" w:cs="宋体"/>
                <w:b/>
                <w:bCs/>
                <w:spacing w:val="-2"/>
                <w:sz w:val="18"/>
                <w:szCs w:val="18"/>
                <w:highlight w:val="none"/>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numPr>
                <w:ilvl w:val="0"/>
                <w:numId w:val="0"/>
              </w:numPr>
              <w:wordWrap/>
              <w:topLinePunct w:val="0"/>
              <w:bidi w:val="0"/>
              <w:snapToGrid/>
              <w:spacing w:line="0" w:lineRule="atLeast"/>
              <w:ind w:right="0" w:rightChars="0"/>
              <w:textAlignment w:val="auto"/>
              <w:rPr>
                <w:rFonts w:hint="eastAsia" w:ascii="楷体" w:hAnsi="楷体" w:eastAsia="楷体" w:cs="宋体"/>
                <w:b/>
                <w:bCs w:val="0"/>
                <w:spacing w:val="-2"/>
                <w:sz w:val="18"/>
                <w:szCs w:val="18"/>
                <w:highlight w:val="none"/>
                <w:u w:val="single"/>
              </w:rPr>
            </w:pPr>
            <w:r>
              <w:rPr>
                <w:rFonts w:hint="eastAsia" w:ascii="楷体" w:hAnsi="楷体" w:eastAsia="楷体" w:cs="宋体"/>
                <w:b/>
                <w:bCs w:val="0"/>
                <w:spacing w:val="-2"/>
                <w:sz w:val="18"/>
                <w:szCs w:val="18"/>
                <w:highlight w:val="none"/>
                <w:u w:val="single"/>
              </w:rPr>
              <w:t>本产品单个开放日投资者净赎回额（赎回申请份额总数扣除申购申请份额总数）超过上一日日终份额10%时，即认为发生了巨额赎回。管理人可以根据本产品当时的资产组合状况决定采取全额赎回、部分赎回、延期办理巨额赎回等措施。</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当管理人认为兑付投资者的赎回申请可能会对产品的资产净值造成较大波动时，当日办理的赎回份额不得低于前一日日终理财产品总份额的10%，对其余赎回申请管理人有权暂停接受或延期办理。对该产品单个投资者的赎回申请，按照其申请占当日申请赎回总份额的比例，确定该投资者当日办理的赎回份额。（示例：某投资者当日申请赎回份额5万份，当日全部赎回申请10000万份，假设前一日日终总份额50000万份，发生巨额赎回，管理人当日办理的赎回份额5000万份，则该投资者当日确认办理的份额为5/10000*5000=2.5万份。）</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3.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4.延缓支付赎回款项：连续2个以上开放日发生巨额赎回的，管理人除有权选择全额赎回或部分赎回等措施外，对于已经接受的赎回申请，管理人可以延缓支付赎回款项，但延缓期限不得超过20个工作日。</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当采取非全额赎回措施时，管理人将在采取相关措施后3个工作日内进行信息披露。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lang w:val="en-US" w:eastAsia="zh-CN"/>
              </w:rPr>
              <w:t>1.管理人</w:t>
            </w:r>
            <w:r>
              <w:rPr>
                <w:rFonts w:ascii="楷体" w:hAnsi="楷体" w:eastAsia="楷体" w:cs="宋体"/>
                <w:b/>
                <w:bCs/>
                <w:spacing w:val="-2"/>
                <w:sz w:val="18"/>
                <w:szCs w:val="18"/>
                <w:highlight w:val="none"/>
                <w:u w:val="single"/>
              </w:rPr>
              <w:t>参考过往投资经验，依据近期货币市场工具、</w:t>
            </w:r>
            <w:r>
              <w:rPr>
                <w:rFonts w:hint="eastAsia" w:ascii="楷体" w:hAnsi="楷体" w:eastAsia="楷体" w:cs="宋体"/>
                <w:b/>
                <w:bCs/>
                <w:spacing w:val="-2"/>
                <w:sz w:val="18"/>
                <w:szCs w:val="18"/>
                <w:highlight w:val="none"/>
                <w:u w:val="single"/>
                <w:lang w:val="en-US" w:eastAsia="zh-CN"/>
              </w:rPr>
              <w:t>银行存款（含结构性存款）、</w:t>
            </w:r>
            <w:r>
              <w:rPr>
                <w:rFonts w:ascii="楷体" w:hAnsi="楷体" w:eastAsia="楷体" w:cs="宋体"/>
                <w:b/>
                <w:bCs/>
                <w:spacing w:val="-2"/>
                <w:sz w:val="18"/>
                <w:szCs w:val="18"/>
                <w:highlight w:val="none"/>
                <w:u w:val="single"/>
              </w:rPr>
              <w:t>债券</w:t>
            </w:r>
            <w:r>
              <w:rPr>
                <w:rFonts w:hint="eastAsia" w:ascii="楷体" w:hAnsi="楷体" w:eastAsia="楷体" w:cs="宋体"/>
                <w:b/>
                <w:bCs/>
                <w:spacing w:val="-2"/>
                <w:sz w:val="18"/>
                <w:szCs w:val="18"/>
                <w:highlight w:val="none"/>
                <w:u w:val="single"/>
              </w:rPr>
              <w:t>、非标准化债权</w:t>
            </w:r>
            <w:r>
              <w:rPr>
                <w:rFonts w:ascii="楷体" w:hAnsi="楷体" w:eastAsia="楷体" w:cs="宋体"/>
                <w:b/>
                <w:bCs/>
                <w:spacing w:val="-2"/>
                <w:sz w:val="18"/>
                <w:szCs w:val="18"/>
                <w:highlight w:val="none"/>
                <w:u w:val="single"/>
              </w:rPr>
              <w:t>等资产</w:t>
            </w:r>
            <w:r>
              <w:rPr>
                <w:rFonts w:hint="eastAsia" w:ascii="楷体" w:hAnsi="楷体" w:eastAsia="楷体" w:cs="宋体"/>
                <w:b/>
                <w:bCs/>
                <w:spacing w:val="-2"/>
                <w:sz w:val="18"/>
                <w:szCs w:val="18"/>
                <w:highlight w:val="none"/>
                <w:u w:val="single"/>
              </w:rPr>
              <w:t>投资</w:t>
            </w:r>
            <w:r>
              <w:rPr>
                <w:rFonts w:ascii="楷体" w:hAnsi="楷体" w:eastAsia="楷体" w:cs="宋体"/>
                <w:b/>
                <w:bCs/>
                <w:spacing w:val="-2"/>
                <w:sz w:val="18"/>
                <w:szCs w:val="18"/>
                <w:highlight w:val="none"/>
                <w:u w:val="single"/>
              </w:rPr>
              <w:t>收益水平，在产品说明书约定的投资范围和投资比例内</w:t>
            </w:r>
            <w:r>
              <w:rPr>
                <w:rFonts w:hint="eastAsia" w:ascii="楷体" w:hAnsi="楷体" w:eastAsia="楷体" w:cs="宋体"/>
                <w:b/>
                <w:bCs/>
                <w:spacing w:val="-2"/>
                <w:sz w:val="18"/>
                <w:szCs w:val="18"/>
                <w:highlight w:val="none"/>
                <w:u w:val="single"/>
              </w:rPr>
              <w:t>，综合考虑各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份额收取的销售服务费和投资管理费</w:t>
            </w:r>
            <w:r>
              <w:rPr>
                <w:rFonts w:hint="eastAsia" w:ascii="楷体" w:hAnsi="楷体" w:eastAsia="楷体" w:cs="宋体"/>
                <w:b/>
                <w:bCs/>
                <w:spacing w:val="-2"/>
                <w:sz w:val="18"/>
                <w:szCs w:val="18"/>
                <w:highlight w:val="none"/>
                <w:u w:val="single"/>
                <w:lang w:val="en-US" w:eastAsia="zh-CN"/>
              </w:rPr>
              <w:t>等费用</w:t>
            </w:r>
            <w:r>
              <w:rPr>
                <w:rFonts w:hint="eastAsia" w:ascii="楷体" w:hAnsi="楷体" w:eastAsia="楷体" w:cs="宋体"/>
                <w:b/>
                <w:bCs/>
                <w:spacing w:val="-2"/>
                <w:sz w:val="18"/>
                <w:szCs w:val="18"/>
                <w:highlight w:val="none"/>
                <w:u w:val="single"/>
              </w:rPr>
              <w:t>情况，</w:t>
            </w:r>
            <w:r>
              <w:rPr>
                <w:rFonts w:ascii="楷体" w:hAnsi="楷体" w:eastAsia="楷体" w:cs="宋体"/>
                <w:b/>
                <w:bCs/>
                <w:spacing w:val="-2"/>
                <w:sz w:val="18"/>
                <w:szCs w:val="18"/>
                <w:highlight w:val="none"/>
                <w:u w:val="single"/>
              </w:rPr>
              <w:t>模拟测算得出</w:t>
            </w:r>
            <w:r>
              <w:rPr>
                <w:rFonts w:hint="eastAsia" w:ascii="楷体" w:hAnsi="楷体" w:eastAsia="楷体" w:cs="宋体"/>
                <w:b/>
                <w:bCs/>
                <w:spacing w:val="-2"/>
                <w:sz w:val="18"/>
                <w:szCs w:val="18"/>
                <w:highlight w:val="none"/>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kern w:val="0"/>
                <w:sz w:val="18"/>
                <w:szCs w:val="18"/>
                <w:highlight w:val="none"/>
                <w:lang w:val="en-US" w:eastAsia="zh-CN" w:bidi="ar-SA"/>
              </w:rPr>
            </w:pPr>
            <w:r>
              <w:rPr>
                <w:rFonts w:hint="eastAsia" w:ascii="楷体" w:hAnsi="楷体" w:eastAsia="楷体" w:cs="宋体"/>
                <w:b/>
                <w:bCs/>
                <w:spacing w:val="-2"/>
                <w:sz w:val="18"/>
                <w:szCs w:val="18"/>
                <w:highlight w:val="none"/>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highlight w:val="none"/>
                <w:u w:val="single"/>
              </w:rPr>
              <w:t>。</w:t>
            </w:r>
            <w:r>
              <w:rPr>
                <w:rFonts w:hint="eastAsia" w:ascii="楷体" w:hAnsi="楷体" w:eastAsia="楷体" w:cs="宋体"/>
                <w:spacing w:val="-2"/>
                <w:kern w:val="0"/>
                <w:sz w:val="18"/>
                <w:szCs w:val="18"/>
                <w:highlight w:val="none"/>
                <w:lang w:val="en-US" w:eastAsia="zh-CN" w:bidi="ar-SA"/>
              </w:rPr>
              <w:t>各类份额最新投资周期（2026年8月19日-2027年9月9日）业绩比较基准如下：</w:t>
            </w:r>
          </w:p>
          <w:p>
            <w:pPr>
              <w:pStyle w:val="23"/>
              <w:keepNext w:val="0"/>
              <w:keepLines w:val="0"/>
              <w:pageBreakBefore w:val="0"/>
              <w:widowControl w:val="0"/>
              <w:numPr>
                <w:ilvl w:val="0"/>
                <w:numId w:val="0"/>
              </w:numPr>
              <w:kinsoku/>
              <w:wordWrap/>
              <w:overflowPunct w:val="0"/>
              <w:topLinePunct w:val="0"/>
              <w:autoSpaceDE w:val="0"/>
              <w:autoSpaceDN w:val="0"/>
              <w:bidi w:val="0"/>
              <w:adjustRightInd w:val="0"/>
              <w:snapToGrid/>
              <w:spacing w:line="0" w:lineRule="atLeast"/>
              <w:ind w:left="0" w:leftChars="0" w:right="0" w:rightChars="0"/>
              <w:jc w:val="both"/>
              <w:textAlignment w:val="auto"/>
              <w:rPr>
                <w:rFonts w:hint="eastAsia" w:ascii="楷体" w:hAnsi="楷体" w:eastAsia="楷体"/>
                <w:sz w:val="18"/>
                <w:lang w:eastAsia="zh-CN"/>
              </w:rPr>
            </w:pPr>
            <w:r>
              <w:rPr>
                <w:rFonts w:ascii="楷体" w:hAnsi="楷体" w:eastAsia="楷体"/>
                <w:sz w:val="18"/>
              </w:rPr>
              <w:t>A份额2.40%-3.00%</w:t>
            </w:r>
            <w:r>
              <w:rPr>
                <w:rFonts w:hint="eastAsia" w:ascii="楷体" w:hAnsi="楷体" w:eastAsia="楷体"/>
                <w:sz w:val="18"/>
                <w:lang w:eastAsia="zh-CN"/>
              </w:rPr>
              <w:t>；</w:t>
            </w:r>
            <w:r>
              <w:rPr>
                <w:rFonts w:ascii="楷体" w:hAnsi="楷体" w:eastAsia="楷体"/>
                <w:sz w:val="18"/>
              </w:rPr>
              <w:t>B份额2.43%-3.03%</w:t>
            </w:r>
            <w:r>
              <w:rPr>
                <w:rFonts w:hint="eastAsia" w:ascii="楷体" w:hAnsi="楷体" w:eastAsia="楷体"/>
                <w:sz w:val="18"/>
                <w:lang w:eastAsia="zh-CN"/>
              </w:rPr>
              <w:t>；</w:t>
            </w:r>
            <w:r>
              <w:rPr>
                <w:rFonts w:ascii="楷体" w:hAnsi="楷体" w:eastAsia="楷体"/>
                <w:sz w:val="18"/>
              </w:rPr>
              <w:t>C份额2.45%-3.05%</w:t>
            </w:r>
            <w:r>
              <w:rPr>
                <w:rFonts w:hint="eastAsia" w:ascii="楷体" w:hAnsi="楷体" w:eastAsia="楷体"/>
                <w:sz w:val="18"/>
                <w:lang w:eastAsia="zh-CN"/>
              </w:rPr>
              <w:t>；</w:t>
            </w:r>
            <w:r>
              <w:rPr>
                <w:rFonts w:ascii="楷体" w:hAnsi="楷体" w:eastAsia="楷体"/>
                <w:sz w:val="18"/>
              </w:rPr>
              <w:t>D份额2.55%-3.15%</w:t>
            </w:r>
            <w:r>
              <w:rPr>
                <w:rFonts w:hint="eastAsia" w:ascii="楷体" w:hAnsi="楷体" w:eastAsia="楷体"/>
                <w:sz w:val="18"/>
                <w:lang w:eastAsia="zh-CN"/>
              </w:rPr>
              <w:t>；</w:t>
            </w:r>
          </w:p>
          <w:p>
            <w:pPr>
              <w:pStyle w:val="23"/>
              <w:keepNext w:val="0"/>
              <w:keepLines w:val="0"/>
              <w:pageBreakBefore w:val="0"/>
              <w:widowControl w:val="0"/>
              <w:numPr>
                <w:ilvl w:val="0"/>
                <w:numId w:val="0"/>
              </w:numPr>
              <w:kinsoku/>
              <w:wordWrap/>
              <w:overflowPunct w:val="0"/>
              <w:topLinePunct w:val="0"/>
              <w:autoSpaceDE w:val="0"/>
              <w:autoSpaceDN w:val="0"/>
              <w:bidi w:val="0"/>
              <w:adjustRightInd w:val="0"/>
              <w:snapToGrid/>
              <w:spacing w:line="0" w:lineRule="atLeast"/>
              <w:ind w:left="0" w:leftChars="0" w:right="0" w:rightChars="0"/>
              <w:jc w:val="both"/>
              <w:textAlignment w:val="auto"/>
              <w:rPr>
                <w:rFonts w:hint="eastAsia" w:ascii="楷体" w:hAnsi="楷体" w:eastAsia="楷体"/>
                <w:sz w:val="18"/>
                <w:lang w:eastAsia="zh-CN"/>
              </w:rPr>
            </w:pPr>
            <w:r>
              <w:rPr>
                <w:rFonts w:ascii="楷体" w:hAnsi="楷体" w:eastAsia="楷体"/>
                <w:sz w:val="18"/>
              </w:rPr>
              <w:t>F份额2.40%-3.00%</w:t>
            </w:r>
            <w:r>
              <w:rPr>
                <w:rFonts w:hint="eastAsia" w:ascii="楷体" w:hAnsi="楷体" w:eastAsia="楷体"/>
                <w:sz w:val="18"/>
                <w:lang w:eastAsia="zh-CN"/>
              </w:rPr>
              <w:t>；</w:t>
            </w:r>
            <w:r>
              <w:rPr>
                <w:rFonts w:ascii="楷体" w:hAnsi="楷体" w:eastAsia="楷体"/>
                <w:sz w:val="18"/>
              </w:rPr>
              <w:t>G份额2.43%-3.03%</w:t>
            </w:r>
            <w:r>
              <w:rPr>
                <w:rFonts w:hint="eastAsia" w:ascii="楷体" w:hAnsi="楷体" w:eastAsia="楷体"/>
                <w:sz w:val="18"/>
                <w:lang w:eastAsia="zh-CN"/>
              </w:rPr>
              <w:t>；</w:t>
            </w:r>
            <w:r>
              <w:rPr>
                <w:rFonts w:ascii="楷体" w:hAnsi="楷体" w:eastAsia="楷体"/>
                <w:sz w:val="18"/>
              </w:rPr>
              <w:t>J份额2.50%-3.10%</w:t>
            </w:r>
            <w:r>
              <w:rPr>
                <w:rFonts w:hint="eastAsia" w:ascii="楷体" w:hAnsi="楷体" w:eastAsia="楷体"/>
                <w:sz w:val="18"/>
                <w:lang w:eastAsia="zh-CN"/>
              </w:rPr>
              <w:t>；</w:t>
            </w:r>
            <w:r>
              <w:rPr>
                <w:rFonts w:ascii="楷体" w:hAnsi="楷体" w:eastAsia="楷体"/>
                <w:sz w:val="18"/>
              </w:rPr>
              <w:t>P份额2.65%-3.25%</w:t>
            </w:r>
            <w:r>
              <w:rPr>
                <w:rFonts w:hint="eastAsia" w:ascii="楷体" w:hAnsi="楷体" w:eastAsia="楷体"/>
                <w:sz w:val="18"/>
                <w:lang w:eastAsia="zh-CN"/>
              </w:rPr>
              <w:t>；</w:t>
            </w:r>
          </w:p>
          <w:p>
            <w:pPr>
              <w:pStyle w:val="23"/>
              <w:keepNext w:val="0"/>
              <w:keepLines w:val="0"/>
              <w:pageBreakBefore w:val="0"/>
              <w:widowControl w:val="0"/>
              <w:numPr>
                <w:ilvl w:val="0"/>
                <w:numId w:val="0"/>
              </w:numPr>
              <w:kinsoku/>
              <w:wordWrap/>
              <w:overflowPunct w:val="0"/>
              <w:topLinePunct w:val="0"/>
              <w:autoSpaceDE w:val="0"/>
              <w:autoSpaceDN w:val="0"/>
              <w:bidi w:val="0"/>
              <w:adjustRightInd w:val="0"/>
              <w:snapToGrid/>
              <w:spacing w:line="0" w:lineRule="atLeast"/>
              <w:ind w:left="0" w:leftChars="0" w:right="0" w:rightChars="0"/>
              <w:jc w:val="both"/>
              <w:textAlignment w:val="auto"/>
              <w:rPr>
                <w:rFonts w:hint="eastAsia" w:ascii="楷体" w:hAnsi="楷体" w:eastAsia="楷体"/>
                <w:sz w:val="18"/>
                <w:lang w:eastAsia="zh-CN"/>
              </w:rPr>
            </w:pPr>
            <w:r>
              <w:rPr>
                <w:rFonts w:hint="eastAsia" w:ascii="楷体" w:hAnsi="楷体" w:eastAsia="楷体"/>
                <w:sz w:val="18"/>
                <w:lang w:val="en-US" w:eastAsia="zh-CN"/>
              </w:rPr>
              <w:t>X</w:t>
            </w:r>
            <w:r>
              <w:rPr>
                <w:rFonts w:ascii="楷体" w:hAnsi="楷体" w:eastAsia="楷体"/>
                <w:sz w:val="18"/>
              </w:rPr>
              <w:t>份额2.55%-3.15%</w:t>
            </w:r>
            <w:r>
              <w:rPr>
                <w:rFonts w:hint="eastAsia" w:ascii="楷体" w:hAnsi="楷体" w:eastAsia="楷体"/>
                <w:sz w:val="18"/>
                <w:lang w:eastAsia="zh-CN"/>
              </w:rPr>
              <w:t>；</w:t>
            </w:r>
            <w:r>
              <w:rPr>
                <w:rFonts w:hint="eastAsia" w:ascii="楷体" w:hAnsi="楷体" w:eastAsia="楷体"/>
                <w:sz w:val="18"/>
                <w:lang w:val="en-US" w:eastAsia="zh-CN"/>
              </w:rPr>
              <w:t>N</w:t>
            </w:r>
            <w:r>
              <w:rPr>
                <w:rFonts w:ascii="楷体" w:hAnsi="楷体" w:eastAsia="楷体"/>
                <w:sz w:val="18"/>
              </w:rPr>
              <w:t>份额2.43%-3.03%</w:t>
            </w:r>
            <w:r>
              <w:rPr>
                <w:rFonts w:hint="eastAsia" w:ascii="楷体" w:hAnsi="楷体" w:eastAsia="楷体"/>
                <w:sz w:val="18"/>
                <w:lang w:eastAsia="zh-CN"/>
              </w:rPr>
              <w:t>；</w:t>
            </w:r>
            <w:r>
              <w:rPr>
                <w:rFonts w:ascii="楷体" w:hAnsi="楷体" w:eastAsia="楷体"/>
                <w:sz w:val="18"/>
              </w:rPr>
              <w:t>GS份额2.55%-3.15%</w:t>
            </w:r>
            <w:r>
              <w:rPr>
                <w:rFonts w:hint="eastAsia" w:ascii="楷体" w:hAnsi="楷体" w:eastAsia="楷体"/>
                <w:sz w:val="18"/>
                <w:lang w:eastAsia="zh-CN"/>
              </w:rPr>
              <w:t>；</w:t>
            </w:r>
            <w:r>
              <w:rPr>
                <w:rFonts w:ascii="楷体" w:hAnsi="楷体" w:eastAsia="楷体"/>
                <w:sz w:val="18"/>
              </w:rPr>
              <w:t>S份额2.50%-3.10%</w:t>
            </w:r>
            <w:r>
              <w:rPr>
                <w:rFonts w:hint="eastAsia" w:ascii="楷体" w:hAnsi="楷体" w:eastAsia="楷体"/>
                <w:sz w:val="18"/>
                <w:lang w:eastAsia="zh-CN"/>
              </w:rPr>
              <w:t>；</w:t>
            </w:r>
          </w:p>
          <w:p>
            <w:pPr>
              <w:pStyle w:val="23"/>
              <w:keepNext w:val="0"/>
              <w:keepLines w:val="0"/>
              <w:pageBreakBefore w:val="0"/>
              <w:widowControl w:val="0"/>
              <w:numPr>
                <w:ilvl w:val="0"/>
                <w:numId w:val="0"/>
              </w:numPr>
              <w:kinsoku/>
              <w:wordWrap/>
              <w:overflowPunct w:val="0"/>
              <w:topLinePunct w:val="0"/>
              <w:autoSpaceDE w:val="0"/>
              <w:autoSpaceDN w:val="0"/>
              <w:bidi w:val="0"/>
              <w:adjustRightInd w:val="0"/>
              <w:snapToGrid/>
              <w:spacing w:line="0" w:lineRule="atLeast"/>
              <w:ind w:left="0" w:leftChars="0" w:right="0" w:rightChars="0"/>
              <w:jc w:val="both"/>
              <w:textAlignment w:val="auto"/>
              <w:rPr>
                <w:rFonts w:hint="eastAsia" w:ascii="楷体" w:hAnsi="楷体" w:eastAsia="楷体"/>
                <w:sz w:val="18"/>
                <w:lang w:eastAsia="zh-CN"/>
              </w:rPr>
            </w:pPr>
            <w:r>
              <w:rPr>
                <w:rFonts w:ascii="楷体" w:hAnsi="楷体" w:eastAsia="楷体"/>
                <w:sz w:val="18"/>
              </w:rPr>
              <w:t>U份额2.40%-3.00%</w:t>
            </w:r>
            <w:r>
              <w:rPr>
                <w:rFonts w:hint="eastAsia" w:ascii="楷体" w:hAnsi="楷体" w:eastAsia="楷体"/>
                <w:sz w:val="18"/>
                <w:lang w:eastAsia="zh-CN"/>
              </w:rPr>
              <w:t>；</w:t>
            </w:r>
            <w:r>
              <w:rPr>
                <w:rFonts w:ascii="楷体" w:hAnsi="楷体" w:eastAsia="楷体"/>
                <w:sz w:val="18"/>
              </w:rPr>
              <w:t>L份额2.50%-3.10%</w:t>
            </w:r>
            <w:r>
              <w:rPr>
                <w:rFonts w:hint="eastAsia" w:ascii="楷体" w:hAnsi="楷体" w:eastAsia="楷体"/>
                <w:sz w:val="18"/>
                <w:lang w:eastAsia="zh-CN"/>
              </w:rPr>
              <w:t>；</w:t>
            </w:r>
            <w:r>
              <w:rPr>
                <w:rFonts w:ascii="楷体" w:hAnsi="楷体" w:eastAsia="楷体"/>
                <w:sz w:val="18"/>
              </w:rPr>
              <w:t>Z份额2.40%-3.00%</w:t>
            </w:r>
            <w:r>
              <w:rPr>
                <w:rFonts w:hint="eastAsia" w:ascii="楷体" w:hAnsi="楷体" w:eastAsia="楷体"/>
                <w:sz w:val="18"/>
                <w:lang w:eastAsia="zh-CN"/>
              </w:rPr>
              <w:t>；</w:t>
            </w:r>
            <w:r>
              <w:rPr>
                <w:rFonts w:ascii="楷体" w:hAnsi="楷体" w:eastAsia="楷体"/>
                <w:sz w:val="18"/>
              </w:rPr>
              <w:t>Z1份额2.50%-3.10%</w:t>
            </w:r>
            <w:r>
              <w:rPr>
                <w:rFonts w:hint="eastAsia" w:ascii="楷体" w:hAnsi="楷体" w:eastAsia="楷体"/>
                <w:sz w:val="18"/>
                <w:lang w:eastAsia="zh-CN"/>
              </w:rPr>
              <w:t>；</w:t>
            </w:r>
          </w:p>
          <w:p>
            <w:pPr>
              <w:pStyle w:val="23"/>
              <w:keepNext w:val="0"/>
              <w:keepLines w:val="0"/>
              <w:pageBreakBefore w:val="0"/>
              <w:widowControl w:val="0"/>
              <w:numPr>
                <w:ilvl w:val="0"/>
                <w:numId w:val="0"/>
              </w:numPr>
              <w:kinsoku/>
              <w:wordWrap/>
              <w:overflowPunct w:val="0"/>
              <w:topLinePunct w:val="0"/>
              <w:autoSpaceDE w:val="0"/>
              <w:autoSpaceDN w:val="0"/>
              <w:bidi w:val="0"/>
              <w:adjustRightInd w:val="0"/>
              <w:snapToGrid/>
              <w:spacing w:line="0" w:lineRule="atLeast"/>
              <w:ind w:left="0" w:leftChars="0" w:right="0" w:rightChars="0"/>
              <w:jc w:val="both"/>
              <w:textAlignment w:val="auto"/>
              <w:rPr>
                <w:rFonts w:hint="eastAsia" w:ascii="楷体" w:hAnsi="楷体" w:eastAsia="楷体"/>
                <w:sz w:val="18"/>
                <w:lang w:eastAsia="zh-CN"/>
              </w:rPr>
            </w:pPr>
            <w:r>
              <w:rPr>
                <w:rFonts w:ascii="楷体" w:hAnsi="楷体" w:eastAsia="楷体"/>
                <w:sz w:val="18"/>
              </w:rPr>
              <w:t>Z2份额2.55%-3.15%</w:t>
            </w:r>
            <w:r>
              <w:rPr>
                <w:rFonts w:hint="eastAsia" w:ascii="楷体" w:hAnsi="楷体" w:eastAsia="楷体"/>
                <w:sz w:val="18"/>
                <w:lang w:eastAsia="zh-CN"/>
              </w:rPr>
              <w:t>；</w:t>
            </w:r>
            <w:r>
              <w:rPr>
                <w:rFonts w:ascii="楷体" w:hAnsi="楷体" w:eastAsia="楷体"/>
                <w:sz w:val="18"/>
              </w:rPr>
              <w:t>ZA份额2.40%-3.00%</w:t>
            </w:r>
            <w:r>
              <w:rPr>
                <w:rFonts w:hint="eastAsia" w:ascii="楷体" w:hAnsi="楷体" w:eastAsia="楷体"/>
                <w:sz w:val="18"/>
                <w:lang w:eastAsia="zh-CN"/>
              </w:rPr>
              <w:t>；</w:t>
            </w:r>
            <w:r>
              <w:rPr>
                <w:rFonts w:ascii="楷体" w:hAnsi="楷体" w:eastAsia="楷体"/>
                <w:sz w:val="18"/>
              </w:rPr>
              <w:t>ZF份额2.40%-3.00%</w:t>
            </w:r>
            <w:r>
              <w:rPr>
                <w:rFonts w:hint="eastAsia" w:ascii="楷体" w:hAnsi="楷体" w:eastAsia="楷体"/>
                <w:sz w:val="18"/>
                <w:lang w:eastAsia="zh-CN"/>
              </w:rPr>
              <w:t>；</w:t>
            </w:r>
            <w:r>
              <w:rPr>
                <w:rFonts w:ascii="楷体" w:hAnsi="楷体" w:eastAsia="楷体"/>
                <w:sz w:val="18"/>
              </w:rPr>
              <w:t>ZF2份额2.55%-3.15%</w:t>
            </w:r>
            <w:r>
              <w:rPr>
                <w:rFonts w:hint="eastAsia" w:ascii="楷体" w:hAnsi="楷体" w:eastAsia="楷体"/>
                <w:sz w:val="18"/>
                <w:lang w:eastAsia="zh-CN"/>
              </w:rPr>
              <w:t>；</w:t>
            </w:r>
          </w:p>
          <w:p>
            <w:pPr>
              <w:pStyle w:val="23"/>
              <w:keepNext w:val="0"/>
              <w:keepLines w:val="0"/>
              <w:pageBreakBefore w:val="0"/>
              <w:widowControl w:val="0"/>
              <w:numPr>
                <w:ilvl w:val="0"/>
                <w:numId w:val="0"/>
              </w:numPr>
              <w:kinsoku/>
              <w:wordWrap/>
              <w:overflowPunct w:val="0"/>
              <w:topLinePunct w:val="0"/>
              <w:autoSpaceDE w:val="0"/>
              <w:autoSpaceDN w:val="0"/>
              <w:bidi w:val="0"/>
              <w:adjustRightInd w:val="0"/>
              <w:snapToGrid/>
              <w:spacing w:line="0" w:lineRule="atLeast"/>
              <w:ind w:left="0" w:leftChars="0" w:right="0" w:rightChars="0"/>
              <w:jc w:val="both"/>
              <w:textAlignment w:val="auto"/>
              <w:rPr>
                <w:rFonts w:hint="eastAsia" w:ascii="楷体" w:hAnsi="楷体" w:eastAsia="楷体"/>
                <w:sz w:val="18"/>
                <w:lang w:eastAsia="zh-CN"/>
              </w:rPr>
            </w:pPr>
            <w:r>
              <w:rPr>
                <w:rFonts w:ascii="楷体" w:hAnsi="楷体" w:eastAsia="楷体"/>
                <w:sz w:val="18"/>
              </w:rPr>
              <w:t>ZF3份额2.45%-3.05%</w:t>
            </w:r>
            <w:r>
              <w:rPr>
                <w:rFonts w:hint="eastAsia" w:ascii="楷体" w:hAnsi="楷体" w:eastAsia="楷体"/>
                <w:sz w:val="18"/>
                <w:lang w:eastAsia="zh-CN"/>
              </w:rPr>
              <w:t>；</w:t>
            </w:r>
            <w:r>
              <w:rPr>
                <w:rFonts w:ascii="楷体" w:hAnsi="楷体" w:eastAsia="楷体"/>
                <w:sz w:val="18"/>
              </w:rPr>
              <w:t>ZF4份额2.60%-3.20%</w:t>
            </w:r>
            <w:r>
              <w:rPr>
                <w:rFonts w:hint="eastAsia" w:ascii="楷体" w:hAnsi="楷体" w:eastAsia="楷体"/>
                <w:sz w:val="18"/>
                <w:lang w:eastAsia="zh-CN"/>
              </w:rPr>
              <w:t>；</w:t>
            </w:r>
            <w:r>
              <w:rPr>
                <w:rFonts w:ascii="楷体" w:hAnsi="楷体" w:eastAsia="楷体"/>
                <w:sz w:val="18"/>
              </w:rPr>
              <w:t>ZF5份额2.50%-3.10%</w:t>
            </w:r>
            <w:r>
              <w:rPr>
                <w:rFonts w:hint="eastAsia" w:ascii="楷体" w:hAnsi="楷体" w:eastAsia="楷体"/>
                <w:sz w:val="18"/>
                <w:lang w:eastAsia="zh-CN"/>
              </w:rPr>
              <w:t>；</w:t>
            </w:r>
            <w:r>
              <w:rPr>
                <w:rFonts w:ascii="楷体" w:hAnsi="楷体" w:eastAsia="楷体"/>
                <w:sz w:val="18"/>
              </w:rPr>
              <w:t>ZJ份额2.70%-3.30%</w:t>
            </w:r>
            <w:r>
              <w:rPr>
                <w:rFonts w:hint="eastAsia" w:ascii="楷体" w:hAnsi="楷体" w:eastAsia="楷体"/>
                <w:sz w:val="18"/>
                <w:lang w:eastAsia="zh-CN"/>
              </w:rPr>
              <w:t>；</w:t>
            </w:r>
          </w:p>
          <w:p>
            <w:pPr>
              <w:pStyle w:val="23"/>
              <w:keepNext w:val="0"/>
              <w:keepLines w:val="0"/>
              <w:pageBreakBefore w:val="0"/>
              <w:widowControl w:val="0"/>
              <w:numPr>
                <w:ilvl w:val="0"/>
                <w:numId w:val="0"/>
              </w:numPr>
              <w:kinsoku/>
              <w:wordWrap/>
              <w:overflowPunct w:val="0"/>
              <w:topLinePunct w:val="0"/>
              <w:autoSpaceDE w:val="0"/>
              <w:autoSpaceDN w:val="0"/>
              <w:bidi w:val="0"/>
              <w:adjustRightInd w:val="0"/>
              <w:snapToGrid/>
              <w:spacing w:line="0" w:lineRule="atLeast"/>
              <w:ind w:left="0" w:leftChars="0" w:right="0" w:rightChars="0"/>
              <w:jc w:val="both"/>
              <w:textAlignment w:val="auto"/>
              <w:rPr>
                <w:rFonts w:hint="eastAsia" w:ascii="楷体" w:hAnsi="楷体" w:eastAsia="楷体"/>
                <w:sz w:val="18"/>
                <w:lang w:eastAsia="zh-CN"/>
              </w:rPr>
            </w:pPr>
            <w:r>
              <w:rPr>
                <w:rFonts w:ascii="楷体" w:hAnsi="楷体" w:eastAsia="楷体"/>
                <w:sz w:val="18"/>
              </w:rPr>
              <w:t>ZL份额2.55%-3.15%</w:t>
            </w:r>
            <w:r>
              <w:rPr>
                <w:rFonts w:hint="eastAsia" w:ascii="楷体" w:hAnsi="楷体" w:eastAsia="楷体"/>
                <w:sz w:val="18"/>
                <w:lang w:eastAsia="zh-CN"/>
              </w:rPr>
              <w:t>；</w:t>
            </w:r>
            <w:r>
              <w:rPr>
                <w:rFonts w:hint="eastAsia" w:ascii="楷体" w:hAnsi="楷体" w:eastAsia="楷体"/>
                <w:sz w:val="18"/>
              </w:rPr>
              <w:t>天府·优选份额</w:t>
            </w:r>
            <w:r>
              <w:rPr>
                <w:rFonts w:ascii="楷体" w:hAnsi="楷体" w:eastAsia="楷体"/>
                <w:sz w:val="18"/>
              </w:rPr>
              <w:t>2.55%-3.15%</w:t>
            </w:r>
            <w:r>
              <w:rPr>
                <w:rFonts w:hint="eastAsia" w:ascii="楷体" w:hAnsi="楷体" w:eastAsia="楷体"/>
                <w:sz w:val="18"/>
                <w:lang w:eastAsia="zh-CN"/>
              </w:rPr>
              <w:t>；</w:t>
            </w:r>
            <w:r>
              <w:rPr>
                <w:rFonts w:ascii="楷体" w:hAnsi="楷体" w:eastAsia="楷体"/>
                <w:sz w:val="18"/>
              </w:rPr>
              <w:t>ZN份额2.55%-3.15%</w:t>
            </w:r>
            <w:r>
              <w:rPr>
                <w:rFonts w:hint="eastAsia" w:ascii="楷体" w:hAnsi="楷体" w:eastAsia="楷体"/>
                <w:sz w:val="18"/>
                <w:lang w:eastAsia="zh-CN"/>
              </w:rPr>
              <w:t>；</w:t>
            </w:r>
            <w:r>
              <w:rPr>
                <w:rFonts w:ascii="楷体" w:hAnsi="楷体" w:eastAsia="楷体"/>
                <w:sz w:val="18"/>
              </w:rPr>
              <w:t>ZQ份额2.40%-3.00%</w:t>
            </w:r>
            <w:r>
              <w:rPr>
                <w:rFonts w:hint="eastAsia" w:ascii="楷体" w:hAnsi="楷体" w:eastAsia="楷体"/>
                <w:sz w:val="18"/>
                <w:lang w:eastAsia="zh-CN"/>
              </w:rPr>
              <w:t>；</w:t>
            </w:r>
          </w:p>
          <w:p>
            <w:pPr>
              <w:pStyle w:val="23"/>
              <w:keepNext w:val="0"/>
              <w:keepLines w:val="0"/>
              <w:pageBreakBefore w:val="0"/>
              <w:widowControl w:val="0"/>
              <w:numPr>
                <w:ilvl w:val="0"/>
                <w:numId w:val="0"/>
              </w:numPr>
              <w:kinsoku/>
              <w:wordWrap/>
              <w:overflowPunct w:val="0"/>
              <w:topLinePunct w:val="0"/>
              <w:autoSpaceDE w:val="0"/>
              <w:autoSpaceDN w:val="0"/>
              <w:bidi w:val="0"/>
              <w:adjustRightInd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ascii="楷体" w:hAnsi="楷体" w:eastAsia="楷体"/>
                <w:sz w:val="18"/>
              </w:rPr>
              <w:t>ZC份额2.45%-3.05%</w:t>
            </w:r>
            <w:r>
              <w:rPr>
                <w:rFonts w:hint="eastAsia" w:ascii="楷体" w:hAnsi="楷体" w:eastAsia="楷体"/>
                <w:sz w:val="18"/>
                <w:lang w:eastAsia="zh-CN"/>
              </w:rPr>
              <w:t>；</w:t>
            </w:r>
            <w:r>
              <w:rPr>
                <w:rFonts w:ascii="楷体" w:hAnsi="楷体" w:eastAsia="楷体"/>
                <w:sz w:val="18"/>
              </w:rPr>
              <w:t>ZK份额2.55%-3.15%</w:t>
            </w:r>
            <w:r>
              <w:rPr>
                <w:rFonts w:hint="eastAsia" w:ascii="楷体" w:hAnsi="楷体" w:eastAsia="楷体"/>
                <w:sz w:val="18"/>
                <w:lang w:eastAsia="zh-CN"/>
              </w:rPr>
              <w:t>。</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 0.55%，B份额 0.55%，C份额 0.55%，D份额 0.55%，F份额 0.65%，G份额 0.55%，J份额 0.55%，P份额 0.45%，X份额 0.55%，N份额 0.67%，GS份额 0.55%，S份额 0.65%，U份额 0.60%，L份额 0.52%，Z份额 0.70%，Z1份额 0.60%，Z2份额 0.55%，ZA份额 0.65%，ZF份额 0.65%，ZF2份额 0.60%，ZF3份额 0.65%，ZF4份额 0.55%，ZF5份额 0.65%，ZJ份额 0.45%，ZL份额 0.50%，天府·优选份额 0.65%，ZN份额 0.55%，ZQ份额 0.65%，ZC份额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0.70%，G份额 0.77%，J份额 0.70%，P份额 0.65%，X份额 0.65%，N份额 0.65%，GS份额 0.65%，S份额 0.60%，U份额 0.75%，L份额 0.73%，Z份额 0.65%，Z1份额 0.65%，Z2份额 0.65%，ZA份额 0.70%，ZF份额 0.70%，ZF2份额 0.60%，ZF3份额 0.65%，ZF4份额 0.60%，ZF5份额 0.60%，ZJ份额 0.60%，ZL份额 0.70%，天府·优选份额 0.55%，ZN份额 0.65%，ZQ份额 0.70%，ZC份额 0.70%，ZK份额 0.70%。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highlight w:val="none"/>
              </w:rPr>
            </w:pPr>
            <w:r>
              <w:rPr>
                <w:rFonts w:hint="eastAsia" w:ascii="楷体" w:hAnsi="楷体" w:eastAsia="楷体" w:cs="宋体"/>
                <w:b/>
                <w:spacing w:val="-2"/>
                <w:sz w:val="18"/>
                <w:szCs w:val="18"/>
                <w:highlight w:val="none"/>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highlight w:val="none"/>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本产品按投资周期进行现金分红</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highlight w:val="none"/>
              </w:rPr>
              <w:t>详见下文</w:t>
            </w:r>
            <w:r>
              <w:rPr>
                <w:rFonts w:hint="eastAsia" w:ascii="楷体" w:hAnsi="楷体" w:eastAsia="楷体" w:cs="宋体"/>
                <w:spacing w:val="-2"/>
                <w:sz w:val="18"/>
                <w:szCs w:val="18"/>
                <w:highlight w:val="none"/>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highlight w:val="none"/>
                <w:lang w:val="en-US"/>
              </w:rPr>
            </w:pPr>
            <w:r>
              <w:rPr>
                <w:rFonts w:hint="eastAsia" w:ascii="楷体" w:hAnsi="楷体" w:eastAsia="楷体" w:cs="宋体"/>
                <w:b/>
                <w:color w:val="auto"/>
                <w:spacing w:val="-2"/>
                <w:sz w:val="18"/>
                <w:szCs w:val="18"/>
                <w:highlight w:val="none"/>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w:t>
            </w:r>
            <w:r>
              <w:rPr>
                <w:rFonts w:hint="eastAsia" w:ascii="楷体" w:hAnsi="楷体" w:eastAsia="楷体" w:cs="宋体"/>
                <w:color w:val="auto"/>
                <w:spacing w:val="-2"/>
                <w:sz w:val="18"/>
                <w:szCs w:val="18"/>
                <w:highlight w:val="none"/>
                <w:shd w:val="clear" w:fill="auto"/>
                <w:lang w:val="en-US" w:eastAsia="zh-CN"/>
              </w:rPr>
              <w:t>产品</w:t>
            </w:r>
            <w:r>
              <w:rPr>
                <w:rFonts w:hint="eastAsia" w:ascii="楷体" w:hAnsi="楷体" w:eastAsia="楷体" w:cs="宋体"/>
                <w:color w:val="auto"/>
                <w:spacing w:val="-2"/>
                <w:sz w:val="18"/>
                <w:szCs w:val="18"/>
                <w:highlight w:val="none"/>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本产品管理人为</w:t>
      </w:r>
      <w:r>
        <w:rPr>
          <w:rFonts w:hint="eastAsia" w:ascii="楷体" w:hAnsi="楷体" w:eastAsia="楷体" w:cs="Calibri"/>
          <w:b/>
          <w:bCs/>
          <w:sz w:val="21"/>
          <w:szCs w:val="21"/>
          <w:highlight w:val="none"/>
          <w:u w:val="single"/>
        </w:rPr>
        <w:t>苏银理财有限责任公司</w:t>
      </w:r>
      <w:r>
        <w:rPr>
          <w:rFonts w:hint="eastAsia" w:ascii="楷体" w:hAnsi="楷体" w:eastAsia="楷体" w:cs="Calibri"/>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highlight w:val="none"/>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highlight w:val="none"/>
          <w:u w:val="single"/>
          <w:lang w:val="en-US" w:eastAsia="zh-CN"/>
        </w:rPr>
        <w:t>江苏银行股份有限</w:t>
      </w:r>
      <w:r>
        <w:rPr>
          <w:rFonts w:hint="eastAsia" w:ascii="楷体" w:hAnsi="楷体" w:eastAsia="楷体" w:cs="Calibri"/>
          <w:b/>
          <w:bCs/>
          <w:sz w:val="21"/>
          <w:szCs w:val="21"/>
          <w:highlight w:val="none"/>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兑付责任，产品的投资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涟水农村商业银行股份有限公司/江苏紫金农村商业银行股份有限公司/江苏东台农村商业银行股份有限公司/江苏丹阳农村商业银行股份有限公司/江苏溧水农村商业银行股份有限公司/江苏银行股份有限公司/江苏高邮农村商业银行股份有限公司/江苏仪征农村商业银行股份有限公司/江苏扬中农村商业银行股份有限公司/江苏扬州农村商业银行股份有限公司/江苏新沂农村商业银行股份有限公司/江苏南通农村商业银行股份有限公司/江苏阜宁农村商业银行股份有限公司/江苏盱眙农村商业银行股份有限公司/江苏如东农村商业银行股份有限公司/江苏宜兴农村商业银行股份有限公司/江苏江阴农村商业银行股份有限公司/江苏靖江农村商业银行股份有限公司/江苏如皋农村商业银行股份有限公司/江苏淮安农村商业银行股份有限公司/江苏句容农村商业银行股份有限公司/江苏沭阳农村商业银行股份有限公司/九江银行股份有限公司/江苏泰兴农村商业银行股份有限公司/江苏高淳农村商业银行股份有限公司/江苏洪泽农村商业银行股份有限公司/江苏海安农村商业银行股份有限公司/江苏邳州农村商业银行股份有限公司/宁波东海银行股份有限公司/齐鲁银行股份有限公司/上海银行股份有限公司/苏银理财有限责任公司/上海农村商业银行股份有限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B份额:江苏涟水农村商业银行股份有限公司/江苏紫金农村商业银行股份有限公司/江苏东台农村商业银行股份有限公司/江苏丹阳农村商业银行股份有限公司/江苏常熟农村商业银行股份有限公司/江苏溧水农村商业银行股份有限公司/江苏银行股份有限公司/江苏高邮农村商业银行股份有限公司/江苏仪征农村商业银行股份有限公司/江苏扬中农村商业银行股份有限公司/江苏扬州农村商业银行股份有限公司/江苏新沂农村商业银行股份有限公司/江苏南通农村商业银行股份有限公司/江苏阜宁农村商业银行股份有限公司/江苏盱眙农村商业银行股份有限公司/江苏如东农村商业银行股份有限公司/江苏宜兴农村商业银行股份有限公司/江苏靖江农村商业银行股份有限公司/江苏如皋农村商业银行股份有限公司/江苏淮安农村商业银行股份有限公司/江苏句容农村商业银行股份有限公司/江苏沭阳农村商业银行股份有限公司/江苏苏州农村商业银行股份有限公司/江苏泰兴农村商业银行股份有限公司/江苏高淳农村商业银行股份有限公司/江苏洪泽农村商业银行股份有限公司/江苏海安农村商业银行股份有限公司/江苏邳州农村商业银行股份有限公司/宁波东海银行股份有限公司/齐鲁银行股份有限公司/苏银理财有限责任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C份额:江苏银行股份有限公司/江苏紫金农村商业银行股份有限公司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D份额:江苏银行股份有限公司/江苏江阴农村商业银行股份有限公司/上海银行股份有限公司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F份额:北京农村商业银行股份有限公司/甘肃银行股份有限公司/广州银行股份有限公司/广州农村商业银行股份有限公司/杭州联合农村商业银行股份有限公司/华侨银行有限公司/九江银行股份有限公司/交通银行股份有限公司/宁波通商银行股份有限公司/宁波余姚农村商业银行股份有限公司/宁波慈溪农村商业银行股份有限公司/宁波镇海农村商业银行股份有限公司/日照银行股份有限公司/苏州银行股份有限公司/山西银行股份有限公司/上海浦东发展银行股份有限公司/深圳农村商业银行股份有限公司/天津滨海农村商业银行股份有限公司/泰安银行股份有限公司/台州银行股份有限公司/潍坊银行股份有限公司/兴业银行股份有限公司/浙江舟山定海海洋农村商业银行股份有限公司/浙江临海农村商业银行股份有限公司/浙江青田农村商业银行股份有限公司/浙江上虞农村商业银行股份有限公司/浙江绍兴瑞丰农村商业银行股份有限公司/浙江杭州余杭农村商业银行股份有限公司/浙江乐清农村商业银行股份有限公司/浙江温州瓯海农村商业银行股份有限公司/浙江永康农村商业银行股份有限公司/浙江永嘉农村商业银行股份有限公司/中邮邮惠万家银行有限责任公司/浙江淳安农村商业银行股份有限公司/浙江岱山农村商业银行股份有限公司/浙江温州龙湾农村商业银行股份有限公司/浙江义乌农村商业银行股份有限公司/浙江桐庐农村商业银行股份有限公司/浙江海宁农村商业银行股份有限公司/浙江泰顺农村商业银行股份有限公司/浙江萧山农村商业银行股份有限公司/浙江嘉善农村商业银行股份有限公司/浙商银行股份有限公司/浙江德清农村商业银行股份有限公司/浙江长兴农村商业银行股份有限公司/浙江武义农村商业银行股份有限公司/浙江江山农村商业银行股份有限公司/浙江开化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份额:广州农村商业银行股份有限公司/杭州联合农村商业银行股份有限公司/徽商银行股份有限公司/宁波通商银行股份有限公司/深圳农村商业银行股份有限公司/山西银行股份有限公司/兴业银行股份有限公司/浙江海宁农村商业银行股份有限公司/浙江萧山农村商业银行股份有限公司/浙江嘉善农村商业银行股份有限公司/浙江绍兴瑞丰农村商业银行股份有限公司/浙商银行股份有限公司/浙江杭州余杭农村商业银行股份有限公司/浙江温州瓯海农村商业银行股份有限公司/浙江德清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J份额:江苏银行股份有限公司/江苏如皋农村商业银行股份有限公司/上海银行股份有限公司/威海银行股份有限公司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P份额:甘肃银行股份有限公司/徽商银行股份有限公司/泰安银行股份有限公司/郑州银行股份有限公司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X份额:上海浦东发展银行股份有限公司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N份额:上海浦东发展银行股份有限公司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GS份额:甘肃银行股份有限公司/秦皇岛银行股份有限公司/日照银行股份有限公司/兰州银行股份有限公司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S份额:晋商银行股份有限公司/山西银行股份有限公司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U份额:徽商银行股份有限公司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sz w:val="21"/>
          <w:szCs w:val="21"/>
          <w:highlight w:val="none"/>
          <w:lang w:val="en-US" w:eastAsia="zh-CN"/>
        </w:rPr>
        <w:t>L份额:深圳农村商业银行股份有限公司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Z份额:江苏东台农村商业银行股份有限公司/上海农村商业银行股份有限公司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Z1份额:上海农村商业银行股份有限公司/郑州银行股份有限公司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Z2份额:上海农村商业银行股份有限公司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A份额:江苏涟水农村商业银行股份有限公司/江苏东海农村商业银行股份有限公司/江苏大丰农村商业银行股份有限公司/江苏盐城农村商业银行股份有限公司/江苏紫金农村商业银行股份有限公司/江苏东台农村商业银行股份有限公司/江苏灌南农村商业银行股份有限公司/江苏启东农村商业银行股份有限公司/江苏丹阳农村商业银行股份有限公司/江苏常熟农村商业银行股份有限公司/江苏睢宁农村商业银行股份有限公司/江苏溧水农村商业银行股份有限公司/江苏江都农村商业银行股份有限公司/江苏建湖农村商业银行股份有限公司/江苏泗洪农村商业银行股份有限公司/江苏高邮农村商业银行股份有限公司/江苏丰县农村商业银行股份有限公司/江苏仪征农村商业银行股份有限公司/江苏扬中农村商业银行股份有限公司/江苏扬州农村商业银行股份有限公司/江苏金湖农村商业银行股份有限公司/江苏新沂农村商业银行股份有限公司/江苏南通农村商业银行股份有限公司/江苏阜宁农村商业银行股份有限公司/江苏盱眙农村商业银行股份有限公司/江苏如东农村商业银行股份有限公司/江苏泗阳农村商业银行股份有限公司/江苏响水农村商业银行股份有限公司/江苏宜兴农村商业银行股份有限公司/江苏靖江农村商业银行股份有限公司/江苏姜堰农村商业银行股份有限公司/江苏如皋农村商业银行股份有限公司/江苏淮安农村商业银行股份有限公司/江苏句容农村商业银行股份有限公司/江苏民丰农村商业银行股份有限公司/江苏沭阳农村商业银行股份有限公司/江苏海门农村商业银行股份有限公司/江苏苏州农村商业银行股份有限公司/江苏灌云农村商业银行股份有限公司/江苏泰兴农村商业银行股份有限公司/江苏高淳农村商业银行股份有限公司/江苏洪泽农村商业银行股份有限公司/江苏镇江农村商业银行股份有限公司/江苏海安农村商业银行股份有限公司/江苏邳州农村商业银行股份有限公司/连云港东方农村商业银行股份有限公司/宁波东海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份额:汉口银行股份有限公司/河北银行股份有限公司/江苏张家港农村商业银行股份有限公司/嘉兴银行股份有限公司/江苏江南农村商业银行股份有限公司/莱商银行股份有限公司/宁波甬城农村商业银行股份有限公司/宁波余姚农村商业银行股份有限公司/宁波慈溪农村商业银行股份有限公司/宁波镇海农村商业银行股份有限公司/苏州银行股份有限公司/厦门银行股份有限公司/兴业银行股份有限公司/浙江青田农村商业银行股份有限公司/浙江临海农村商业银行股份有限公司/浙江上虞农村商业银行股份有限公司/浙江温岭农村商业银行股份有限公司/浙江杭州余杭农村商业银行股份有限公司/浙江永康农村商业银行股份有限公司/浙江临安农村商业银行股份有限公司/浙江温州瓯海农村商业银行股份有限公司/浙江兰溪农村商业银行股份有限公司/浙江衢州衢江农村商业银行股份有限公司/浙江新昌农村商业银行股份有限公司/浙江东阳农村商业银行股份有限公司/浙江岱山农村商业银行股份有限公司/浙江温州龙湾农村商业银行股份有限公司/浙江义乌农村商业银行股份有限公司/浙江泰顺农村商业银行股份有限公司/浙江萧山农村商业银行股份有限公司/浙江嘉善农村商业银行股份有限公司/浙江龙泉农村商业银行股份有限公司/浙江嵊州农村商业银行股份有限公司/浙江德清农村商业银行股份有限公司/浙江南浔农村商业银行股份有限公司/浙江武义农村商业银行股份有限公司/浙江浦江农村商业银行股份有限公司/浙江衢州柯城农村商业银行股份有限公司/浙江江山农村商业银行股份有限公司/浙江民泰商业银行股份有限公司/浙江开化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ZF2份额:石嘴山银行股份有限公司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3份额:江门农村商业银行股份有限公司/石嘴山银行股份有限公司/浙江东阳农村商业银行股份有限公司/浙江浦江农村商业银行股份有限公司/浙江泰顺农村商业银行股份有限公司/浙江衢州柯城农村商业银行股份有限公司/浙江青田农村商业银行股份有限公司/浙江松阳农村商业银行股份有限公司/浙江临海农村商业银行股份有限公司/浙江上虞农村商业银行股份有限公司/中山农村商业银行股份有限公司/浙江龙泉农村商业银行股份有限公司/浙江嵊州农村商业银行股份有限公司/浙江南浔农村商业银行股份有限公司/浙江衢州衢江农村商业银行股份有限公司/浙江开化农村商业银行股份有限公司/浙江德清农村商业银行股份有限公司/浙江武义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ZF4份额:石嘴山银行股份有限公司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ZF5份额:嘉兴银行股份有限公司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J份额:湖州吴兴农村商业银行股份有限公司/宁波通商银行股份有限公司/苏银理财有限责任公司/泰安银行股份有限公司/浙江舟山定海海洋农村商业银行股份有限公司/浙江青田农村商业银行股份有限公司/浙江临海农村商业银行股份有限公司/浙江遂昌农村商业银行股份有限公司/浙江安吉农村商业银行股份有限公司/浙江上虞农村商业银行股份有限公司/浙江绍兴瑞丰农村商业银行股份有限公司/浙江温岭农村商业银行股份有限公司/浙江乐清农村商业银行股份有限公司/浙江永康农村商业银行股份有限公司/浙江温州瓯海农村商业银行股份有限公司/浙江平湖农村商业银行股份有限公司/浙江台州路桥农村商业银行股份有限公司/浙江兰溪农村商业银行股份有限公司/浙江苍南农村商业银行股份有限公司/浙江永嘉农村商业银行股份有限公司/浙江衢州衢江农村商业银行股份有限公司/浙江仙居农村商业银行股份有限公司/浙江新昌农村商业银行股份有限公司/浙江东阳农村商业银行股份有限公司/浙江缙云农村商业银行股份有限公司/浙江诸暨农村商业银行股份有限公司/浙江舟山普陀农村商业银行股份有限公司/浙江绍兴恒信农村商业银行股份有限公司/浙江瑞安农村商业银行股份有限公司/浙江岱山农村商业银行股份有限公司/浙江温州龙湾农村商业银行股份有限公司/浙江龙游农村商业银行股份有限公司/浙江台州黄岩农村商业银行股份有限公司/浙江海盐农村商业银行股份有限公司/浙江义乌农村商业银行股份有限公司/浙江温州鹿城农村商业银行股份有限公司/浙江海宁农村商业银行股份有限公司/浙江金华成泰农村商业银行股份有限公司/浙江泰顺农村商业银行股份有限公司/浙江嘉善农村商业银行股份有限公司/浙江龙泉农村商业银行股份有限公司/浙江嵊州农村商业银行股份有限公司/浙江德清农村商业银行股份有限公司/浙江禾城农村商业银行股份有限公司/浙江长兴农村商业银行股份有限公司/浙江南浔农村商业银行股份有限公司/浙江武义农村商业银行股份有限公司/浙江浦江农村商业银行股份有限公司/浙江天台农村商业银行股份有限公司/浙江衢州柯城农村商业银行股份有限公司/浙江江山农村商业银行股份有限公司/浙江文成农村商业银行股份有限公司/浙江开化农村商业银行股份有限公司/浙江桐乡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ZL份额:苏州银行股份有限公司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天府·优选份额:成都农村商业银行股份有限公司/苏银理财有限责任公司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ZN份额:广西北部湾银行股份有限公司/河北银行股份有限公司/宁波通商银行股份有限公司/浙江萧山农村商业银行股份有限公司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ZQ份额:江苏苏州农村商业银行股份有限公司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C份额:江苏东海农村商业银行股份有限公司/江苏大丰农村商业银行股份有限公司/江苏盐城农村商业银行股份有限公司/江苏紫金农村商业银行股份有限公司/江苏东台农村商业银行股份有限公司/江苏灌南农村商业银行股份有限公司/江苏丹阳农村商业银行股份有限公司/江苏常熟农村商业银行股份有限公司/江苏溧水农村商业银行股份有限公司/江苏江都农村商业银行股份有限公司/江苏沛县农村商业银行股份有限公司/江苏建湖农村商业银行股份有限公司/江苏高邮农村商业银行股份有限公司/江苏仪征农村商业银行股份有限公司/江苏扬州农村商业银行股份有限公司/江苏新沂农村商业银行股份有限公司/江苏兴化农村商业银行股份有限公司/江苏阜宁农村商业银行股份有限公司/江苏如东农村商业银行股份有限公司/江苏泗阳农村商业银行股份有限公司/江苏响水农村商业银行股份有限公司/江苏宜兴农村商业银行股份有限公司/江苏姜堰农村商业银行股份有限公司/江苏如皋农村商业银行股份有限公司/江苏民丰农村商业银行股份有限公司/江苏滨海农村商业银行股份有限公司/江苏泰兴农村商业银行股份有限公司/江苏高淳农村商业银行股份有限公司/江苏海安农村商业银行股份有限公司/连云港东方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K份额:江苏大丰农村商业银行股份有限公司/江苏盐城农村商业银行股份有限公司/江苏紫金农村商业银行股份有限公司/江苏东台农村商业银行股份有限公司/江苏灌南农村商业银行股份有限公司/江苏丹阳农村商业银行股份有限公司/江苏常熟农村商业银行股份有限公司/江苏溧水农村商业银行股份有限公司/江苏江都农村商业银行股份有限公司/江苏沛县农村商业银行股份有限公司/江苏建湖农村商业银行股份有限公司/江苏高邮农村商业银行股份有限公司/江苏仪征农村商业银行股份有限公司/江苏扬州农村商业银行股份有限公司/江苏新沂农村商业银行股份有限公司/江苏南通农村商业银行股份有限公司/江苏兴化农村商业银行股份有限公司/江苏阜宁农村商业银行股份有限公司/江苏如东农村商业银行股份有限公司/江苏泗阳农村商业银行股份有限公司/江苏响水农村商业银行股份有限公司/江苏宜兴农村商业银行股份有限公司/江苏姜堰农村商业银行股份有限公司/江苏如皋农村商业银行股份有限公司/江苏民丰农村商业银行股份有限公司/江苏滨海农村商业银行股份有限公司/江苏泰兴农村商业银行股份有限公司/江苏高淳农村商业银行股份有限公司/江苏海安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名词释义</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销售代码：指本理财产品可能设置一</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或多</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产品份额，管理人在理财产品销售管理过程中对各</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份额设置的</w:t>
      </w:r>
      <w:r>
        <w:rPr>
          <w:rFonts w:hint="eastAsia" w:ascii="楷体" w:hAnsi="楷体" w:eastAsia="楷体" w:cs="Calibri"/>
          <w:sz w:val="21"/>
          <w:szCs w:val="21"/>
          <w:highlight w:val="none"/>
          <w:lang w:val="en-US" w:eastAsia="zh-CN"/>
        </w:rPr>
        <w:t>内部代</w:t>
      </w:r>
      <w:r>
        <w:rPr>
          <w:rFonts w:hint="eastAsia" w:ascii="楷体" w:hAnsi="楷体" w:eastAsia="楷体" w:cs="Calibri"/>
          <w:sz w:val="21"/>
          <w:szCs w:val="21"/>
          <w:highlight w:val="none"/>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交易日：</w:t>
      </w:r>
      <w:r>
        <w:rPr>
          <w:rFonts w:ascii="楷体" w:hAnsi="楷体" w:eastAsia="楷体" w:cs="Calibri"/>
          <w:sz w:val="21"/>
          <w:szCs w:val="21"/>
          <w:highlight w:val="none"/>
        </w:rPr>
        <w:t>指上海证券交易所和深圳证券交易所的正常开盘交易日</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份额登记日/份额确认日：</w:t>
      </w:r>
      <w:r>
        <w:rPr>
          <w:rFonts w:hint="eastAsia" w:ascii="楷体" w:hAnsi="楷体" w:eastAsia="楷体" w:cs="Calibri"/>
          <w:color w:val="auto"/>
          <w:sz w:val="21"/>
          <w:szCs w:val="21"/>
          <w:highlight w:val="none"/>
        </w:rPr>
        <w:t>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本理财产品计划通过债券、非标准化债权类资产的配置获取稳健收益，同时适时适量配置银行存款，包括同业存</w:t>
      </w:r>
      <w:r>
        <w:rPr>
          <w:rFonts w:hint="eastAsia" w:ascii="楷体" w:hAnsi="楷体" w:eastAsia="楷体"/>
          <w:sz w:val="21"/>
          <w:szCs w:val="21"/>
          <w:highlight w:val="none"/>
          <w:lang w:val="en-US" w:eastAsia="zh-CN"/>
        </w:rPr>
        <w:t>款</w:t>
      </w:r>
      <w:r>
        <w:rPr>
          <w:rFonts w:hint="default" w:ascii="楷体" w:hAnsi="楷体" w:eastAsia="楷体"/>
          <w:sz w:val="21"/>
          <w:szCs w:val="21"/>
          <w:highlight w:val="none"/>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none"/>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0"/>
          <w:numId w:val="11"/>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非标准化债权类资产：融资人为绍兴市镜湖开发集团有限公司。融资人经营正常，是依法设立的国有公司，主要股东为绍兴市人民政府国有资产监督管理委员会，实际控制人为绍兴市人民政府国有资产监督管理委员会。（2）非标准化债权类资产：融资人为泰兴市城市投资发展集团有限公司。融资人经营正常，是依法设立的国有公司，主要股东为江苏平仲科技发展集团有限公司，实际控制人为泰兴市人民政府国有资产监督管理办公室。（3）非标准化债权类资产：融资人为湖州经开投资发展集团有限公司。融资人经营正常，是依法设立的国有公司，主要股东为湖州南太湖国有控股集团有限公司，实际控制人为湖州市人民政府国有资产监督管理委员会。（4）非标准化债权类资产：融资人为湖州吴兴城市投资发展集团有限公司。融资人经营正常，是依法设立的国有公司，主要股东为湖州吴兴国控投资运营发展集团有限公司，实际控制人为湖州市吴兴区财政局。（5）非标准化债权类资产：融资人为江苏皋开投资发展集团有限公司。融资人经营正常，是依法设立的国有公司，主要股东为如皋市人民政府，实际控制人为如皋市人民政府。（6）非标准化债权类资产：融资人为燕舞集团有限公司。融资人经营正常，是依法设立的国有公司，主要股东为盐城市人民政府、盐城市城市资产投资集团有限公司、江苏悦达集团有限公司，实际控制人为盐城市人民政府。（7）非标准化债权类资产：融资人为兰溪市城市投资集团有限公司。融资人经营正常，是依法设立的国有公司，主要股东为兰溪市城市发展集团有限公司，实际控制人为兰溪市人民政府国有资产监督管理办公室。（8）非标准化债权类资产：融资人为绍兴市越城区城市发展建设集团有限公司。融资人经营正常，是依法设立的国有公司，主要股东为绍兴市越城区财政局，实际控制人为绍兴市越城区财政局。（9）非标准化债权类资产：融资人为桐庐县城市建设投资集团有限公司。融资人经营正常，是依法设立的国有公司，主要股东为桐庐投资建设发展集团有限公司，实际控制人为桐庐县人民政府国有资产监督管理委员会。（10）非标准化债权类资产：融资人为绍兴市上虞区国有资本投资运营有限公司。融资人经营正常，是依法设立的国有公司，主要股东为绍兴市上虞区国有资产发展集团有限公司，实际控制人为绍兴市上虞区人民政府国有资产监督管理委员会。（11）非标准化债权类资产：融资人为扬州新盛投资集团有限公司。融资人经营正常，是依法设立的国有公司，主要股东为扬州市城建国有资产控股(集团)有限责任公司、扬州易盛德产业投资集团有限公司、扬州市扬子江文旅投资发展集团有限责任公司，实际控制人为扬州市人民政府国有资产监督管理委员会。（12）非标准化债权类资产：融资人为张家港市高铁投资发展(集团)有限公司。融资人经营正常，是依法设立的国有公司，主要股东为张家港市交通控股有限公司、张家港市城市投资发展集团有限公司、张家港高新区投资控股有限公司，张家港市城镇发展集团有限公司，实际控制人为张家港市国有资产管理中心。（13）非标准化债权类资产：融资人为海安市城建开发投资集团有限公司。融资人经营正常，是依法设立的国有公司，主要股东为海安市政府国有资产监督管理办公室，实际控制人为海安市政府国有资产监督管理办公室。（14）非标准化债权类资产：融资人为徐州金龙湖控股集团有限公司。融资人经营正常，是依法设立的国有公司，主要股东为徐州市产业发展控股集团有限公司，实际控制人为徐州市人民政府国有资产监督管理委员会。（15）非标准化债权类资产：融资人为杭州富阳城市建设投资集团有限公司。融资人经营正常，是依法设立的国有公司，主要股东为杭州市富阳区人民政府国有资产监督管理办公室，实际控制人为杭州市富阳区人民政府国有资产监督管理办公室。（16）非标准化债权类资产：融资人为盐城市盐都区国有资产控股集团有限公司。融资人经营正常，是依法设立的国有公司，主要股东为盐城市盐都区政府国有资产监督管理办公室，实际控制人为盐城市盐都区政府国有资产监督管理办公室。（17）非标准化债权类资产：融资人为台州循环经济发展有限公司。融资人经营正常，是依法设立的国有公司，主要股东为台州市商贸核心区开发建设投资集团有限公司、台州市路桥公共资产投资管理集团有限公司、台州市城市建设投资发展集团有限公司，台州市开投城市开发有限公司，实际控制人为台州市人民政府。（18）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19）非标准化债权类资产：融资人为扬州江淮建设发展有限公司。融资人经营正常，是依法设立的国有公司，主要股东为扬州市国联控股集团有限公司，实际控制人为扬州市人民政府。（20）非标准化债权类资产：融资人为高邮市交通产业投资集团有限公司。融资人经营正常，是依法设立的国有公司，主要股东为高邮市国有资产投资管理控股(集团)有限公司，实际控制人为高邮市财政局(高邮市政府国有资产监督管理办公室)。（21）同业借款：融资人为中国中信金融资产管理股份有限公司。融资人经营正常，是依法成立的国有公司，主要股东为中国中信集团有限公司、财政局、中国融信私募基金有限公司，实际控制人为财政部。（22）同业借款：融资人为中国东方资产管理股份有限公司。融资人经营正常，是依法成立的国有公司，主要股东为中央汇金投资有限责任公司、全国社会保障基金理事会、中国电信集团有限公司，实际控制人为国务院。（23）同业借款：融资人为中国信达资产管理股份有限公司。融资人经营正常，是依法成立的国有公司，主要股东为中央汇金投资有限责任公司，实际控制人为国务院。（24）同业借款：融资人为中国长城资产管理股份有限公司。融资人经营正常，是依法成立的国有公司，主要股东为中央汇金投资有限责任公司、全国社会保障基金理事会、中国财产再保险有限责任公司、中国大地财产保险股份有限公司、中国人寿保险（集团）公司，实际控制人为国务院。（25）收益凭证：融资人为中信证券股份有限公司。融资人经营正常，是依法设立的持牌金融机构，主要股东为中国中信金融控股有限公司、香港中央结算（代理人）有限公司、广州越秀资本控股集团有限公司，实际控制人为中国中信集团有限公司。（26）收益凭证：融资人为中国国际金融股份有限公司。融资人经营正常，是依法设立的持牌金融机构，主要股东为中央汇金投资有限责任公司、香港中央结算（代理人）有限公司、香港中央结算有限公司，实际控制人为中央汇金投资有限责任公司。（27）收益凭证：融资人为中信建投证券股份有限公司。融资人经营正常，是依法设立的持牌金融机构，主要股东为北京金融控股集团有限公司、中央汇金投资有限责任公司、香港中央结算（代理人）有限公司，实际控制人为中央汇金投资有限责任公司。（28）收益凭证：融资人为中国银河证券股份有限公司。融资人经营正常，是依法设立的持牌金融机构，主要股东为中国银河金融控股有限责任公司、香港中央结算（代理人）有限公司、香港中央结算有限公司，实际控制人为中央汇金投资有限责任公司。（29）收益凭证：融资人为华泰证券股份有限公司。融资人经营正常，是依法设立的持牌金融机构，主要股东为江苏省国信集团有限公司、香港中央结算（代理人）有限公司、江苏交通控股有限公司，无实际控制人。（30）收益凭证：融资人为国泰海通证券股份有限公司。融资人经营正常，是依法设立的持牌金融机构，主要股东为香港中央结算（代理人）有限公司、上海国有资产经营有限公司、上海国际集团有限公司，实际控制人为上海市国有资产监督管理委员会。（31）收益凭证：融资人为申万宏源证券有限公司。融资人经营正常，是依法设立的持牌金融机构，主要股东为申万宏源集团股份有限公司，实际控制人为中央汇金投资有限责任公司。（32）收益凭证：融资人为东方证券股份有限公司。融资人经营正常，是依法设立的持牌金融机构，主要股东为申能（集团）有限公司、香港中央结算（代理人）有限公司、上海海烟投资管理有限公司，实际控制人为上海市国有资产监督管理委员会。（33）收益凭证：融资人为浙商证券股份有限公司。融资人经营正常，是依法设立的持牌金融机构，主要股东为浙江上三高速公路有限公司、台州市金融投资集团有限公司，实际控制人为浙江省交通投资集团有限公司。（34）收益凭证：融资人为国投证券股份有限公司。融资人经营正常，是依法设立的持牌金融机构，主要股东为国投资本股份有限公司、上海毅胜投资有限公司，实际控制人为国家开发投资集团有限公司。（35）收益凭证：融资人为平安证券股份有限公司。融资人经营正常，是依法设立的持牌金融机构，主要股东为平安信托有限责任公司、中国平安保险（集团）股份有限公司、深圳市英华柏涛投资有限公司，实际控制人为中国平安保险（集团）股份有限公司。（36）收益凭证：融资人为中泰证券股份有限公司。融资人经营正常，是依法设立的持牌金融机构，主要股东为枣庄矿业（集团）有限责任公司、莱芜钢铁集团有限公司、山东高速投资控股有限公司，实际控制人为山东省人民政府国有资产监督管理委员会。（37）收益凭证：融资人为兴业证券股份有限公司。融资人经营正常，是依法设立的持牌金融机构，主要股东为福建省财政厅、福建省投资开发集团有限责任公司、上海申新（集团）有限公司，实际控制人为福建省财政厅。（38）收益凭证：融资人为财通证券股份有限公司。融资人经营正常，是依法设立的持牌金融机构，主要股东为浙江省创新投资集团有限公司、浙江省财开集团有限公司、台州市金融投资集团有限公司，实际控制人为浙江省财政厅。（39）收益凭证：融资人为金融街证券股份有限公司。融资人经营正常，是依法设立的持牌金融机构，主要股东为北京华融综合投资有限公司、天风证券股份有限公司、包头华资实业股份有限公司，实际控制人为北京金融街投资（集团）有限</w:t>
      </w:r>
      <w:r>
        <w:rPr>
          <w:rFonts w:hint="eastAsia" w:ascii="楷体" w:hAnsi="楷体" w:eastAsia="楷体" w:cs="楷体"/>
          <w:color w:val="auto"/>
          <w:kern w:val="2"/>
          <w:sz w:val="21"/>
          <w:szCs w:val="21"/>
          <w:highlight w:val="none"/>
          <w:lang w:val="en-US" w:eastAsia="zh-CN" w:bidi="ar-SA"/>
        </w:rPr>
        <w:t>公司。（40）收益凭证：融资人为东海证券股份有限公司。融资人经营正常，是依法设立的持牌金融机构，主要股东为常州投资集团有限公司、山东金控资本管理有限公司，实际控制人为常州投资集团有限公司。（41）收益凭证：融资人为国联民生证券股份有限公司。融资人经营正常，是依法设立的持牌金融机构，主要股东为无锡市国联发展（集团）有限公司、香港中央结算（代理人）有限公司、国联信托股份有限公司，实际控制人为无锡市人民政府国有资产监督管理委员会。（42）收益凭证：融资人为光大证券股份有限公司。融资人经营正常，是依法设立的持牌金融机构，主要股东为中国光大集团股份有限公司、中国光大控股有限公司、香港中央结算（代理人）有限公司，实际控制人为中央汇金投资有限责任公司。（43）收益凭证：融资人为长城证券股份有限公司。融资人经营正常，是依法设立的持牌金融机构，主要股东为华能资本服务有限公司、深圳新江南投资有限公司、深圳能源集团股份有限公司，实际控制人为中央汇金投资有限责任公司。（44）收益凭证：融资人为中国中金财富证券有限公司。融资人经营正常，是依法设立的持牌金融机构，主要股东为中国国际金融股份有限公司，实际控制人为中央汇金投资有限责任公司。（45）收益凭证：融资人为山西证券股份有限公司。融资人经营正常，是依法设立的持牌金融机构，主要股东为山西金融投资控股集团有限公司、太原钢铁（集团）有限公司、山西国际电力集团有限公司，实际控制人为山西省财政厅。（46）收益凭证：融资人为国都证券股份有限公司。融资人经营正常，是依法设立的持牌金融机构，主要股东为浙商证券股份有限公司、中诚信托有限责任公司、北京国际信托有限公司，实际控制人为浙江省交通投资集团有限公司。（47）收益凭证：融资人为东莞证券股份有限公司。融资人经营正常，是依法设立的持牌金融机构，主要股东为东莞市投资控股集团有限公司、东莞发展控股股份有限公司、广东锦龙发展股份有限公司，实际控制人为东莞市人民政府国有资产监督管理委员会。（48）收益凭证：融资人为华鑫证券有限责任公司。融资人经营正常，是依法设立的持牌金融机构，主要股东为上海华鑫股份有限公司，实际控制人为上海市国有资产监督管理委员会。（49）收益凭证：融资人为第一创业证券股份有限公司。融资人经营正常，是依法设立的持牌金融机构，主要股东为北京国有资本运营管理有限公司、北京首农食品集团有限公司，实际控制人为北京市人民政府国有资产监督管理委员会。（50）收益凭证：融资人为西南证券股份有限公司。融资人经营正常，是依法设立的持牌金融机构，主要股东为重庆渝富资本运营集团有限公司、重庆市城市建设投资（集团）有限公司和重庆市江北嘴中央商务区投资集团有限公司，实际控制人为重庆市国有资产监督管理委员会。（51）收益凭证：融资人为广发证券股份有限公司。融资人经营正常，是依法设立的持牌金融机构，主要股东为香港中央结算（代理人）有限公司、吉林敖东药业集团股份有限公司、辽宁成大股份有限公司，无实际控制人。（52）收益凭证：融资人为方正证券股份有限公司。融资人经营正常，是依法设立的持牌金融机构，主要股东为新方正控股发展有限责任公司、全国社会保障基金理事会、中国信达资产管理股份有限公司，实际控制人为中国平安保险（集团）股份有限公司。（53）收益凭证：融资人为招商证券股份有限公司。融资人经营正常，是依法设立的持牌金融机构，主要股东为招商局金融控股有限公司、深圳市集盛投资发展有限公司、香港中央结算（代理人）有限公司，实际控制人为招商局集团有限公司。</w:t>
      </w:r>
    </w:p>
    <w:p>
      <w:pPr>
        <w:keepNext w:val="0"/>
        <w:keepLines w:val="0"/>
        <w:pageBreakBefore w:val="0"/>
        <w:widowControl w:val="0"/>
        <w:numPr>
          <w:ilvl w:val="0"/>
          <w:numId w:val="0"/>
        </w:numPr>
        <w:kinsoku/>
        <w:wordWrap/>
        <w:overflowPunct/>
        <w:topLinePunct w:val="0"/>
        <w:autoSpaceDE/>
        <w:autoSpaceDN/>
        <w:bidi w:val="0"/>
        <w:adjustRightInd w:val="0"/>
        <w:snapToGrid/>
        <w:ind w:firstLine="420" w:firstLineChars="200"/>
        <w:textAlignment w:val="auto"/>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（1）-（24）各资产到期日不超过理财产品投资周期终止日，定期付息、到期一次性还本；（25）-（53）各资产到期日不超过理财产品投资周期终止日，到期一次性还本付息。</w:t>
      </w:r>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numPr>
          <w:ilvl w:val="0"/>
          <w:numId w:val="0"/>
        </w:numPr>
        <w:ind w:firstLine="420" w:firstLineChars="200"/>
        <w:rPr>
          <w:rFonts w:hint="eastAsia" w:ascii="楷体" w:hAnsi="楷体" w:eastAsia="楷体"/>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r>
        <w:rPr>
          <w:rFonts w:hint="eastAsia" w:ascii="楷体" w:hAnsi="楷体" w:eastAsia="楷体"/>
          <w:sz w:val="21"/>
          <w:szCs w:val="21"/>
          <w:highlight w:val="none"/>
        </w:rPr>
        <w:t>：</w:t>
      </w:r>
    </w:p>
    <w:p>
      <w:pPr>
        <w:ind w:firstLine="420" w:firstLineChars="200"/>
        <w:rPr>
          <w:rFonts w:hint="eastAsia"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1 \* GB3 \* MERGEFORMAT </w:instrText>
      </w:r>
      <w:r>
        <w:rPr>
          <w:rFonts w:hint="default" w:ascii="Calibri" w:hAnsi="Calibri" w:eastAsia="楷体" w:cs="Calibri"/>
          <w:b w:val="0"/>
          <w:bCs w:val="0"/>
          <w:sz w:val="21"/>
          <w:szCs w:val="21"/>
          <w:highlight w:val="none"/>
        </w:rPr>
        <w:fldChar w:fldCharType="separate"/>
      </w:r>
      <w:r>
        <w:rPr>
          <w:highlight w:val="none"/>
        </w:rPr>
        <w:t>①</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江苏省国际信托有限责任公司</w:t>
      </w:r>
      <w:r>
        <w:rPr>
          <w:rFonts w:hint="eastAsia" w:ascii="楷体" w:hAnsi="楷体" w:eastAsia="楷体"/>
          <w:b w:val="0"/>
          <w:bCs w:val="0"/>
          <w:sz w:val="21"/>
          <w:szCs w:val="21"/>
          <w:highlight w:val="none"/>
          <w:lang w:eastAsia="zh-CN"/>
        </w:rPr>
        <w:t>：</w:t>
      </w:r>
      <w:r>
        <w:rPr>
          <w:rFonts w:hint="eastAsia" w:ascii="楷体" w:hAnsi="楷体" w:eastAsia="楷体"/>
          <w:b w:val="0"/>
          <w:bCs w:val="0"/>
          <w:sz w:val="21"/>
          <w:szCs w:val="21"/>
          <w:highlight w:val="none"/>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2 \* GB3 \* MERGEFORMAT </w:instrText>
      </w:r>
      <w:r>
        <w:rPr>
          <w:rFonts w:hint="default" w:ascii="Calibri" w:hAnsi="Calibri" w:eastAsia="楷体" w:cs="Calibri"/>
          <w:b w:val="0"/>
          <w:bCs w:val="0"/>
          <w:sz w:val="21"/>
          <w:szCs w:val="21"/>
          <w:highlight w:val="none"/>
        </w:rPr>
        <w:fldChar w:fldCharType="separate"/>
      </w:r>
      <w:r>
        <w:rPr>
          <w:highlight w:val="none"/>
        </w:rPr>
        <w:t>②</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创金合信基金管理有限公司</w:t>
      </w:r>
      <w:r>
        <w:rPr>
          <w:rFonts w:hint="eastAsia" w:ascii="楷体" w:hAnsi="楷体" w:eastAsia="楷体"/>
          <w:b w:val="0"/>
          <w:bCs w:val="0"/>
          <w:sz w:val="21"/>
          <w:szCs w:val="21"/>
          <w:highlight w:val="none"/>
          <w:lang w:eastAsia="zh-CN"/>
        </w:rPr>
        <w:t>：</w:t>
      </w:r>
      <w:r>
        <w:rPr>
          <w:rFonts w:ascii="楷体" w:hAnsi="楷体" w:eastAsia="楷体"/>
          <w:b w:val="0"/>
          <w:bCs w:val="0"/>
          <w:sz w:val="21"/>
          <w:szCs w:val="21"/>
          <w:highlight w:val="none"/>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highlight w:val="none"/>
          <w:lang w:val="en-US" w:eastAsia="zh-CN"/>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3 \* GB3 \* MERGEFORMAT </w:instrText>
      </w:r>
      <w:r>
        <w:rPr>
          <w:rFonts w:hint="default" w:ascii="Calibri" w:hAnsi="Calibri" w:eastAsia="楷体" w:cs="Calibri"/>
          <w:b w:val="0"/>
          <w:bCs w:val="0"/>
          <w:sz w:val="21"/>
          <w:szCs w:val="21"/>
          <w:highlight w:val="none"/>
        </w:rPr>
        <w:fldChar w:fldCharType="separate"/>
      </w:r>
      <w:r>
        <w:rPr>
          <w:highlight w:val="none"/>
        </w:rPr>
        <w:t>③</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highlight w:val="none"/>
          <w:lang w:val="en-US" w:eastAsia="zh-CN"/>
        </w:rPr>
      </w:pPr>
      <w:r>
        <w:rPr>
          <w:rFonts w:ascii="楷体" w:hAnsi="楷体" w:eastAsia="楷体"/>
          <w:b w:val="0"/>
          <w:bCs w:val="0"/>
          <w:sz w:val="21"/>
          <w:szCs w:val="21"/>
          <w:highlight w:val="none"/>
        </w:rPr>
        <w:fldChar w:fldCharType="begin"/>
      </w:r>
      <w:r>
        <w:rPr>
          <w:rFonts w:ascii="楷体" w:hAnsi="楷体" w:eastAsia="楷体"/>
          <w:b w:val="0"/>
          <w:bCs w:val="0"/>
          <w:sz w:val="21"/>
          <w:szCs w:val="21"/>
          <w:highlight w:val="none"/>
        </w:rPr>
        <w:instrText xml:space="preserve"> = 4 \* GB3 \* MERGEFORMAT </w:instrText>
      </w:r>
      <w:r>
        <w:rPr>
          <w:rFonts w:ascii="楷体" w:hAnsi="楷体" w:eastAsia="楷体"/>
          <w:b w:val="0"/>
          <w:bCs w:val="0"/>
          <w:sz w:val="21"/>
          <w:szCs w:val="21"/>
          <w:highlight w:val="none"/>
        </w:rPr>
        <w:fldChar w:fldCharType="separate"/>
      </w:r>
      <w:r>
        <w:rPr>
          <w:highlight w:val="none"/>
        </w:rPr>
        <w:t>④</w:t>
      </w:r>
      <w:r>
        <w:rPr>
          <w:rFonts w:ascii="楷体" w:hAnsi="楷体" w:eastAsia="楷体"/>
          <w:b w:val="0"/>
          <w:bCs w:val="0"/>
          <w:sz w:val="21"/>
          <w:szCs w:val="21"/>
          <w:highlight w:val="none"/>
        </w:rPr>
        <w:fldChar w:fldCharType="end"/>
      </w:r>
      <w:r>
        <w:rPr>
          <w:rFonts w:hint="eastAsia" w:ascii="楷体" w:hAnsi="楷体" w:eastAsia="楷体"/>
          <w:b w:val="0"/>
          <w:bCs w:val="0"/>
          <w:sz w:val="21"/>
          <w:szCs w:val="21"/>
          <w:highlight w:val="none"/>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5 \* GB3 \* MERGEFORMAT </w:instrText>
      </w:r>
      <w:r>
        <w:rPr>
          <w:rFonts w:hint="eastAsia" w:ascii="楷体" w:hAnsi="楷体" w:eastAsia="楷体"/>
          <w:b w:val="0"/>
          <w:bCs w:val="0"/>
          <w:sz w:val="21"/>
          <w:szCs w:val="21"/>
          <w:highlight w:val="none"/>
          <w:lang w:val="en-US" w:eastAsia="zh-CN"/>
        </w:rPr>
        <w:fldChar w:fldCharType="separate"/>
      </w:r>
      <w:r>
        <w:rPr>
          <w:highlight w:val="none"/>
        </w:rPr>
        <w:t>⑤</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6 \* GB3 \* MERGEFORMAT </w:instrText>
      </w:r>
      <w:r>
        <w:rPr>
          <w:rFonts w:hint="eastAsia" w:ascii="楷体" w:hAnsi="楷体" w:eastAsia="楷体"/>
          <w:b w:val="0"/>
          <w:bCs w:val="0"/>
          <w:sz w:val="21"/>
          <w:szCs w:val="21"/>
          <w:highlight w:val="none"/>
          <w:lang w:val="en-US" w:eastAsia="zh-CN"/>
        </w:rPr>
        <w:fldChar w:fldCharType="separate"/>
      </w:r>
      <w:r>
        <w:rPr>
          <w:highlight w:val="none"/>
        </w:rPr>
        <w:t>⑥</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7 \* GB3 \* MERGEFORMAT </w:instrText>
      </w:r>
      <w:r>
        <w:rPr>
          <w:rFonts w:hint="eastAsia" w:ascii="楷体" w:hAnsi="楷体" w:eastAsia="楷体"/>
          <w:b w:val="0"/>
          <w:bCs w:val="0"/>
          <w:sz w:val="21"/>
          <w:szCs w:val="21"/>
          <w:highlight w:val="none"/>
          <w:lang w:val="en-US" w:eastAsia="zh-CN"/>
        </w:rPr>
        <w:fldChar w:fldCharType="separate"/>
      </w:r>
      <w:r>
        <w:rPr>
          <w:highlight w:val="none"/>
        </w:rPr>
        <w:t>⑦</w:t>
      </w:r>
      <w:r>
        <w:rPr>
          <w:rFonts w:hint="eastAsia" w:ascii="楷体" w:hAnsi="楷体" w:eastAsia="楷体"/>
          <w:b w:val="0"/>
          <w:bCs w:val="0"/>
          <w:sz w:val="21"/>
          <w:szCs w:val="21"/>
          <w:highlight w:val="none"/>
          <w:lang w:val="en-US" w:eastAsia="zh-CN"/>
        </w:rPr>
        <w:fldChar w:fldCharType="end"/>
      </w:r>
      <w:r>
        <w:rPr>
          <w:rFonts w:hint="default" w:ascii="楷体" w:hAnsi="楷体" w:eastAsia="楷体"/>
          <w:b w:val="0"/>
          <w:bCs w:val="0"/>
          <w:sz w:val="21"/>
          <w:szCs w:val="21"/>
          <w:highlight w:val="none"/>
          <w:lang w:val="en-US" w:eastAsia="zh-CN"/>
        </w:rPr>
        <w:t>南方资本管理有限公司</w:t>
      </w:r>
      <w:r>
        <w:rPr>
          <w:rFonts w:hint="eastAsia" w:ascii="楷体" w:hAnsi="楷体" w:eastAsia="楷体"/>
          <w:b w:val="0"/>
          <w:bCs w:val="0"/>
          <w:sz w:val="21"/>
          <w:szCs w:val="21"/>
          <w:highlight w:val="none"/>
          <w:lang w:val="en-US" w:eastAsia="zh-CN"/>
        </w:rPr>
        <w:t>：</w:t>
      </w:r>
      <w:r>
        <w:rPr>
          <w:rFonts w:hint="default" w:ascii="楷体" w:hAnsi="楷体" w:eastAsia="楷体"/>
          <w:b w:val="0"/>
          <w:bCs w:val="0"/>
          <w:sz w:val="21"/>
          <w:szCs w:val="21"/>
          <w:highlight w:val="none"/>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t>⑧建信保险资产管理有限公司：建信保险资产管理有限公司成立于2016年4月7日，是中国银行保险监督管理委员会核准的国有控股金融机构，注册资本3亿元，股东为建信人寿保险股份有限公司和建银国际（中国）有限公司。</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投资限制</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w:t>
      </w:r>
      <w:r>
        <w:rPr>
          <w:rFonts w:hint="eastAsia" w:ascii="楷体" w:hAnsi="楷体" w:eastAsia="楷体" w:cs="Calibri"/>
          <w:b w:val="0"/>
          <w:bCs/>
          <w:sz w:val="21"/>
          <w:szCs w:val="21"/>
          <w:highlight w:val="none"/>
          <w:lang w:val="en-US" w:eastAsia="zh-CN"/>
        </w:rPr>
        <w:t>管理</w:t>
      </w:r>
      <w:r>
        <w:rPr>
          <w:rFonts w:hint="eastAsia" w:ascii="楷体" w:hAnsi="楷体" w:eastAsia="楷体" w:cs="Calibri"/>
          <w:b w:val="0"/>
          <w:bCs/>
          <w:sz w:val="21"/>
          <w:szCs w:val="21"/>
          <w:highlight w:val="none"/>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产品认购</w:t>
      </w:r>
    </w:p>
    <w:p>
      <w:pPr>
        <w:numPr>
          <w:ilvl w:val="0"/>
          <w:numId w:val="13"/>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认购方式</w:t>
      </w:r>
      <w:r>
        <w:rPr>
          <w:rFonts w:hint="eastAsia" w:ascii="楷体" w:hAnsi="楷体" w:eastAsia="楷体" w:cs="Calibri"/>
          <w:color w:val="auto"/>
          <w:sz w:val="21"/>
          <w:szCs w:val="21"/>
          <w:highlight w:val="none"/>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3"/>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认购份额的计算</w:t>
      </w:r>
    </w:p>
    <w:p>
      <w:pPr>
        <w:numPr>
          <w:ilvl w:val="-1"/>
          <w:numId w:val="0"/>
        </w:numPr>
        <w:ind w:left="0" w:firstLine="420" w:firstLineChars="200"/>
        <w:rPr>
          <w:rFonts w:hint="eastAsia" w:ascii="楷体" w:hAnsi="楷体" w:eastAsia="楷体" w:cs="Calibri"/>
          <w:color w:val="auto"/>
          <w:sz w:val="21"/>
          <w:szCs w:val="21"/>
          <w:highlight w:val="none"/>
          <w:lang w:val="en-US" w:eastAsia="zh-CN"/>
        </w:rPr>
      </w:pPr>
      <w:r>
        <w:rPr>
          <w:rFonts w:hint="eastAsia" w:ascii="楷体" w:hAnsi="楷体" w:eastAsia="楷体" w:cs="Calibri"/>
          <w:color w:val="auto"/>
          <w:sz w:val="21"/>
          <w:szCs w:val="21"/>
          <w:highlight w:val="none"/>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highlight w:val="none"/>
        </w:rPr>
      </w:pPr>
      <w:r>
        <w:rPr>
          <w:rFonts w:hint="eastAsia" w:ascii="楷体" w:hAnsi="楷体" w:eastAsia="楷体"/>
          <w:b/>
          <w:sz w:val="21"/>
          <w:szCs w:val="21"/>
          <w:highlight w:val="none"/>
        </w:rPr>
        <w:t>产品申购、赎回</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投资周期、开放计划</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本产品在每个投资周期结束前设置开放计划，时间为投资周期终止日前</w:t>
      </w:r>
      <w:r>
        <w:rPr>
          <w:rFonts w:hint="eastAsia" w:ascii="楷体" w:hAnsi="楷体" w:eastAsia="楷体"/>
          <w:sz w:val="21"/>
          <w:szCs w:val="21"/>
          <w:highlight w:val="none"/>
          <w:lang w:val="en-US" w:eastAsia="zh-CN"/>
        </w:rPr>
        <w:t>7个工作</w:t>
      </w:r>
      <w:r>
        <w:rPr>
          <w:rFonts w:hint="eastAsia" w:ascii="楷体" w:hAnsi="楷体" w:eastAsia="楷体"/>
          <w:sz w:val="21"/>
          <w:szCs w:val="21"/>
          <w:highlight w:val="none"/>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highlight w:val="none"/>
          <w:u w:val="single"/>
        </w:rPr>
        <w:t>除开放计划外的其他时间，管理人不接受投资者申购、赎回申请。</w:t>
      </w:r>
      <w:r>
        <w:rPr>
          <w:rFonts w:hint="eastAsia" w:ascii="楷体" w:hAnsi="楷体" w:eastAsia="楷体" w:cs="Calibri"/>
          <w:sz w:val="21"/>
          <w:szCs w:val="21"/>
          <w:highlight w:val="none"/>
        </w:rPr>
        <w:t>后续投资周期及开放计划受资产运作情况、节假日安排等要素限制，管理人将在每个投资周期结束前通过本理财产品说明书约定的方式披露下一周期开放计划。</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申购、赎回的规则</w:t>
      </w:r>
    </w:p>
    <w:p>
      <w:pPr>
        <w:keepNext w:val="0"/>
        <w:keepLines w:val="0"/>
        <w:pageBreakBefore w:val="0"/>
        <w:widowControl w:val="0"/>
        <w:numPr>
          <w:ilvl w:val="0"/>
          <w:numId w:val="15"/>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申购、赎回的原则：投资者必须在产品开放计划内提出申购、赎回申请</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采用金额申购、份额赎回的原则，即申购以金额申请，赎回以份额申请。投资者提出申购申请时，须备足购买资金</w:t>
      </w:r>
      <w:r>
        <w:rPr>
          <w:rFonts w:hint="eastAsia" w:ascii="楷体" w:hAnsi="楷体" w:eastAsia="楷体" w:cs="Calibri"/>
          <w:sz w:val="21"/>
          <w:szCs w:val="21"/>
          <w:highlight w:val="none"/>
          <w:lang w:val="en-US" w:eastAsia="zh-CN"/>
        </w:rPr>
        <w:t>；</w:t>
      </w:r>
      <w:r>
        <w:rPr>
          <w:rFonts w:hint="eastAsia" w:ascii="楷体" w:hAnsi="楷体" w:eastAsia="楷体" w:cs="Calibri"/>
          <w:sz w:val="21"/>
          <w:szCs w:val="21"/>
          <w:highlight w:val="none"/>
        </w:rPr>
        <w:t>投资者提出赎回申请时，须有足够的理财产品份额余额。在开放计划内提交的申购/赎回申请可以在产品开放日</w:t>
      </w:r>
      <w:r>
        <w:rPr>
          <w:rFonts w:hint="eastAsia" w:ascii="楷体" w:hAnsi="楷体" w:eastAsia="楷体" w:cs="Calibri"/>
          <w:sz w:val="21"/>
          <w:szCs w:val="21"/>
          <w:highlight w:val="none"/>
          <w:lang w:val="en-US" w:eastAsia="zh-CN"/>
        </w:rPr>
        <w:t>闭市</w:t>
      </w:r>
      <w:r>
        <w:rPr>
          <w:rFonts w:hint="eastAsia" w:ascii="楷体" w:hAnsi="楷体" w:eastAsia="楷体" w:cs="Calibri"/>
          <w:sz w:val="21"/>
          <w:szCs w:val="21"/>
          <w:highlight w:val="none"/>
        </w:rPr>
        <w:t>前撤销，之后不得撤销。</w:t>
      </w:r>
      <w:r>
        <w:rPr>
          <w:rFonts w:hint="eastAsia" w:ascii="楷体" w:hAnsi="楷体" w:eastAsia="楷体"/>
          <w:sz w:val="21"/>
          <w:szCs w:val="21"/>
          <w:highlight w:val="none"/>
        </w:rPr>
        <w:t>（</w:t>
      </w:r>
      <w:r>
        <w:rPr>
          <w:rFonts w:hint="eastAsia" w:ascii="楷体" w:hAnsi="楷体" w:eastAsia="楷体" w:cs="Calibri"/>
          <w:sz w:val="21"/>
          <w:szCs w:val="21"/>
          <w:highlight w:val="none"/>
          <w:lang w:val="en-US" w:eastAsia="zh-CN"/>
        </w:rPr>
        <w:t>闭市时间</w:t>
      </w:r>
      <w:r>
        <w:rPr>
          <w:rFonts w:hint="eastAsia" w:ascii="楷体" w:hAnsi="楷体" w:eastAsia="楷体"/>
          <w:sz w:val="21"/>
          <w:szCs w:val="21"/>
          <w:highlight w:val="none"/>
        </w:rPr>
        <w:t>以各销售机构设置为准）</w:t>
      </w:r>
    </w:p>
    <w:p>
      <w:pPr>
        <w:keepNext w:val="0"/>
        <w:keepLines w:val="0"/>
        <w:pageBreakBefore w:val="0"/>
        <w:widowControl w:val="0"/>
        <w:numPr>
          <w:ilvl w:val="0"/>
          <w:numId w:val="15"/>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申购份额的计算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申购份额=申购金额/开放日产品单位净值</w:t>
      </w:r>
      <w:r>
        <w:rPr>
          <w:rFonts w:hint="eastAsia" w:ascii="楷体" w:hAnsi="楷体" w:eastAsia="楷体"/>
          <w:sz w:val="21"/>
          <w:szCs w:val="21"/>
          <w:highlight w:val="none"/>
          <w:lang w:eastAsia="zh-CN"/>
        </w:rPr>
        <w:t>，</w:t>
      </w:r>
      <w:r>
        <w:rPr>
          <w:rFonts w:hint="eastAsia" w:ascii="楷体" w:hAnsi="楷体" w:eastAsia="楷体"/>
          <w:sz w:val="21"/>
          <w:szCs w:val="21"/>
          <w:highlight w:val="none"/>
        </w:rPr>
        <w:t>申购份额以四舍五入的方法保留到小数点后两位</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赎回金额的计算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sz w:val="21"/>
          <w:szCs w:val="21"/>
          <w:highlight w:val="none"/>
          <w:lang w:eastAsia="zh-CN"/>
        </w:rPr>
        <w:t>，</w:t>
      </w:r>
      <w:r>
        <w:rPr>
          <w:rFonts w:hint="eastAsia" w:ascii="楷体" w:hAnsi="楷体" w:eastAsia="楷体"/>
          <w:sz w:val="21"/>
          <w:szCs w:val="21"/>
          <w:highlight w:val="none"/>
        </w:rPr>
        <w:t>赎回金额以四舍五入的方法保留到小数点后两位</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巨额赎回</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详见“产品要素”</w:t>
      </w:r>
    </w:p>
    <w:p>
      <w:pPr>
        <w:numPr>
          <w:ilvl w:val="0"/>
          <w:numId w:val="14"/>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特殊情形及处理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w:t>
      </w:r>
      <w:r>
        <w:rPr>
          <w:rFonts w:hint="eastAsia" w:ascii="楷体" w:hAnsi="楷体" w:eastAsia="楷体"/>
          <w:sz w:val="21"/>
          <w:szCs w:val="21"/>
          <w:highlight w:val="none"/>
          <w:lang w:val="en-US" w:eastAsia="zh-CN"/>
        </w:rPr>
        <w:t>计划</w:t>
      </w:r>
      <w:r>
        <w:rPr>
          <w:rFonts w:hint="eastAsia" w:ascii="楷体" w:hAnsi="楷体" w:eastAsia="楷体"/>
          <w:sz w:val="21"/>
          <w:szCs w:val="21"/>
          <w:highlight w:val="none"/>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highlight w:val="none"/>
          <w:lang w:eastAsia="zh-CN"/>
        </w:rPr>
      </w:pPr>
      <w:r>
        <w:rPr>
          <w:rFonts w:hint="eastAsia" w:ascii="楷体" w:hAnsi="楷体" w:eastAsia="楷体"/>
          <w:b/>
          <w:sz w:val="21"/>
          <w:szCs w:val="21"/>
          <w:highlight w:val="none"/>
          <w:u w:val="single"/>
        </w:rPr>
        <w:t>以下示例均为假设情况，不代表本产品实际投资业绩</w:t>
      </w:r>
      <w:r>
        <w:rPr>
          <w:rFonts w:hint="eastAsia" w:ascii="楷体" w:hAnsi="楷体" w:eastAsia="楷体"/>
          <w:b/>
          <w:sz w:val="21"/>
          <w:szCs w:val="21"/>
          <w:highlight w:val="none"/>
          <w:u w:val="single"/>
          <w:lang w:eastAsia="zh-CN"/>
        </w:rPr>
        <w:t>。</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1.情景一</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20。理财产品单位净值大于面值，管理人可进行现金分红，每份额可获得的现金分红为0.0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该投资周期投资者可得分红=10,000.00×0.0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20.00（元）</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2.情景二</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highlight w:val="none"/>
        </w:rPr>
      </w:pPr>
      <w:r>
        <w:rPr>
          <w:rFonts w:hint="eastAsia" w:ascii="楷体" w:hAnsi="楷体" w:eastAsia="楷体"/>
          <w:b/>
          <w:sz w:val="21"/>
          <w:szCs w:val="21"/>
          <w:highlight w:val="none"/>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highlight w:val="none"/>
          <w:u w:val="single"/>
          <w:lang w:val="en-US" w:eastAsia="zh-CN"/>
        </w:rPr>
        <w:t>收益</w:t>
      </w:r>
      <w:r>
        <w:rPr>
          <w:rFonts w:hint="eastAsia" w:ascii="楷体" w:hAnsi="楷体" w:eastAsia="楷体"/>
          <w:b/>
          <w:sz w:val="21"/>
          <w:szCs w:val="21"/>
          <w:highlight w:val="none"/>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产品终止</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numPr>
          <w:ilvl w:val="0"/>
          <w:numId w:val="0"/>
        </w:numPr>
        <w:ind w:left="0" w:firstLine="420" w:firstLineChars="200"/>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highlight w:val="none"/>
        </w:rPr>
        <w:t>。</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ind w:firstLine="420" w:firstLineChars="200"/>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widowControl w:val="0"/>
        <w:numPr>
          <w:ilvl w:val="0"/>
          <w:numId w:val="0"/>
        </w:numPr>
        <w:tabs>
          <w:tab w:val="left" w:pos="1092"/>
        </w:tabs>
        <w:jc w:val="both"/>
        <w:rPr>
          <w:rFonts w:hint="eastAsia" w:ascii="楷体" w:hAnsi="楷体" w:eastAsia="楷体" w:cs="Calibri"/>
          <w:color w:val="auto"/>
          <w:sz w:val="21"/>
          <w:szCs w:val="21"/>
          <w:highlight w:val="none"/>
          <w:lang w:eastAsia="zh-CN"/>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lang w:val="en-US" w:eastAsia="zh-CN"/>
        </w:rPr>
        <w:t>情景示例</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以下示例均为假设情况，不代表本产品实际投资业绩。</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1.情景一</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-10,000.00=</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2.情景二</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-10,000.00=-</w:t>
      </w:r>
      <w:r>
        <w:rPr>
          <w:rFonts w:ascii="楷体" w:hAnsi="楷体" w:eastAsia="楷体"/>
          <w:color w:val="auto"/>
          <w:sz w:val="21"/>
          <w:szCs w:val="21"/>
          <w:highlight w:val="none"/>
        </w:rPr>
        <w:t>2</w:t>
      </w:r>
      <w:r>
        <w:rPr>
          <w:rFonts w:hint="eastAsia" w:ascii="楷体" w:hAnsi="楷体" w:eastAsia="楷体"/>
          <w:color w:val="auto"/>
          <w:sz w:val="21"/>
          <w:szCs w:val="21"/>
          <w:highlight w:val="none"/>
          <w:lang w:val="en-US" w:eastAsia="zh-CN"/>
        </w:rPr>
        <w:t>4</w:t>
      </w:r>
      <w:r>
        <w:rPr>
          <w:rFonts w:hint="eastAsia" w:ascii="楷体" w:hAnsi="楷体" w:eastAsia="楷体"/>
          <w:color w:val="auto"/>
          <w:sz w:val="21"/>
          <w:szCs w:val="21"/>
          <w:highlight w:val="none"/>
        </w:rPr>
        <w:t>.</w:t>
      </w:r>
      <w:r>
        <w:rPr>
          <w:rFonts w:ascii="楷体" w:hAnsi="楷体" w:eastAsia="楷体"/>
          <w:color w:val="auto"/>
          <w:sz w:val="21"/>
          <w:szCs w:val="21"/>
          <w:highlight w:val="none"/>
        </w:rPr>
        <w:t>0</w:t>
      </w:r>
      <w:r>
        <w:rPr>
          <w:rFonts w:hint="eastAsia" w:ascii="楷体" w:hAnsi="楷体" w:eastAsia="楷体"/>
          <w:color w:val="auto"/>
          <w:sz w:val="21"/>
          <w:szCs w:val="21"/>
          <w:highlight w:val="none"/>
          <w:lang w:val="en-US" w:eastAsia="zh-CN"/>
        </w:rPr>
        <w:t>6</w:t>
      </w:r>
      <w:r>
        <w:rPr>
          <w:rFonts w:hint="eastAsia" w:ascii="楷体" w:hAnsi="楷体" w:eastAsia="楷体"/>
          <w:color w:val="auto"/>
          <w:sz w:val="21"/>
          <w:szCs w:val="21"/>
          <w:highlight w:val="none"/>
        </w:rPr>
        <w:t>（元）</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最不利的情形下，投资者可能损失100%本金。</w:t>
      </w:r>
    </w:p>
    <w:p>
      <w:pPr>
        <w:ind w:left="0" w:leftChars="0" w:firstLine="422" w:firstLineChars="200"/>
        <w:rPr>
          <w:highlight w:val="none"/>
        </w:rPr>
      </w:pPr>
      <w:r>
        <w:rPr>
          <w:rFonts w:hint="eastAsia" w:ascii="楷体" w:hAnsi="楷体" w:eastAsia="楷体"/>
          <w:b/>
          <w:color w:val="auto"/>
          <w:sz w:val="21"/>
          <w:szCs w:val="21"/>
          <w:highlight w:val="none"/>
          <w:u w:val="single"/>
        </w:rPr>
        <w:t>上述情况假设仅用于向投资者示例收益计算方法之用，并不代表管理人对实际投资情况的预期判断，</w:t>
      </w:r>
      <w:r>
        <w:rPr>
          <w:rFonts w:hint="eastAsia" w:ascii="楷体" w:hAnsi="楷体" w:eastAsia="楷体"/>
          <w:b/>
          <w:color w:val="auto"/>
          <w:sz w:val="21"/>
          <w:szCs w:val="21"/>
          <w:highlight w:val="none"/>
          <w:u w:val="single"/>
          <w:lang w:val="en-US" w:eastAsia="zh-CN"/>
        </w:rPr>
        <w:t>也不代表</w:t>
      </w:r>
      <w:r>
        <w:rPr>
          <w:rFonts w:hint="eastAsia" w:ascii="楷体" w:hAnsi="楷体" w:eastAsia="楷体"/>
          <w:b/>
          <w:color w:val="auto"/>
          <w:sz w:val="21"/>
          <w:szCs w:val="21"/>
          <w:highlight w:val="none"/>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highlight w:val="none"/>
        </w:rPr>
      </w:pPr>
      <w:r>
        <w:rPr>
          <w:rFonts w:hint="eastAsia" w:ascii="楷体" w:hAnsi="楷体" w:eastAsia="楷体"/>
          <w:b/>
          <w:sz w:val="21"/>
          <w:szCs w:val="21"/>
          <w:highlight w:val="none"/>
        </w:rPr>
        <w:t>产品费用</w:t>
      </w:r>
    </w:p>
    <w:p>
      <w:pPr>
        <w:ind w:firstLine="420" w:firstLineChars="200"/>
        <w:rPr>
          <w:rFonts w:hint="default" w:ascii="楷体" w:hAnsi="楷体" w:eastAsia="楷体" w:cs="Calibri"/>
          <w:b w:val="0"/>
          <w:bCs/>
          <w:sz w:val="21"/>
          <w:szCs w:val="21"/>
          <w:highlight w:val="none"/>
          <w:lang w:val="en-US" w:eastAsia="zh-CN"/>
        </w:rPr>
      </w:pPr>
      <w:r>
        <w:rPr>
          <w:rFonts w:hint="eastAsia" w:ascii="楷体" w:hAnsi="楷体" w:eastAsia="楷体"/>
          <w:b w:val="0"/>
          <w:bCs/>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b w:val="0"/>
          <w:bCs/>
          <w:sz w:val="21"/>
          <w:szCs w:val="21"/>
          <w:highlight w:val="none"/>
        </w:rPr>
        <w:t>计提方法</w:t>
      </w:r>
      <w:r>
        <w:rPr>
          <w:rFonts w:hint="eastAsia" w:ascii="楷体" w:hAnsi="楷体" w:eastAsia="楷体" w:cs="Calibri"/>
          <w:b w:val="0"/>
          <w:bCs/>
          <w:sz w:val="21"/>
          <w:szCs w:val="21"/>
          <w:highlight w:val="none"/>
          <w:lang w:val="en-US" w:eastAsia="zh-CN"/>
        </w:rPr>
        <w:t>如下：</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7"/>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highlight w:val="none"/>
          <w:lang w:val="en-US" w:eastAsia="zh-CN"/>
        </w:rPr>
      </w:pPr>
      <w:r>
        <w:rPr>
          <w:rFonts w:hint="eastAsia" w:ascii="楷体" w:hAnsi="楷体" w:eastAsia="楷体"/>
          <w:sz w:val="21"/>
          <w:szCs w:val="21"/>
          <w:highlight w:val="none"/>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产品估值</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本产品所拥有的各类证券、银行存款、应收款项及其它资产及负债。</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估值要求</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r>
        <w:rPr>
          <w:rFonts w:hint="eastAsia" w:ascii="楷体" w:hAnsi="楷体" w:eastAsia="楷体" w:cs="Calibri"/>
          <w:sz w:val="21"/>
          <w:szCs w:val="21"/>
          <w:highlight w:val="none"/>
        </w:rPr>
        <w:t>。</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位后截位。</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存款类资产、货币市场工具：以本金列示，逐日计提利息。</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货币市场基金：以估值截止时间点能够取得的最新每万份收益进行估值。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债权类资产：按公允价值进行估值，采用合理的估值技术或监管机构认可的估值方法进行估值。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20"/>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如有新增事项或变更事项，按国家法律法规及监管最新规定执行。</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8"/>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信息披露</w:t>
      </w:r>
    </w:p>
    <w:p>
      <w:pPr>
        <w:numPr>
          <w:ilvl w:val="0"/>
          <w:numId w:val="21"/>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方式</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highlight w:val="none"/>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1"/>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内容及时间</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highlight w:val="none"/>
        </w:rPr>
        <w:t>。</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其他</w:t>
      </w:r>
    </w:p>
    <w:p>
      <w:pPr>
        <w:numPr>
          <w:ilvl w:val="0"/>
          <w:numId w:val="24"/>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追索条款</w:t>
      </w:r>
    </w:p>
    <w:p>
      <w:pPr>
        <w:ind w:firstLine="420" w:firstLineChars="200"/>
        <w:rPr>
          <w:rFonts w:ascii="楷体" w:hAnsi="楷体" w:eastAsia="楷体"/>
          <w:color w:val="auto"/>
          <w:sz w:val="21"/>
          <w:szCs w:val="21"/>
          <w:highlight w:val="none"/>
        </w:rPr>
      </w:pPr>
      <w:r>
        <w:rPr>
          <w:rFonts w:hint="eastAsia" w:ascii="楷体" w:hAnsi="楷体" w:eastAsia="楷体"/>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4"/>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苏银理财及</w:t>
      </w:r>
      <w:r>
        <w:rPr>
          <w:rFonts w:hint="eastAsia" w:ascii="楷体" w:hAnsi="楷体" w:eastAsia="楷体"/>
          <w:color w:val="auto"/>
          <w:sz w:val="21"/>
          <w:szCs w:val="21"/>
          <w:highlight w:val="none"/>
          <w:lang w:val="en-US" w:eastAsia="zh-CN"/>
        </w:rPr>
        <w:t>销售</w:t>
      </w:r>
      <w:r>
        <w:rPr>
          <w:rFonts w:hint="eastAsia" w:ascii="楷体" w:hAnsi="楷体" w:eastAsia="楷体"/>
          <w:color w:val="auto"/>
          <w:sz w:val="21"/>
          <w:szCs w:val="21"/>
          <w:highlight w:val="none"/>
        </w:rPr>
        <w:t>机构将据相关法律、法规严格履行投资者信息保密责任，除监管机构或司法机关等有权机构外，不得对其他第三方提供任何投资者信息。</w:t>
      </w:r>
    </w:p>
    <w:p>
      <w:pPr>
        <w:numPr>
          <w:ilvl w:val="0"/>
          <w:numId w:val="24"/>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争议解决</w:t>
      </w:r>
    </w:p>
    <w:p>
      <w:pPr>
        <w:ind w:firstLine="420" w:firstLineChars="200"/>
        <w:jc w:val="left"/>
        <w:rPr>
          <w:rFonts w:hint="eastAsia"/>
          <w:highlight w:val="none"/>
        </w:rPr>
      </w:pP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的订立、生效、履行、解释、修改和终止等事项均适用中华人民共和国（</w:t>
      </w:r>
      <w:r>
        <w:rPr>
          <w:rFonts w:hint="eastAsia" w:ascii="楷体" w:hAnsi="楷体" w:eastAsia="楷体"/>
          <w:color w:val="auto"/>
          <w:sz w:val="21"/>
          <w:szCs w:val="21"/>
          <w:highlight w:val="none"/>
          <w:lang w:val="en-US" w:eastAsia="zh-CN"/>
        </w:rPr>
        <w:t>为本合同目的，</w:t>
      </w:r>
      <w:r>
        <w:rPr>
          <w:rFonts w:hint="eastAsia" w:ascii="楷体" w:hAnsi="楷体" w:eastAsia="楷体"/>
          <w:color w:val="auto"/>
          <w:sz w:val="21"/>
          <w:szCs w:val="21"/>
          <w:highlight w:val="none"/>
        </w:rPr>
        <w:t>不包括香港特别行政区、澳门特别行政区和台湾地区）法律。</w:t>
      </w:r>
      <w:r>
        <w:rPr>
          <w:rFonts w:hint="eastAsia" w:ascii="楷体" w:hAnsi="楷体" w:eastAsia="楷体"/>
          <w:color w:val="auto"/>
          <w:sz w:val="21"/>
          <w:szCs w:val="21"/>
          <w:highlight w:val="none"/>
          <w:lang w:val="en-US" w:eastAsia="zh-CN"/>
        </w:rPr>
        <w:t>因本产品说明书</w:t>
      </w:r>
      <w:r>
        <w:rPr>
          <w:rFonts w:hint="eastAsia" w:ascii="楷体" w:hAnsi="楷体" w:eastAsia="楷体"/>
          <w:color w:val="auto"/>
          <w:sz w:val="21"/>
          <w:szCs w:val="21"/>
          <w:highlight w:val="none"/>
        </w:rPr>
        <w:t>引起的或与</w:t>
      </w: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有关的任何争议，应当首先通过双方之间的友好协商解决；协商不成的，双方均有权提交产品管理人</w:t>
      </w:r>
      <w:r>
        <w:rPr>
          <w:rFonts w:hint="eastAsia" w:ascii="楷体" w:hAnsi="楷体" w:eastAsia="楷体"/>
          <w:color w:val="auto"/>
          <w:sz w:val="21"/>
          <w:szCs w:val="21"/>
          <w:highlight w:val="none"/>
          <w:lang w:val="en-US" w:eastAsia="zh-CN"/>
        </w:rPr>
        <w:t>住所地</w:t>
      </w:r>
      <w:r>
        <w:rPr>
          <w:rFonts w:hint="eastAsia" w:ascii="楷体" w:hAnsi="楷体" w:eastAsia="楷体"/>
          <w:color w:val="auto"/>
          <w:sz w:val="21"/>
          <w:szCs w:val="21"/>
          <w:highlight w:val="none"/>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5"/>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D3B78ACF"/>
    <w:multiLevelType w:val="singleLevel"/>
    <w:tmpl w:val="D3B78ACF"/>
    <w:lvl w:ilvl="0" w:tentative="0">
      <w:start w:val="1"/>
      <w:numFmt w:val="decimal"/>
      <w:suff w:val="nothing"/>
      <w:lvlText w:val="（%1）"/>
      <w:lvlJc w:val="left"/>
    </w:lvl>
  </w:abstractNum>
  <w:abstractNum w:abstractNumId="4">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D42F757"/>
    <w:multiLevelType w:val="singleLevel"/>
    <w:tmpl w:val="2D42F757"/>
    <w:lvl w:ilvl="0" w:tentative="0">
      <w:start w:val="2"/>
      <w:numFmt w:val="chineseCounting"/>
      <w:suff w:val="nothing"/>
      <w:lvlText w:val="（%1）"/>
      <w:lvlJc w:val="left"/>
      <w:rPr>
        <w:rFonts w:hint="eastAsia"/>
      </w:rPr>
    </w:lvl>
  </w:abstractNum>
  <w:abstractNum w:abstractNumId="11">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2">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3">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7">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2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2"/>
  </w:num>
  <w:num w:numId="6">
    <w:abstractNumId w:val="11"/>
  </w:num>
  <w:num w:numId="7">
    <w:abstractNumId w:val="20"/>
  </w:num>
  <w:num w:numId="8">
    <w:abstractNumId w:val="21"/>
  </w:num>
  <w:num w:numId="9">
    <w:abstractNumId w:val="24"/>
  </w:num>
  <w:num w:numId="10">
    <w:abstractNumId w:val="23"/>
  </w:num>
  <w:num w:numId="11">
    <w:abstractNumId w:val="3"/>
  </w:num>
  <w:num w:numId="12">
    <w:abstractNumId w:val="16"/>
  </w:num>
  <w:num w:numId="13">
    <w:abstractNumId w:val="15"/>
  </w:num>
  <w:num w:numId="14">
    <w:abstractNumId w:val="9"/>
  </w:num>
  <w:num w:numId="15">
    <w:abstractNumId w:val="2"/>
  </w:num>
  <w:num w:numId="16">
    <w:abstractNumId w:val="5"/>
  </w:num>
  <w:num w:numId="17">
    <w:abstractNumId w:val="0"/>
  </w:num>
  <w:num w:numId="18">
    <w:abstractNumId w:val="19"/>
  </w:num>
  <w:num w:numId="19">
    <w:abstractNumId w:val="17"/>
  </w:num>
  <w:num w:numId="20">
    <w:abstractNumId w:val="6"/>
  </w:num>
  <w:num w:numId="21">
    <w:abstractNumId w:val="18"/>
  </w:num>
  <w:num w:numId="22">
    <w:abstractNumId w:val="1"/>
  </w:num>
  <w:num w:numId="23">
    <w:abstractNumId w:val="4"/>
  </w:num>
  <w:num w:numId="24">
    <w:abstractNumId w:val="1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1C4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2026-08-05T08:28:13Z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