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1D963">
      <w:pPr>
        <w:jc w:val="center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关于</w:t>
      </w:r>
      <w:r>
        <w:rPr>
          <w:rFonts w:hint="eastAsia" w:ascii="方正小标宋简体" w:eastAsia="方正小标宋简体"/>
          <w:sz w:val="44"/>
          <w:szCs w:val="36"/>
          <w:lang w:val="en-US" w:eastAsia="zh-CN"/>
        </w:rPr>
        <w:t>浙银理财琮简富春聚益193号理财产品</w:t>
      </w:r>
      <w:r>
        <w:rPr>
          <w:rFonts w:hint="eastAsia" w:ascii="方正小标宋简体" w:eastAsia="方正小标宋简体"/>
          <w:sz w:val="44"/>
          <w:szCs w:val="36"/>
        </w:rPr>
        <w:t>实施阶段性费率优惠的公告</w:t>
      </w:r>
    </w:p>
    <w:p w14:paraId="528C1624">
      <w:pPr>
        <w:adjustRightInd w:val="0"/>
        <w:spacing w:line="360" w:lineRule="auto"/>
        <w:rPr>
          <w:rFonts w:ascii="仿宋_GB2312" w:hAnsi="宋体" w:eastAsia="仿宋_GB2312" w:cs="宋体"/>
          <w:sz w:val="32"/>
          <w:szCs w:val="24"/>
        </w:rPr>
      </w:pPr>
      <w:r>
        <w:rPr>
          <w:rFonts w:hint="eastAsia" w:ascii="仿宋_GB2312" w:hAnsi="宋体" w:eastAsia="仿宋_GB2312" w:cs="宋体"/>
          <w:sz w:val="32"/>
          <w:szCs w:val="24"/>
        </w:rPr>
        <w:t>尊敬的投资者：</w:t>
      </w:r>
    </w:p>
    <w:p w14:paraId="768051D1">
      <w:pPr>
        <w:adjustRightInd w:val="0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u w:val="none"/>
        </w:rPr>
      </w:pPr>
      <w:r>
        <w:rPr>
          <w:rFonts w:hint="eastAsia" w:ascii="仿宋_GB2312" w:eastAsia="仿宋_GB2312"/>
          <w:color w:val="000000"/>
          <w:sz w:val="32"/>
          <w:u w:val="none"/>
          <w:lang w:val="en-US" w:eastAsia="zh-CN"/>
        </w:rPr>
        <w:t>浙银理财有限责任公司</w:t>
      </w:r>
      <w:r>
        <w:rPr>
          <w:rFonts w:hint="eastAsia" w:ascii="仿宋_GB2312" w:eastAsia="仿宋_GB2312"/>
          <w:color w:val="000000"/>
          <w:sz w:val="32"/>
          <w:u w:val="none"/>
        </w:rPr>
        <w:t>拟对</w:t>
      </w:r>
      <w:r>
        <w:rPr>
          <w:rFonts w:hint="eastAsia" w:ascii="仿宋_GB2312" w:eastAsia="仿宋_GB2312"/>
          <w:color w:val="000000"/>
          <w:sz w:val="32"/>
          <w:u w:val="none"/>
          <w:lang w:val="en-US" w:eastAsia="zh-CN"/>
        </w:rPr>
        <w:t>浙银理财琮简富春聚益193号理财产品</w:t>
      </w:r>
      <w:r>
        <w:rPr>
          <w:rFonts w:hint="eastAsia" w:ascii="仿宋_GB2312" w:eastAsia="仿宋_GB2312"/>
          <w:color w:val="000000"/>
          <w:sz w:val="32"/>
          <w:u w:val="none"/>
        </w:rPr>
        <w:t>（登记编码：</w:t>
      </w:r>
      <w:r>
        <w:rPr>
          <w:rFonts w:hint="eastAsia" w:ascii="仿宋_GB2312" w:eastAsia="仿宋_GB2312"/>
          <w:color w:val="000000"/>
          <w:sz w:val="32"/>
          <w:u w:val="none"/>
          <w:lang w:val="en-US" w:eastAsia="zh-CN"/>
        </w:rPr>
        <w:t>Z7011826000255</w:t>
      </w:r>
      <w:r>
        <w:rPr>
          <w:rFonts w:hint="eastAsia" w:ascii="仿宋_GB2312" w:eastAsia="仿宋_GB2312"/>
          <w:color w:val="000000"/>
          <w:sz w:val="32"/>
          <w:u w:val="none"/>
        </w:rPr>
        <w:t>）给予阶段性费率优惠。费率优惠具体内容如下：</w:t>
      </w:r>
    </w:p>
    <w:tbl>
      <w:tblPr>
        <w:tblStyle w:val="7"/>
        <w:tblW w:w="9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1413"/>
        <w:gridCol w:w="1126"/>
        <w:gridCol w:w="1129"/>
        <w:gridCol w:w="1110"/>
        <w:gridCol w:w="1701"/>
        <w:gridCol w:w="1818"/>
      </w:tblGrid>
      <w:tr w14:paraId="0D99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316" w:type="dxa"/>
            <w:vAlign w:val="center"/>
          </w:tcPr>
          <w:p w14:paraId="7916F80D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费用类别</w:t>
            </w:r>
          </w:p>
        </w:tc>
        <w:tc>
          <w:tcPr>
            <w:tcW w:w="1413" w:type="dxa"/>
            <w:vAlign w:val="center"/>
          </w:tcPr>
          <w:p w14:paraId="2D95062C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销售代码</w:t>
            </w:r>
          </w:p>
        </w:tc>
        <w:tc>
          <w:tcPr>
            <w:tcW w:w="1126" w:type="dxa"/>
            <w:vAlign w:val="center"/>
          </w:tcPr>
          <w:p w14:paraId="78FCD8C8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份额类别</w:t>
            </w:r>
          </w:p>
        </w:tc>
        <w:tc>
          <w:tcPr>
            <w:tcW w:w="1129" w:type="dxa"/>
            <w:vAlign w:val="center"/>
          </w:tcPr>
          <w:p w14:paraId="56195949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销售文件约定费率</w:t>
            </w:r>
          </w:p>
          <w:p w14:paraId="00B79BEC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（年化）</w:t>
            </w:r>
          </w:p>
        </w:tc>
        <w:tc>
          <w:tcPr>
            <w:tcW w:w="1110" w:type="dxa"/>
            <w:vAlign w:val="center"/>
          </w:tcPr>
          <w:p w14:paraId="53785B8E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优惠后费率</w:t>
            </w:r>
          </w:p>
          <w:p w14:paraId="4F1AC54E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（年化）</w:t>
            </w:r>
          </w:p>
        </w:tc>
        <w:tc>
          <w:tcPr>
            <w:tcW w:w="1701" w:type="dxa"/>
            <w:vAlign w:val="center"/>
          </w:tcPr>
          <w:p w14:paraId="72D6325B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优惠起始日期</w:t>
            </w:r>
          </w:p>
          <w:p w14:paraId="2518AAB5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（含）</w:t>
            </w:r>
          </w:p>
        </w:tc>
        <w:tc>
          <w:tcPr>
            <w:tcW w:w="1818" w:type="dxa"/>
            <w:vAlign w:val="center"/>
          </w:tcPr>
          <w:p w14:paraId="4AF5E292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优惠截止日期（含）</w:t>
            </w:r>
          </w:p>
        </w:tc>
      </w:tr>
      <w:tr w14:paraId="5537A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316" w:type="dxa"/>
            <w:vAlign w:val="center"/>
          </w:tcPr>
          <w:p w14:paraId="6F242F1D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 w:val="0"/>
                <w:bCs w:val="0"/>
                <w:sz w:val="22"/>
                <w:lang w:val="en-US" w:eastAsia="zh-CN"/>
              </w:rPr>
              <w:t>投资管理费</w:t>
            </w:r>
          </w:p>
        </w:tc>
        <w:tc>
          <w:tcPr>
            <w:tcW w:w="1413" w:type="dxa"/>
            <w:vAlign w:val="center"/>
          </w:tcPr>
          <w:p w14:paraId="73DDDDC9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 w:val="0"/>
                <w:bCs w:val="0"/>
                <w:sz w:val="22"/>
                <w:lang w:val="en-US" w:eastAsia="zh-CN"/>
              </w:rPr>
              <w:t>ZYFCG01860</w:t>
            </w:r>
          </w:p>
        </w:tc>
        <w:tc>
          <w:tcPr>
            <w:tcW w:w="1126" w:type="dxa"/>
            <w:vAlign w:val="center"/>
          </w:tcPr>
          <w:p w14:paraId="780E1882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(中文正文)" w:eastAsia="宋体(中文正文)" w:hAnsiTheme="minorEastAsia"/>
                <w:b/>
                <w:bCs/>
                <w:sz w:val="22"/>
                <w:lang w:val="en-US" w:eastAsia="zh-CN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  <w:lang w:val="en-US" w:eastAsia="zh-CN"/>
              </w:rPr>
              <w:t>-</w:t>
            </w:r>
          </w:p>
        </w:tc>
        <w:tc>
          <w:tcPr>
            <w:tcW w:w="1129" w:type="dxa"/>
            <w:vAlign w:val="center"/>
          </w:tcPr>
          <w:p w14:paraId="058F442D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 w:val="0"/>
                <w:bCs w:val="0"/>
                <w:sz w:val="22"/>
                <w:lang w:val="en-US" w:eastAsia="zh-CN"/>
              </w:rPr>
              <w:t>0.30%</w:t>
            </w:r>
          </w:p>
        </w:tc>
        <w:tc>
          <w:tcPr>
            <w:tcW w:w="1110" w:type="dxa"/>
            <w:vAlign w:val="center"/>
          </w:tcPr>
          <w:p w14:paraId="6ADF014D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 w:val="0"/>
                <w:bCs w:val="0"/>
                <w:sz w:val="22"/>
                <w:lang w:val="en-US" w:eastAsia="zh-CN"/>
              </w:rPr>
              <w:t>0.01%</w:t>
            </w:r>
          </w:p>
        </w:tc>
        <w:tc>
          <w:tcPr>
            <w:tcW w:w="1701" w:type="dxa"/>
            <w:vAlign w:val="center"/>
          </w:tcPr>
          <w:p w14:paraId="3BAD2A25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 w:val="0"/>
                <w:bCs w:val="0"/>
                <w:sz w:val="22"/>
                <w:lang w:val="en-US" w:eastAsia="zh-CN"/>
              </w:rPr>
              <w:t>2026年08月26日</w:t>
            </w:r>
          </w:p>
        </w:tc>
        <w:tc>
          <w:tcPr>
            <w:tcW w:w="1818" w:type="dxa"/>
            <w:vAlign w:val="center"/>
          </w:tcPr>
          <w:p w14:paraId="66CF2A40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 w:val="0"/>
                <w:bCs w:val="0"/>
                <w:sz w:val="22"/>
                <w:lang w:val="en-US" w:eastAsia="zh-CN"/>
              </w:rPr>
              <w:t>2026年09月30日</w:t>
            </w:r>
          </w:p>
        </w:tc>
      </w:tr>
    </w:tbl>
    <w:p w14:paraId="0499E3B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针对上述调整，投资者如有疑问的，请联系销售服务机构或浙银理财客户服务热线0571-57192881，具体以销售文件披露为准。</w:t>
      </w:r>
    </w:p>
    <w:p w14:paraId="15D3DA79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eastAsia="仿宋_GB2312" w:cs="宋体" w:hAnsiTheme="minorEastAsia"/>
          <w:color w:val="000000"/>
          <w:kern w:val="0"/>
          <w:sz w:val="32"/>
          <w:szCs w:val="24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本产品其他信息</w:t>
      </w:r>
      <w:bookmarkStart w:id="0" w:name="_GoBack"/>
      <w:bookmarkEnd w:id="0"/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仍以销售文件约定为准，您可通过约定的信息披露渠道查询最新销售文件。</w:t>
      </w:r>
    </w:p>
    <w:p w14:paraId="761D1F81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eastAsia="仿宋_GB2312" w:cs="宋体" w:hAnsiTheme="minorEastAsia"/>
          <w:color w:val="000000"/>
          <w:kern w:val="0"/>
          <w:sz w:val="32"/>
          <w:szCs w:val="24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感谢您一直以来对</w:t>
      </w:r>
      <w:r>
        <w:rPr>
          <w:rFonts w:hint="eastAsia" w:ascii="仿宋_GB2312" w:hAnsi="仿宋_GB2312" w:eastAsia="仿宋_GB2312" w:cs="仿宋_GB2312"/>
          <w:sz w:val="32"/>
          <w:szCs w:val="32"/>
        </w:rPr>
        <w:t>浙银理财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的支持！敬请继续关注</w:t>
      </w:r>
      <w:r>
        <w:rPr>
          <w:rFonts w:hint="eastAsia" w:ascii="仿宋_GB2312" w:hAnsi="仿宋_GB2312" w:eastAsia="仿宋_GB2312" w:cs="仿宋_GB2312"/>
          <w:sz w:val="32"/>
          <w:szCs w:val="32"/>
        </w:rPr>
        <w:t>浙银理财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发行的理财产品。</w:t>
      </w:r>
    </w:p>
    <w:p w14:paraId="05B5D611"/>
    <w:p w14:paraId="7965032F">
      <w:pPr>
        <w:ind w:firstLine="64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浙银理财有限责任公司</w:t>
      </w:r>
    </w:p>
    <w:p w14:paraId="4360E195">
      <w:pPr>
        <w:ind w:firstLine="64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2026年08月18日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</w:t>
      </w:r>
    </w:p>
    <w:p w14:paraId="7A1555AE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(中文正文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1B048">
    <w:r>
      <w:pict>
        <v:shape id="ImpTraceLabel01f24a5666b437d1193b837c63dcab0d@" o:spid="_x0000_s2049" o:spt="202" type="#_x0000_t202" style="position:absolute;left:0pt;margin-left:0pt;margin-top:0pt;height:0pt;width:0pt;mso-position-horizontal-relative:page;mso-position-vertical-relative:pag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>
            <w:txbxContent>
              <w:p w14:paraId="3C0B26CB">
                <w:r>
                  <w:t>ImpTraceLabel01f24a5666b437d1193b837c63dcab0d@=dGltZT0xNzg2NDMzNzY4MDAwfHdhdGVyTWFya0luZm895L+d5a+GfGZpbGVOYW1lPeWFs+S6jua1memTtueQhui0oueQrueugOWvjOaYpeiBmuebijE5M+WPt+eQhui0ouS6p+WTgeWunuaWvei0ueeOh+S8mOaDoOeahOWFrOWRii5kb2N4fElQPTEwLjExLjMyLjIzMXxNQUM9MDQ6RDQ6QzQ6NTU6MDc6MTV8Y29tcHV0ZXJOYW1lPeWRmOW3peW3peWPt3xjb21wYW55Pea1meWVhumTtuihjOiCoeS7veaciemZkOWFrOWPuHxkZXA95biC5Zy66JCl6ZSA6YOo77yI5Lqn5ZOB56CU5Y+R6YOo77yJfHVuaXF1ZUNvZGU9MTEzMDM0fHVzZXJOYW1lPemZiOeCnOadsA==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documentProtection w:edit="forms"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462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454</Characters>
  <Lines>2</Lines>
  <Paragraphs>1</Paragraphs>
  <TotalTime>3</TotalTime>
  <ScaleCrop>false</ScaleCrop>
  <LinksUpToDate>false</LinksUpToDate>
  <CharactersWithSpaces>491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2022-10-23T11:42:00Z</dcterms:created>
  <dc:creator>赵翊翔</dc:creator>
  <cp:lastModifiedBy>浙商银行</cp:lastModifiedBy>
  <cp:lastPrinted>2024-08-23T10:24:00Z</cp:lastPrinted>
  <dcterms:modified xsi:type="dcterms:W3CDTF">2026-08-11T07:48:35Z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195F1C0269F348DFB1D4B827C1F7F69E_13</vt:lpwstr>
  </property>
  <property fmtid="{D5CDD505-2E9C-101B-9397-08002B2CF9AE}" pid="3" name="KSOProductBuildVer">
    <vt:lpwstr>2052-12.1.0.24034</vt:lpwstr>
  </property>
  <property fmtid="{D5CDD505-2E9C-101B-9397-08002B2CF9AE}" pid="4" name="KSOTemplateDocerSaveRecord">
    <vt:lpwstr>eyJoZGlkIjoiMzEwNTM5NzYwMDRjMzkwZTVkZjY2ODkwMGIxNGU0OTUiLCJ1c2VySWQiOiI5MjQxNDAwOTgifQ==</vt:lpwstr>
  </property>
</Properties>
</file>